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18"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22"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6"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p>
      <w:pPr>
        <w:spacing w:after="0" w:line="236"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32-0415449</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39" w:lineRule="exact"/>
        <w:rPr>
          <w:sz w:val="24"/>
          <w:szCs w:val="24"/>
          <w:color w:val="auto"/>
        </w:rPr>
      </w:pPr>
    </w:p>
    <w:p>
      <w:pPr>
        <w:sectPr>
          <w:pgSz w:w="11900" w:h="16838" w:orient="portrait"/>
          <w:cols w:equalWidth="0" w:num="2">
            <w:col w:w="7700" w:space="240"/>
            <w:col w:w="3300"/>
          </w:cols>
          <w:pgMar w:left="320" w:top="673" w:right="339" w:bottom="1440" w:gutter="0" w:footer="0" w:header="0"/>
          <w:type w:val="continuous"/>
        </w:sectPr>
      </w:pPr>
    </w:p>
    <w:tbl>
      <w:tblPr>
        <w:tblLayout w:type="fixed"/>
        <w:tblInd w:w="1780" w:type="dxa"/>
        <w:tblCellMar>
          <w:top w:w="0" w:type="dxa"/>
          <w:left w:w="0" w:type="dxa"/>
          <w:bottom w:w="0" w:type="dxa"/>
          <w:right w:w="0" w:type="dxa"/>
        </w:tblCellMar>
      </w:tblPr>
      <w:tr>
        <w:trPr>
          <w:trHeight w:val="184"/>
        </w:trPr>
        <w:tc>
          <w:tcPr>
            <w:tcW w:w="4220" w:type="dxa"/>
            <w:vAlign w:val="bottom"/>
          </w:tcPr>
          <w:p>
            <w:pPr>
              <w:jc w:val="center"/>
              <w:ind w:right="2124"/>
              <w:spacing w:after="0"/>
              <w:rPr>
                <w:sz w:val="20"/>
                <w:szCs w:val="20"/>
                <w:color w:val="auto"/>
              </w:rPr>
            </w:pPr>
            <w:r>
              <w:rPr>
                <w:rFonts w:ascii="Times New Roman" w:cs="Times New Roman" w:eastAsia="Times New Roman" w:hAnsi="Times New Roman"/>
                <w:sz w:val="16"/>
                <w:szCs w:val="16"/>
                <w:b w:val="1"/>
                <w:bCs w:val="1"/>
                <w:color w:val="auto"/>
              </w:rPr>
              <w:t>7529 Standish Place</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220" w:type="dxa"/>
            <w:vAlign w:val="bottom"/>
          </w:tcPr>
          <w:p>
            <w:pPr>
              <w:jc w:val="center"/>
              <w:ind w:right="2104"/>
              <w:spacing w:after="0" w:line="165" w:lineRule="exact"/>
              <w:rPr>
                <w:sz w:val="20"/>
                <w:szCs w:val="20"/>
                <w:color w:val="auto"/>
              </w:rPr>
            </w:pPr>
            <w:r>
              <w:rPr>
                <w:rFonts w:ascii="Times New Roman" w:cs="Times New Roman" w:eastAsia="Times New Roman" w:hAnsi="Times New Roman"/>
                <w:sz w:val="16"/>
                <w:szCs w:val="16"/>
                <w:b w:val="1"/>
                <w:bCs w:val="1"/>
                <w:color w:val="auto"/>
              </w:rPr>
              <w:t>Suite 200</w:t>
            </w:r>
          </w:p>
        </w:tc>
        <w:tc>
          <w:tcPr>
            <w:tcW w:w="2720" w:type="dxa"/>
            <w:vAlign w:val="bottom"/>
            <w:vMerge w:val="restart"/>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20855</w:t>
            </w:r>
          </w:p>
        </w:tc>
        <w:tc>
          <w:tcPr>
            <w:tcW w:w="0" w:type="dxa"/>
            <w:vAlign w:val="bottom"/>
          </w:tcPr>
          <w:p>
            <w:pPr>
              <w:spacing w:after="0"/>
              <w:rPr>
                <w:sz w:val="1"/>
                <w:szCs w:val="1"/>
                <w:color w:val="auto"/>
              </w:rPr>
            </w:pPr>
          </w:p>
        </w:tc>
      </w:tr>
      <w:tr>
        <w:trPr>
          <w:trHeight w:val="196"/>
        </w:trPr>
        <w:tc>
          <w:tcPr>
            <w:tcW w:w="4220" w:type="dxa"/>
            <w:vAlign w:val="bottom"/>
          </w:tcPr>
          <w:p>
            <w:pPr>
              <w:jc w:val="center"/>
              <w:ind w:right="2124"/>
              <w:spacing w:after="0"/>
              <w:rPr>
                <w:sz w:val="20"/>
                <w:szCs w:val="20"/>
                <w:color w:val="auto"/>
              </w:rPr>
            </w:pPr>
            <w:r>
              <w:rPr>
                <w:rFonts w:ascii="Times New Roman" w:cs="Times New Roman" w:eastAsia="Times New Roman" w:hAnsi="Times New Roman"/>
                <w:sz w:val="16"/>
                <w:szCs w:val="16"/>
                <w:b w:val="1"/>
                <w:bCs w:val="1"/>
                <w:color w:val="auto"/>
              </w:rPr>
              <w:t>Derwood, MD</w:t>
            </w:r>
          </w:p>
        </w:tc>
        <w:tc>
          <w:tcPr>
            <w:tcW w:w="2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XMTR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644"/>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40" w:firstLine="64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220" w:firstLine="64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42" w:lineRule="exact"/>
        <w:rPr>
          <w:sz w:val="24"/>
          <w:szCs w:val="24"/>
          <w:color w:val="auto"/>
        </w:rPr>
      </w:pPr>
    </w:p>
    <w:p>
      <w:pPr>
        <w:ind w:right="440" w:firstLine="644"/>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60"/>
        <w:spacing w:after="0" w:line="184" w:lineRule="exact"/>
        <w:tabs>
          <w:tab w:leader="none" w:pos="820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99" w:lineRule="exact"/>
        <w:rPr>
          <w:sz w:val="24"/>
          <w:szCs w:val="24"/>
          <w:color w:val="auto"/>
        </w:rPr>
      </w:pPr>
    </w:p>
    <w:p>
      <w:pPr>
        <w:ind w:right="20" w:firstLine="64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May 4, 2022, the registrant had 44,304,775 shares of Class A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0" w:type="dxa"/>
            <w:vAlign w:val="bottom"/>
            <w:gridSpan w:val="2"/>
            <w:vMerge w:val="continue"/>
          </w:tcPr>
          <w:p>
            <w:pPr>
              <w:spacing w:after="0"/>
              <w:rPr>
                <w:sz w:val="13"/>
                <w:szCs w:val="13"/>
                <w:color w:val="auto"/>
              </w:rPr>
            </w:pPr>
          </w:p>
        </w:tc>
        <w:tc>
          <w:tcPr>
            <w:tcW w:w="9420" w:type="dxa"/>
            <w:vAlign w:val="bottom"/>
            <w:gridSpan w:val="18"/>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40" w:type="dxa"/>
            <w:vAlign w:val="bottom"/>
            <w:tcBorders>
              <w:top w:val="single" w:sz="8" w:color="0563C1"/>
              <w:bottom w:val="single" w:sz="8" w:color="0563C1"/>
            </w:tcBorders>
            <w:gridSpan w:val="7"/>
          </w:tcPr>
          <w:p>
            <w:pPr>
              <w:spacing w:after="0" w:line="182" w:lineRule="exact"/>
              <w:rPr>
                <w:sz w:val="20"/>
                <w:szCs w:val="20"/>
                <w:color w:val="auto"/>
              </w:rPr>
            </w:pPr>
            <w:r>
              <w:rPr>
                <w:rFonts w:ascii="Times New Roman" w:cs="Times New Roman" w:eastAsia="Times New Roman" w:hAnsi="Times New Roman"/>
                <w:sz w:val="18"/>
                <w:szCs w:val="18"/>
                <w:color w:val="0563C1"/>
                <w:w w:val="91"/>
              </w:rPr>
              <w:t>Financial Statements (Unaudited)</w:t>
            </w:r>
          </w:p>
        </w:tc>
        <w:tc>
          <w:tcPr>
            <w:tcW w:w="80" w:type="dxa"/>
            <w:vAlign w:val="bottom"/>
            <w:tcBorders>
              <w:bottom w:val="single" w:sz="8" w:color="0563C1"/>
            </w:tcBorders>
          </w:tcPr>
          <w:p>
            <w:pPr>
              <w:spacing w:after="0"/>
              <w:rPr>
                <w:sz w:val="15"/>
                <w:szCs w:val="15"/>
                <w:color w:val="auto"/>
              </w:rPr>
            </w:pPr>
          </w:p>
        </w:tc>
        <w:tc>
          <w:tcPr>
            <w:tcW w:w="100" w:type="dxa"/>
            <w:vAlign w:val="bottom"/>
            <w:tcBorders>
              <w:bottom w:val="single" w:sz="8" w:color="0563C1"/>
            </w:tcBorders>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563C1"/>
                <w:w w:val="99"/>
              </w:rPr>
              <w:t>Condensed Consolidated Balance</w:t>
            </w:r>
          </w:p>
        </w:tc>
        <w:tc>
          <w:tcPr>
            <w:tcW w:w="7000" w:type="dxa"/>
            <w:vAlign w:val="bottom"/>
            <w:gridSpan w:val="9"/>
          </w:tcPr>
          <w:p>
            <w:pPr>
              <w:ind w:left="40"/>
              <w:spacing w:after="0" w:line="182" w:lineRule="exact"/>
              <w:rPr>
                <w:sz w:val="20"/>
                <w:szCs w:val="20"/>
                <w:color w:val="auto"/>
              </w:rPr>
            </w:pPr>
            <w:r>
              <w:rPr>
                <w:rFonts w:ascii="Times New Roman" w:cs="Times New Roman" w:eastAsia="Times New Roman" w:hAnsi="Times New Roman"/>
                <w:sz w:val="18"/>
                <w:szCs w:val="18"/>
                <w:color w:val="0563C1"/>
              </w:rPr>
              <w:t>Sheets</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6500" w:type="dxa"/>
            <w:vAlign w:val="bottom"/>
            <w:gridSpan w:val="8"/>
            <w:vMerge w:val="restart"/>
          </w:tcPr>
          <w:p>
            <w:pPr>
              <w:spacing w:after="0" w:line="202" w:lineRule="exact"/>
              <w:rPr>
                <w:sz w:val="20"/>
                <w:szCs w:val="20"/>
                <w:color w:val="auto"/>
              </w:rPr>
            </w:pPr>
            <w:r>
              <w:rPr>
                <w:rFonts w:ascii="Times New Roman" w:cs="Times New Roman" w:eastAsia="Times New Roman" w:hAnsi="Times New Roman"/>
                <w:sz w:val="18"/>
                <w:szCs w:val="18"/>
                <w:color w:val="0563C1"/>
              </w:rPr>
              <w:t>Operations and Comprehensive Loss</w:t>
            </w: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w:t>
            </w:r>
          </w:p>
        </w:tc>
        <w:tc>
          <w:tcPr>
            <w:tcW w:w="6500" w:type="dxa"/>
            <w:vAlign w:val="bottom"/>
            <w:gridSpan w:val="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2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Changes in Convertible Preferred Stock and Stockholders' Equity (Deficit)</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 Cash Flows</w:t>
            </w:r>
          </w:p>
        </w:tc>
        <w:tc>
          <w:tcPr>
            <w:tcW w:w="11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2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563C1"/>
              </w:rPr>
              <w:t>Notes to Unaudited Condensed Consolidated Financial Statements</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942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100" w:type="dxa"/>
            <w:vAlign w:val="bottom"/>
            <w:gridSpan w:val="3"/>
            <w:shd w:val="clear" w:color="auto" w:fill="0563C1"/>
          </w:tcPr>
          <w:p>
            <w:pPr>
              <w:spacing w:after="0" w:line="20" w:lineRule="exact"/>
              <w:rPr>
                <w:sz w:val="1"/>
                <w:szCs w:val="1"/>
                <w:color w:val="auto"/>
              </w:rPr>
            </w:pPr>
          </w:p>
        </w:tc>
        <w:tc>
          <w:tcPr>
            <w:tcW w:w="2960" w:type="dxa"/>
            <w:vAlign w:val="bottom"/>
            <w:gridSpan w:val="2"/>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64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29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060" w:type="dxa"/>
            <w:vAlign w:val="bottom"/>
            <w:gridSpan w:val="5"/>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436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563C1"/>
              </w:rPr>
              <w:t>Controls and Procedures</w:t>
            </w:r>
          </w:p>
        </w:tc>
        <w:tc>
          <w:tcPr>
            <w:tcW w:w="5060" w:type="dxa"/>
            <w:vAlign w:val="bottom"/>
            <w:gridSpan w:val="5"/>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080" w:type="dxa"/>
            <w:vAlign w:val="bottom"/>
            <w:gridSpan w:val="6"/>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563C1"/>
                <w:w w:val="91"/>
              </w:rPr>
              <w:t>OTHER INFORMATION</w:t>
            </w:r>
          </w:p>
        </w:tc>
        <w:tc>
          <w:tcPr>
            <w:tcW w:w="1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5080" w:type="dxa"/>
            <w:vAlign w:val="bottom"/>
            <w:gridSpan w:val="6"/>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080" w:type="dxa"/>
            <w:vAlign w:val="bottom"/>
            <w:gridSpan w:val="6"/>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18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563C1"/>
              </w:rPr>
              <w:t>Legal Proceedings</w:t>
            </w:r>
          </w:p>
        </w:tc>
        <w:tc>
          <w:tcPr>
            <w:tcW w:w="440" w:type="dxa"/>
            <w:vAlign w:val="bottom"/>
            <w:gridSpan w:val="2"/>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5080" w:type="dxa"/>
            <w:vAlign w:val="bottom"/>
            <w:gridSpan w:val="6"/>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0" w:type="dxa"/>
            <w:vAlign w:val="bottom"/>
            <w:gridSpan w:val="4"/>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080" w:type="dxa"/>
            <w:vAlign w:val="bottom"/>
            <w:gridSpan w:val="6"/>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1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563C1"/>
              </w:rPr>
              <w:t>Risk Factors</w:t>
            </w:r>
          </w:p>
        </w:tc>
        <w:tc>
          <w:tcPr>
            <w:tcW w:w="1000" w:type="dxa"/>
            <w:vAlign w:val="bottom"/>
            <w:gridSpan w:val="4"/>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5080" w:type="dxa"/>
            <w:vAlign w:val="bottom"/>
            <w:gridSpan w:val="6"/>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520" w:type="dxa"/>
            <w:vAlign w:val="bottom"/>
            <w:gridSpan w:val="16"/>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0563C1"/>
              </w:rPr>
              <w:t>Sales of Equity Securities and Use of Proceeds</w:t>
            </w: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563C1"/>
                <w:w w:val="94"/>
              </w:rPr>
              <w:t>Unregistered</w:t>
            </w:r>
          </w:p>
        </w:tc>
        <w:tc>
          <w:tcPr>
            <w:tcW w:w="8520" w:type="dxa"/>
            <w:vAlign w:val="bottom"/>
            <w:gridSpan w:val="16"/>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gridSpan w:val="5"/>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5080" w:type="dxa"/>
            <w:vAlign w:val="bottom"/>
            <w:gridSpan w:val="6"/>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43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5080" w:type="dxa"/>
            <w:vAlign w:val="bottom"/>
            <w:gridSpan w:val="6"/>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gridSpan w:val="5"/>
            <w:shd w:val="clear" w:color="auto" w:fill="0563C1"/>
          </w:tcPr>
          <w:p>
            <w:pPr>
              <w:spacing w:after="0" w:line="20" w:lineRule="exact"/>
              <w:rPr>
                <w:sz w:val="1"/>
                <w:szCs w:val="1"/>
                <w:color w:val="auto"/>
              </w:rPr>
            </w:pPr>
          </w:p>
        </w:tc>
        <w:tc>
          <w:tcPr>
            <w:tcW w:w="7100" w:type="dxa"/>
            <w:vAlign w:val="bottom"/>
            <w:gridSpan w:val="10"/>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23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563C1"/>
              </w:rPr>
              <w:t>Mine Safety Disclosures</w:t>
            </w:r>
          </w:p>
        </w:tc>
        <w:tc>
          <w:tcPr>
            <w:tcW w:w="7100" w:type="dxa"/>
            <w:vAlign w:val="bottom"/>
            <w:gridSpan w:val="10"/>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7660" w:type="dxa"/>
            <w:vAlign w:val="bottom"/>
            <w:gridSpan w:val="13"/>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563C1"/>
              </w:rPr>
              <w:t>Other Information</w:t>
            </w:r>
          </w:p>
        </w:tc>
        <w:tc>
          <w:tcPr>
            <w:tcW w:w="7660" w:type="dxa"/>
            <w:vAlign w:val="bottom"/>
            <w:gridSpan w:val="1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8120" w:type="dxa"/>
            <w:vAlign w:val="bottom"/>
            <w:gridSpan w:val="15"/>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1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563C1"/>
              </w:rPr>
              <w:t>Exhibits</w:t>
            </w:r>
          </w:p>
        </w:tc>
        <w:tc>
          <w:tcPr>
            <w:tcW w:w="8120" w:type="dxa"/>
            <w:vAlign w:val="bottom"/>
            <w:gridSpan w:val="15"/>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24" w:lineRule="exact"/>
        <w:rPr>
          <w:sz w:val="20"/>
          <w:szCs w:val="20"/>
          <w:color w:val="auto"/>
        </w:rPr>
      </w:pPr>
    </w:p>
    <w:p>
      <w:pPr>
        <w:ind w:right="200" w:firstLine="644"/>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73" w:lineRule="exact"/>
        <w:rPr>
          <w:sz w:val="20"/>
          <w:szCs w:val="20"/>
          <w:color w:val="auto"/>
        </w:rPr>
      </w:pPr>
    </w:p>
    <w:p>
      <w:pPr>
        <w:ind w:left="800" w:hanging="225"/>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98" w:lineRule="exact"/>
        <w:rPr>
          <w:rFonts w:ascii="Times New Roman" w:cs="Times New Roman" w:eastAsia="Times New Roman" w:hAnsi="Times New Roman"/>
          <w:sz w:val="18"/>
          <w:szCs w:val="18"/>
          <w:color w:val="auto"/>
        </w:rPr>
      </w:pPr>
    </w:p>
    <w:p>
      <w:pPr>
        <w:ind w:left="800" w:right="200" w:hanging="225"/>
        <w:spacing w:after="0" w:line="250" w:lineRule="auto"/>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of our business, including the anticipated growth of revenue from supplier services, our ability to effectively manage or sustain our growth and to achieve or sustain profitability;</w:t>
      </w:r>
    </w:p>
    <w:p>
      <w:pPr>
        <w:spacing w:after="0" w:line="176" w:lineRule="exact"/>
        <w:rPr>
          <w:rFonts w:ascii="Times New Roman" w:cs="Times New Roman" w:eastAsia="Times New Roman" w:hAnsi="Times New Roman"/>
          <w:sz w:val="18"/>
          <w:szCs w:val="18"/>
          <w:color w:val="auto"/>
        </w:rPr>
      </w:pPr>
    </w:p>
    <w:p>
      <w:pPr>
        <w:ind w:left="780" w:right="740" w:hanging="205"/>
        <w:spacing w:after="0" w:line="250" w:lineRule="auto"/>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 and any other periods of global economic uncertainty, such as the geopolitical tensions associated with Russia's recent invasion of Ukraine;</w:t>
      </w:r>
    </w:p>
    <w:p>
      <w:pPr>
        <w:spacing w:after="0" w:line="162"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98" w:lineRule="exact"/>
        <w:rPr>
          <w:rFonts w:ascii="Times New Roman" w:cs="Times New Roman" w:eastAsia="Times New Roman" w:hAnsi="Times New Roman"/>
          <w:sz w:val="18"/>
          <w:szCs w:val="18"/>
          <w:color w:val="auto"/>
        </w:rPr>
      </w:pPr>
    </w:p>
    <w:p>
      <w:pPr>
        <w:ind w:left="760" w:hanging="19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buyers and suppliers and successfully engage new and existing buyers and suppliers;</w:t>
      </w:r>
    </w:p>
    <w:p>
      <w:pPr>
        <w:spacing w:after="0" w:line="21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98" w:lineRule="exact"/>
        <w:rPr>
          <w:rFonts w:ascii="Times New Roman" w:cs="Times New Roman" w:eastAsia="Times New Roman" w:hAnsi="Times New Roman"/>
          <w:sz w:val="18"/>
          <w:szCs w:val="18"/>
          <w:color w:val="auto"/>
        </w:rPr>
      </w:pPr>
    </w:p>
    <w:p>
      <w:pPr>
        <w:ind w:left="760" w:hanging="19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98"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21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or other proprietary rights and any costs associated therewith;</w:t>
      </w:r>
    </w:p>
    <w:p>
      <w:pPr>
        <w:spacing w:after="0" w:line="198" w:lineRule="exact"/>
        <w:rPr>
          <w:rFonts w:ascii="Times New Roman" w:cs="Times New Roman" w:eastAsia="Times New Roman" w:hAnsi="Times New Roman"/>
          <w:sz w:val="18"/>
          <w:szCs w:val="18"/>
          <w:color w:val="auto"/>
        </w:rPr>
      </w:pPr>
    </w:p>
    <w:p>
      <w:pPr>
        <w:ind w:left="760" w:hanging="19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98"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17" w:lineRule="exact"/>
        <w:rPr>
          <w:sz w:val="20"/>
          <w:szCs w:val="20"/>
          <w:color w:val="auto"/>
        </w:rPr>
      </w:pPr>
    </w:p>
    <w:p>
      <w:pPr>
        <w:ind w:right="20" w:firstLine="644"/>
        <w:spacing w:after="0" w:line="262"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59"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3" w:lineRule="exact"/>
        <w:rPr>
          <w:sz w:val="20"/>
          <w:szCs w:val="20"/>
          <w:color w:val="auto"/>
        </w:rPr>
      </w:pPr>
    </w:p>
    <w:p>
      <w:pPr>
        <w:ind w:right="20" w:firstLine="644"/>
        <w:spacing w:after="0" w:line="242" w:lineRule="auto"/>
        <w:rPr>
          <w:sz w:val="20"/>
          <w:szCs w:val="20"/>
          <w:color w:val="auto"/>
        </w:rPr>
      </w:pPr>
      <w:r>
        <w:rPr>
          <w:rFonts w:ascii="Times New Roman" w:cs="Times New Roman" w:eastAsia="Times New Roman" w:hAnsi="Times New Roman"/>
          <w:sz w:val="18"/>
          <w:szCs w:val="18"/>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87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56"/>
        </w:trPr>
        <w:tc>
          <w:tcPr>
            <w:tcW w:w="8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(audited)</w:t>
            </w:r>
          </w:p>
        </w:tc>
        <w:tc>
          <w:tcPr>
            <w:tcW w:w="60" w:type="dxa"/>
            <w:vAlign w:val="bottom"/>
          </w:tcPr>
          <w:p>
            <w:pPr>
              <w:spacing w:after="0"/>
              <w:rPr>
                <w:sz w:val="13"/>
                <w:szCs w:val="13"/>
                <w:color w:val="auto"/>
              </w:rPr>
            </w:pPr>
          </w:p>
        </w:tc>
      </w:tr>
      <w:tr>
        <w:trPr>
          <w:trHeight w:val="175"/>
        </w:trPr>
        <w:tc>
          <w:tcPr>
            <w:tcW w:w="8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8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58,969</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86,262</w:t>
            </w:r>
          </w:p>
        </w:tc>
        <w:tc>
          <w:tcPr>
            <w:tcW w:w="60" w:type="dxa"/>
            <w:vAlign w:val="bottom"/>
            <w:shd w:val="clear" w:color="auto" w:fill="CFF0FC"/>
          </w:tcPr>
          <w:p>
            <w:pPr>
              <w:spacing w:after="0"/>
              <w:rPr>
                <w:sz w:val="15"/>
                <w:szCs w:val="15"/>
                <w:color w:val="auto"/>
              </w:rPr>
            </w:pPr>
          </w:p>
        </w:tc>
      </w:tr>
      <w:tr>
        <w:trPr>
          <w:trHeight w:val="175"/>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30,465</w:t>
            </w:r>
          </w:p>
        </w:tc>
        <w:tc>
          <w:tcPr>
            <w:tcW w:w="60" w:type="dxa"/>
            <w:vAlign w:val="bottom"/>
          </w:tcPr>
          <w:p>
            <w:pPr>
              <w:spacing w:after="0"/>
              <w:rPr>
                <w:sz w:val="15"/>
                <w:szCs w:val="15"/>
                <w:color w:val="auto"/>
              </w:rPr>
            </w:pPr>
          </w:p>
        </w:tc>
      </w:tr>
      <w:tr>
        <w:trPr>
          <w:trHeight w:val="176"/>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less allowance for doubtful accounts of $1.0 million as of March 31, 2022 and $0.8 million as of December 31, 2021</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38,471</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32,427</w:t>
            </w:r>
          </w:p>
        </w:tc>
        <w:tc>
          <w:tcPr>
            <w:tcW w:w="60" w:type="dxa"/>
            <w:vAlign w:val="bottom"/>
            <w:shd w:val="clear" w:color="auto" w:fill="CFF0FC"/>
          </w:tcPr>
          <w:p>
            <w:pPr>
              <w:spacing w:after="0"/>
              <w:rPr>
                <w:sz w:val="15"/>
                <w:szCs w:val="15"/>
                <w:color w:val="auto"/>
              </w:rPr>
            </w:pPr>
          </w:p>
        </w:tc>
      </w:tr>
      <w:tr>
        <w:trPr>
          <w:trHeight w:val="175"/>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60" w:type="dxa"/>
            <w:vAlign w:val="bottom"/>
          </w:tcPr>
          <w:p>
            <w:pPr>
              <w:spacing w:after="0"/>
              <w:rPr>
                <w:sz w:val="15"/>
                <w:szCs w:val="15"/>
                <w:color w:val="auto"/>
              </w:rPr>
            </w:pPr>
          </w:p>
        </w:tc>
      </w:tr>
      <w:tr>
        <w:trPr>
          <w:trHeight w:val="176"/>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6,664</w:t>
            </w:r>
          </w:p>
        </w:tc>
        <w:tc>
          <w:tcPr>
            <w:tcW w:w="60" w:type="dxa"/>
            <w:vAlign w:val="bottom"/>
            <w:shd w:val="clear" w:color="auto" w:fill="CFF0FC"/>
          </w:tcPr>
          <w:p>
            <w:pPr>
              <w:spacing w:after="0"/>
              <w:rPr>
                <w:sz w:val="15"/>
                <w:szCs w:val="15"/>
                <w:color w:val="auto"/>
              </w:rPr>
            </w:pPr>
          </w:p>
        </w:tc>
      </w:tr>
      <w:tr>
        <w:trPr>
          <w:trHeight w:val="175"/>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sales commissions</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60" w:type="dxa"/>
            <w:vAlign w:val="bottom"/>
          </w:tcPr>
          <w:p>
            <w:pPr>
              <w:spacing w:after="0"/>
              <w:rPr>
                <w:sz w:val="15"/>
                <w:szCs w:val="15"/>
                <w:color w:val="auto"/>
              </w:rPr>
            </w:pPr>
          </w:p>
        </w:tc>
      </w:tr>
      <w:tr>
        <w:trPr>
          <w:trHeight w:val="176"/>
        </w:trPr>
        <w:tc>
          <w:tcPr>
            <w:tcW w:w="8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1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8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163,431</w:t>
            </w:r>
          </w:p>
        </w:tc>
        <w:tc>
          <w:tcPr>
            <w:tcW w:w="60" w:type="dxa"/>
            <w:vAlign w:val="bottom"/>
          </w:tcPr>
          <w:p>
            <w:pPr>
              <w:spacing w:after="0"/>
              <w:rPr>
                <w:sz w:val="14"/>
                <w:szCs w:val="14"/>
                <w:color w:val="auto"/>
              </w:rPr>
            </w:pPr>
          </w:p>
        </w:tc>
      </w:tr>
      <w:tr>
        <w:trPr>
          <w:trHeight w:val="175"/>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10,287</w:t>
            </w:r>
          </w:p>
        </w:tc>
        <w:tc>
          <w:tcPr>
            <w:tcW w:w="60" w:type="dxa"/>
            <w:vAlign w:val="bottom"/>
            <w:shd w:val="clear" w:color="auto" w:fill="CFF0FC"/>
          </w:tcPr>
          <w:p>
            <w:pPr>
              <w:spacing w:after="0"/>
              <w:rPr>
                <w:sz w:val="15"/>
                <w:szCs w:val="15"/>
                <w:color w:val="auto"/>
              </w:rPr>
            </w:pPr>
          </w:p>
        </w:tc>
      </w:tr>
      <w:tr>
        <w:trPr>
          <w:trHeight w:val="176"/>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27,489</w:t>
            </w:r>
          </w:p>
        </w:tc>
        <w:tc>
          <w:tcPr>
            <w:tcW w:w="60" w:type="dxa"/>
            <w:vAlign w:val="bottom"/>
          </w:tcPr>
          <w:p>
            <w:pPr>
              <w:spacing w:after="0"/>
              <w:rPr>
                <w:sz w:val="15"/>
                <w:szCs w:val="15"/>
                <w:color w:val="auto"/>
              </w:rPr>
            </w:pPr>
          </w:p>
        </w:tc>
      </w:tr>
      <w:tr>
        <w:trPr>
          <w:trHeight w:val="176"/>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 unconsolidated joint venture</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60" w:type="dxa"/>
            <w:vAlign w:val="bottom"/>
            <w:shd w:val="clear" w:color="auto" w:fill="CFF0FC"/>
          </w:tcPr>
          <w:p>
            <w:pPr>
              <w:spacing w:after="0"/>
              <w:rPr>
                <w:sz w:val="15"/>
                <w:szCs w:val="15"/>
                <w:color w:val="auto"/>
              </w:rPr>
            </w:pPr>
          </w:p>
        </w:tc>
      </w:tr>
      <w:tr>
        <w:trPr>
          <w:trHeight w:val="175"/>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41,736</w:t>
            </w:r>
          </w:p>
        </w:tc>
        <w:tc>
          <w:tcPr>
            <w:tcW w:w="60" w:type="dxa"/>
            <w:vAlign w:val="bottom"/>
          </w:tcPr>
          <w:p>
            <w:pPr>
              <w:spacing w:after="0"/>
              <w:rPr>
                <w:sz w:val="15"/>
                <w:szCs w:val="15"/>
                <w:color w:val="auto"/>
              </w:rPr>
            </w:pPr>
          </w:p>
        </w:tc>
      </w:tr>
      <w:tr>
        <w:trPr>
          <w:trHeight w:val="176"/>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255,231</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254,672</w:t>
            </w:r>
          </w:p>
        </w:tc>
        <w:tc>
          <w:tcPr>
            <w:tcW w:w="60" w:type="dxa"/>
            <w:vAlign w:val="bottom"/>
            <w:shd w:val="clear" w:color="auto" w:fill="CFF0FC"/>
          </w:tcPr>
          <w:p>
            <w:pPr>
              <w:spacing w:after="0"/>
              <w:rPr>
                <w:sz w:val="15"/>
                <w:szCs w:val="15"/>
                <w:color w:val="auto"/>
              </w:rPr>
            </w:pPr>
          </w:p>
        </w:tc>
      </w:tr>
      <w:tr>
        <w:trPr>
          <w:trHeight w:val="175"/>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60" w:type="dxa"/>
            <w:vAlign w:val="bottom"/>
          </w:tcPr>
          <w:p>
            <w:pPr>
              <w:spacing w:after="0"/>
              <w:rPr>
                <w:sz w:val="15"/>
                <w:szCs w:val="15"/>
                <w:color w:val="auto"/>
              </w:rPr>
            </w:pPr>
          </w:p>
        </w:tc>
      </w:tr>
      <w:tr>
        <w:trPr>
          <w:trHeight w:val="209"/>
        </w:trPr>
        <w:tc>
          <w:tcPr>
            <w:tcW w:w="8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761,327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502,586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87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8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9,930</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12,718</w:t>
            </w:r>
          </w:p>
        </w:tc>
        <w:tc>
          <w:tcPr>
            <w:tcW w:w="60" w:type="dxa"/>
            <w:vAlign w:val="bottom"/>
          </w:tcPr>
          <w:p>
            <w:pPr>
              <w:spacing w:after="0"/>
              <w:rPr>
                <w:sz w:val="15"/>
                <w:szCs w:val="15"/>
                <w:color w:val="auto"/>
              </w:rPr>
            </w:pPr>
          </w:p>
        </w:tc>
      </w:tr>
      <w:tr>
        <w:trPr>
          <w:trHeight w:val="176"/>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28,195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30,905</w:t>
            </w:r>
          </w:p>
        </w:tc>
        <w:tc>
          <w:tcPr>
            <w:tcW w:w="60" w:type="dxa"/>
            <w:vAlign w:val="bottom"/>
            <w:shd w:val="clear" w:color="auto" w:fill="CFF0FC"/>
          </w:tcPr>
          <w:p>
            <w:pPr>
              <w:spacing w:after="0"/>
              <w:rPr>
                <w:sz w:val="15"/>
                <w:szCs w:val="15"/>
                <w:color w:val="auto"/>
              </w:rPr>
            </w:pPr>
          </w:p>
        </w:tc>
      </w:tr>
      <w:tr>
        <w:trPr>
          <w:trHeight w:val="176"/>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liabilities</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60" w:type="dxa"/>
            <w:vAlign w:val="bottom"/>
          </w:tcPr>
          <w:p>
            <w:pPr>
              <w:spacing w:after="0"/>
              <w:rPr>
                <w:sz w:val="15"/>
                <w:szCs w:val="15"/>
                <w:color w:val="auto"/>
              </w:rPr>
            </w:pPr>
          </w:p>
        </w:tc>
      </w:tr>
      <w:tr>
        <w:trPr>
          <w:trHeight w:val="175"/>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5,662</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60" w:type="dxa"/>
            <w:vAlign w:val="bottom"/>
            <w:shd w:val="clear" w:color="auto" w:fill="CFF0FC"/>
          </w:tcPr>
          <w:p>
            <w:pPr>
              <w:spacing w:after="0"/>
              <w:rPr>
                <w:sz w:val="15"/>
                <w:szCs w:val="15"/>
                <w:color w:val="auto"/>
              </w:rPr>
            </w:pPr>
          </w:p>
        </w:tc>
      </w:tr>
      <w:tr>
        <w:trPr>
          <w:trHeight w:val="176"/>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Finance lease liabilities, current portion</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r>
      <w:tr>
        <w:trPr>
          <w:trHeight w:val="169"/>
        </w:trPr>
        <w:tc>
          <w:tcPr>
            <w:tcW w:w="8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6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53,795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57,037</w:t>
            </w:r>
          </w:p>
        </w:tc>
        <w:tc>
          <w:tcPr>
            <w:tcW w:w="60" w:type="dxa"/>
            <w:vAlign w:val="bottom"/>
            <w:shd w:val="clear" w:color="auto" w:fill="CFF0FC"/>
          </w:tcPr>
          <w:p>
            <w:pPr>
              <w:spacing w:after="0"/>
              <w:rPr>
                <w:sz w:val="14"/>
                <w:szCs w:val="14"/>
                <w:color w:val="auto"/>
              </w:rPr>
            </w:pPr>
          </w:p>
        </w:tc>
      </w:tr>
      <w:tr>
        <w:trPr>
          <w:trHeight w:val="175"/>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60" w:type="dxa"/>
            <w:vAlign w:val="bottom"/>
          </w:tcPr>
          <w:p>
            <w:pPr>
              <w:spacing w:after="0"/>
              <w:rPr>
                <w:sz w:val="15"/>
                <w:szCs w:val="15"/>
                <w:color w:val="auto"/>
              </w:rPr>
            </w:pPr>
          </w:p>
        </w:tc>
      </w:tr>
      <w:tr>
        <w:trPr>
          <w:trHeight w:val="175"/>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Convertible notes</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278,511</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60" w:type="dxa"/>
            <w:vAlign w:val="bottom"/>
          </w:tcPr>
          <w:p>
            <w:pPr>
              <w:spacing w:after="0"/>
              <w:rPr>
                <w:sz w:val="15"/>
                <w:szCs w:val="15"/>
                <w:color w:val="auto"/>
              </w:rPr>
            </w:pPr>
          </w:p>
        </w:tc>
      </w:tr>
      <w:tr>
        <w:trPr>
          <w:trHeight w:val="175"/>
        </w:trPr>
        <w:tc>
          <w:tcPr>
            <w:tcW w:w="8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8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351,148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77,103</w:t>
            </w:r>
          </w:p>
        </w:tc>
        <w:tc>
          <w:tcPr>
            <w:tcW w:w="60" w:type="dxa"/>
            <w:vAlign w:val="bottom"/>
          </w:tcPr>
          <w:p>
            <w:pPr>
              <w:spacing w:after="0"/>
              <w:rPr>
                <w:sz w:val="14"/>
                <w:szCs w:val="14"/>
                <w:color w:val="auto"/>
              </w:rPr>
            </w:pPr>
          </w:p>
        </w:tc>
      </w:tr>
      <w:tr>
        <w:trPr>
          <w:trHeight w:val="169"/>
        </w:trPr>
        <w:tc>
          <w:tcPr>
            <w:tcW w:w="8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13)</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8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602,360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597,641</w:t>
            </w:r>
          </w:p>
        </w:tc>
        <w:tc>
          <w:tcPr>
            <w:tcW w:w="60" w:type="dxa"/>
            <w:vAlign w:val="bottom"/>
            <w:shd w:val="clear" w:color="auto" w:fill="CFF0FC"/>
          </w:tcPr>
          <w:p>
            <w:pPr>
              <w:spacing w:after="0"/>
              <w:rPr>
                <w:sz w:val="15"/>
                <w:szCs w:val="15"/>
                <w:color w:val="auto"/>
              </w:rPr>
            </w:pPr>
          </w:p>
        </w:tc>
      </w:tr>
      <w:tr>
        <w:trPr>
          <w:trHeight w:val="175"/>
        </w:trPr>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60" w:type="dxa"/>
            <w:vAlign w:val="bottom"/>
          </w:tcPr>
          <w:p>
            <w:pPr>
              <w:spacing w:after="0"/>
              <w:rPr>
                <w:sz w:val="15"/>
                <w:szCs w:val="15"/>
                <w:color w:val="auto"/>
              </w:rPr>
            </w:pPr>
          </w:p>
        </w:tc>
      </w:tr>
      <w:tr>
        <w:trPr>
          <w:trHeight w:val="176"/>
        </w:trPr>
        <w:tc>
          <w:tcPr>
            <w:tcW w:w="8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(193,353 )</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(173,341 )</w:t>
            </w:r>
          </w:p>
        </w:tc>
      </w:tr>
      <w:tr>
        <w:trPr>
          <w:trHeight w:val="169"/>
        </w:trPr>
        <w:tc>
          <w:tcPr>
            <w:tcW w:w="8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409,111</w:t>
            </w: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424,449</w:t>
            </w:r>
          </w:p>
        </w:tc>
        <w:tc>
          <w:tcPr>
            <w:tcW w:w="60" w:type="dxa"/>
            <w:vAlign w:val="bottom"/>
            <w:tcBorders>
              <w:top w:val="single" w:sz="8" w:color="CFF0FC"/>
            </w:tcBorders>
          </w:tcPr>
          <w:p>
            <w:pPr>
              <w:spacing w:after="0"/>
              <w:rPr>
                <w:sz w:val="14"/>
                <w:szCs w:val="14"/>
                <w:color w:val="auto"/>
              </w:rPr>
            </w:pPr>
          </w:p>
        </w:tc>
      </w:tr>
      <w:tr>
        <w:trPr>
          <w:trHeight w:val="175"/>
        </w:trPr>
        <w:tc>
          <w:tcPr>
            <w:tcW w:w="8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8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410,179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425,483</w:t>
            </w:r>
          </w:p>
        </w:tc>
        <w:tc>
          <w:tcPr>
            <w:tcW w:w="60" w:type="dxa"/>
            <w:vAlign w:val="bottom"/>
          </w:tcPr>
          <w:p>
            <w:pPr>
              <w:spacing w:after="0"/>
              <w:rPr>
                <w:sz w:val="14"/>
                <w:szCs w:val="14"/>
                <w:color w:val="auto"/>
              </w:rPr>
            </w:pPr>
          </w:p>
        </w:tc>
      </w:tr>
      <w:tr>
        <w:trPr>
          <w:trHeight w:val="209"/>
        </w:trPr>
        <w:tc>
          <w:tcPr>
            <w:tcW w:w="8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761,327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502,586</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-3462655</wp:posOffset>
            </wp:positionV>
            <wp:extent cx="43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-3462655</wp:posOffset>
            </wp:positionV>
            <wp:extent cx="4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-2553970</wp:posOffset>
            </wp:positionV>
            <wp:extent cx="4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-2536825</wp:posOffset>
            </wp:positionV>
            <wp:extent cx="4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-2553970</wp:posOffset>
            </wp:positionV>
            <wp:extent cx="431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-2536825</wp:posOffset>
            </wp:positionV>
            <wp:extent cx="431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-1182370</wp:posOffset>
            </wp:positionV>
            <wp:extent cx="431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-1182370</wp:posOffset>
            </wp:positionV>
            <wp:extent cx="431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-496570</wp:posOffset>
            </wp:positionV>
            <wp:extent cx="431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-265430</wp:posOffset>
            </wp:positionV>
            <wp:extent cx="43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-265430</wp:posOffset>
            </wp:positionV>
            <wp:extent cx="43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43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431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0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8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83,671</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43,922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50,732</w:t>
            </w:r>
          </w:p>
        </w:tc>
        <w:tc>
          <w:tcPr>
            <w:tcW w:w="2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32,939</w:t>
            </w:r>
          </w:p>
        </w:tc>
        <w:tc>
          <w:tcPr>
            <w:tcW w:w="2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19,285</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10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12,358</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development</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12,959</w:t>
            </w:r>
          </w:p>
        </w:tc>
        <w:tc>
          <w:tcPr>
            <w:tcW w:w="2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51,892</w:t>
            </w:r>
          </w:p>
        </w:tc>
        <w:tc>
          <w:tcPr>
            <w:tcW w:w="2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0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(18,953 )</w:t>
            </w:r>
          </w:p>
        </w:tc>
        <w:tc>
          <w:tcPr>
            <w:tcW w:w="1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(10,049 )</w:t>
            </w:r>
          </w:p>
        </w:tc>
        <w:tc>
          <w:tcPr>
            <w:tcW w:w="0" w:type="dxa"/>
            <w:vAlign w:val="bottom"/>
          </w:tcPr>
          <w:p>
            <w:pPr>
              <w:spacing w:after="0"/>
              <w:rPr>
                <w:sz w:val="1"/>
                <w:szCs w:val="1"/>
                <w:color w:val="auto"/>
              </w:rPr>
            </w:pPr>
          </w:p>
        </w:tc>
      </w:tr>
      <w:tr>
        <w:trPr>
          <w:trHeight w:val="19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(expenses) income</w:t>
            </w: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(769 )</w:t>
            </w:r>
          </w:p>
        </w:tc>
        <w:tc>
          <w:tcPr>
            <w:tcW w:w="1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0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(962 )</w:t>
            </w:r>
          </w:p>
        </w:tc>
        <w:tc>
          <w:tcPr>
            <w:tcW w:w="1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unconsolidated joint venture</w:t>
            </w: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expenses</w:t>
            </w:r>
          </w:p>
        </w:tc>
        <w:tc>
          <w:tcPr>
            <w:tcW w:w="10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(1,601 )</w:t>
            </w:r>
          </w:p>
        </w:tc>
        <w:tc>
          <w:tcPr>
            <w:tcW w:w="1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0" w:type="dxa"/>
            <w:vAlign w:val="bottom"/>
          </w:tcPr>
          <w:p>
            <w:pPr>
              <w:spacing w:after="0"/>
              <w:rPr>
                <w:sz w:val="1"/>
                <w:szCs w:val="1"/>
                <w:color w:val="auto"/>
              </w:rPr>
            </w:pPr>
          </w:p>
        </w:tc>
      </w:tr>
      <w:tr>
        <w:trPr>
          <w:trHeight w:val="20"/>
        </w:trPr>
        <w:tc>
          <w:tcPr>
            <w:tcW w:w="7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080" w:type="dxa"/>
            <w:vAlign w:val="bottom"/>
          </w:tcPr>
          <w:p>
            <w:pPr>
              <w:spacing w:after="0"/>
              <w:rPr>
                <w:sz w:val="18"/>
                <w:szCs w:val="18"/>
                <w:color w:val="auto"/>
              </w:rPr>
            </w:pP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(20,554 )</w:t>
            </w:r>
          </w:p>
        </w:tc>
        <w:tc>
          <w:tcPr>
            <w:tcW w:w="1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(10,501 )</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Benefit for income taxes</w:t>
            </w:r>
          </w:p>
        </w:tc>
        <w:tc>
          <w:tcPr>
            <w:tcW w:w="10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2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80" w:type="dxa"/>
            <w:vAlign w:val="bottom"/>
          </w:tcPr>
          <w:p>
            <w:pPr>
              <w:spacing w:after="0"/>
              <w:rPr>
                <w:sz w:val="18"/>
                <w:szCs w:val="18"/>
                <w:color w:val="auto"/>
              </w:rPr>
            </w:pP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(19,995 )</w:t>
            </w:r>
          </w:p>
        </w:tc>
        <w:tc>
          <w:tcPr>
            <w:tcW w:w="1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(10,501 )</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0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w:t>
            </w:r>
          </w:p>
        </w:tc>
        <w:tc>
          <w:tcPr>
            <w:tcW w:w="108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(20,012 )</w:t>
            </w: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(10,501 )</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1080" w:type="dxa"/>
            <w:vAlign w:val="bottom"/>
            <w:tcBorders>
              <w:bottom w:val="single" w:sz="8" w:color="auto"/>
            </w:tcBorders>
            <w:shd w:val="clear" w:color="auto" w:fill="CFF0FC"/>
          </w:tcPr>
          <w:p>
            <w:pPr>
              <w:jc w:val="right"/>
              <w:ind w:right="9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(0.43</w:t>
            </w:r>
          </w:p>
        </w:tc>
        <w:tc>
          <w:tcPr>
            <w:tcW w:w="260" w:type="dxa"/>
            <w:vAlign w:val="bottom"/>
            <w:tcBorders>
              <w:bottom w:val="single" w:sz="8" w:color="CFF0FC"/>
            </w:tcBorders>
            <w:shd w:val="clear" w:color="auto" w:fill="CFF0FC"/>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1100" w:type="dxa"/>
            <w:vAlign w:val="bottom"/>
            <w:tcBorders>
              <w:bottom w:val="single" w:sz="8" w:color="auto"/>
            </w:tcBorders>
            <w:shd w:val="clear" w:color="auto" w:fill="CFF0FC"/>
          </w:tcPr>
          <w:p>
            <w:pPr>
              <w:jc w:val="right"/>
              <w:ind w:right="9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(1.33</w:t>
            </w:r>
          </w:p>
        </w:tc>
        <w:tc>
          <w:tcPr>
            <w:tcW w:w="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0"/>
        </w:trPr>
        <w:tc>
          <w:tcPr>
            <w:tcW w:w="73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Weighted-average number of shares outstanding used to compute</w:t>
            </w:r>
          </w:p>
        </w:tc>
        <w:tc>
          <w:tcPr>
            <w:tcW w:w="10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46,789,585</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7,924,848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36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10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0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8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(28 )</w:t>
            </w: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10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(28 )</w:t>
            </w: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80" w:type="dxa"/>
            <w:vAlign w:val="bottom"/>
          </w:tcPr>
          <w:p>
            <w:pPr>
              <w:spacing w:after="0"/>
              <w:rPr>
                <w:sz w:val="18"/>
                <w:szCs w:val="18"/>
                <w:color w:val="auto"/>
              </w:rPr>
            </w:pP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(19,995 )</w:t>
            </w:r>
          </w:p>
        </w:tc>
        <w:tc>
          <w:tcPr>
            <w:tcW w:w="1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(10,501 )</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(20,023 )</w:t>
            </w:r>
          </w:p>
        </w:tc>
        <w:tc>
          <w:tcPr>
            <w:tcW w:w="1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(10,471 )</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w:t>
            </w: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attributable to common stockholders</w:t>
            </w:r>
          </w:p>
        </w:tc>
        <w:tc>
          <w:tcPr>
            <w:tcW w:w="1080" w:type="dxa"/>
            <w:vAlign w:val="bottom"/>
            <w:tcBorders>
              <w:top w:val="single" w:sz="8" w:color="auto"/>
              <w:bottom w:val="single" w:sz="8" w:color="auto"/>
            </w:tcBorders>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(20,057</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100" w:type="dxa"/>
            <w:vAlign w:val="bottom"/>
            <w:tcBorders>
              <w:top w:val="single" w:sz="8" w:color="auto"/>
              <w:bottom w:val="single" w:sz="8" w:color="auto"/>
            </w:tcBorders>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(10,471</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-3916680</wp:posOffset>
            </wp:positionV>
            <wp:extent cx="43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-3916680</wp:posOffset>
            </wp:positionV>
            <wp:extent cx="43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-3368040</wp:posOffset>
            </wp:positionV>
            <wp:extent cx="43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-3368040</wp:posOffset>
            </wp:positionV>
            <wp:extent cx="43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-2271395</wp:posOffset>
            </wp:positionV>
            <wp:extent cx="43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-2271395</wp:posOffset>
            </wp:positionV>
            <wp:extent cx="43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-1996440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-1996440</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-1722120</wp:posOffset>
            </wp:positionV>
            <wp:extent cx="431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-1722120</wp:posOffset>
            </wp:positionV>
            <wp:extent cx="431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-1464945</wp:posOffset>
            </wp:positionV>
            <wp:extent cx="431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-1448435</wp:posOffset>
            </wp:positionV>
            <wp:extent cx="431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-1464945</wp:posOffset>
            </wp:positionV>
            <wp:extent cx="43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-1448435</wp:posOffset>
            </wp:positionV>
            <wp:extent cx="431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-556895</wp:posOffset>
            </wp:positionV>
            <wp:extent cx="43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-556895</wp:posOffset>
            </wp:positionV>
            <wp:extent cx="431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43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431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06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Condensed Consolidated Statements of Changes in Convertible Preferred Stock and Stockholders’ Equity (Deficit)</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Three months ended March 31, 2022 and 2021</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bl>
      <w:tblPr>
        <w:tblLayout w:type="fixed"/>
        <w:tblInd w:w="0" w:type="dxa"/>
        <w:tblCellMar>
          <w:top w:w="0" w:type="dxa"/>
          <w:left w:w="0" w:type="dxa"/>
          <w:bottom w:w="0" w:type="dxa"/>
          <w:right w:w="0" w:type="dxa"/>
        </w:tblCellMar>
      </w:tblPr>
      <w:tr>
        <w:trPr>
          <w:trHeight w:val="142"/>
        </w:trPr>
        <w:tc>
          <w:tcPr>
            <w:tcW w:w="2320" w:type="dxa"/>
            <w:vAlign w:val="bottom"/>
          </w:tcPr>
          <w:p>
            <w:pPr>
              <w:spacing w:after="0"/>
              <w:rPr>
                <w:sz w:val="12"/>
                <w:szCs w:val="12"/>
                <w:color w:val="auto"/>
              </w:rPr>
            </w:pPr>
          </w:p>
        </w:tc>
        <w:tc>
          <w:tcPr>
            <w:tcW w:w="1500" w:type="dxa"/>
            <w:vAlign w:val="bottom"/>
            <w:tcBorders>
              <w:right w:val="single" w:sz="8" w:color="auto"/>
            </w:tcBorders>
            <w:gridSpan w:val="4"/>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7"/>
              </w:rPr>
              <w:t>Convertible Preferred 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Accumulate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1500" w:type="dxa"/>
            <w:vAlign w:val="bottom"/>
            <w:tcBorders>
              <w:right w:val="single" w:sz="8" w:color="auto"/>
            </w:tcBorders>
            <w:gridSpan w:val="4"/>
          </w:tcPr>
          <w:p>
            <w:pPr>
              <w:jc w:val="center"/>
              <w:ind w:right="58"/>
              <w:spacing w:after="0" w:line="122" w:lineRule="exact"/>
              <w:rPr>
                <w:sz w:val="20"/>
                <w:szCs w:val="20"/>
                <w:color w:val="auto"/>
              </w:rPr>
            </w:pPr>
            <w:r>
              <w:rPr>
                <w:rFonts w:ascii="Times New Roman" w:cs="Times New Roman" w:eastAsia="Times New Roman" w:hAnsi="Times New Roman"/>
                <w:sz w:val="11"/>
                <w:szCs w:val="11"/>
                <w:b w:val="1"/>
                <w:bCs w:val="1"/>
                <w:color w:val="auto"/>
                <w:w w:val="98"/>
              </w:rPr>
              <w:t>Seed-1, Seed-2, Series A-1,</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Class A - Common</w:t>
            </w:r>
          </w:p>
        </w:tc>
        <w:tc>
          <w:tcPr>
            <w:tcW w:w="40" w:type="dxa"/>
            <w:vAlign w:val="bottom"/>
          </w:tcPr>
          <w:p>
            <w:pPr>
              <w:spacing w:after="0"/>
              <w:rPr>
                <w:sz w:val="10"/>
                <w:szCs w:val="10"/>
                <w:color w:val="auto"/>
              </w:rPr>
            </w:pPr>
          </w:p>
        </w:tc>
        <w:tc>
          <w:tcPr>
            <w:tcW w:w="1660" w:type="dxa"/>
            <w:vAlign w:val="bottom"/>
            <w:gridSpan w:val="7"/>
            <w:vMerge w:val="restart"/>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Class B - Common   Additional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 Other</w:t>
            </w: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w:t>
            </w: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Noncontrolli</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500" w:type="dxa"/>
            <w:vAlign w:val="bottom"/>
            <w:tcBorders>
              <w:right w:val="single" w:sz="8" w:color="auto"/>
            </w:tcBorders>
            <w:gridSpan w:val="4"/>
          </w:tcPr>
          <w:p>
            <w:pPr>
              <w:jc w:val="center"/>
              <w:ind w:right="38"/>
              <w:spacing w:after="0" w:line="108" w:lineRule="exact"/>
              <w:rPr>
                <w:sz w:val="20"/>
                <w:szCs w:val="20"/>
                <w:color w:val="auto"/>
              </w:rPr>
            </w:pPr>
            <w:r>
              <w:rPr>
                <w:rFonts w:ascii="Times New Roman" w:cs="Times New Roman" w:eastAsia="Times New Roman" w:hAnsi="Times New Roman"/>
                <w:sz w:val="11"/>
                <w:szCs w:val="11"/>
                <w:b w:val="1"/>
                <w:bCs w:val="1"/>
                <w:color w:val="auto"/>
                <w:w w:val="98"/>
              </w:rPr>
              <w:t>Series A-2, Series B, Series C,</w:t>
            </w: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66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Comprehens</w:t>
            </w:r>
          </w:p>
        </w:tc>
        <w:tc>
          <w:tcPr>
            <w:tcW w:w="700" w:type="dxa"/>
            <w:vAlign w:val="bottom"/>
            <w:gridSpan w:val="4"/>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500" w:type="dxa"/>
            <w:vAlign w:val="bottom"/>
            <w:tcBorders>
              <w:right w:val="single" w:sz="8" w:color="auto"/>
            </w:tcBorders>
            <w:gridSpan w:val="4"/>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9"/>
              </w:rPr>
              <w:t>Series D, Series E</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center"/>
              <w:ind w:left="2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ive</w:t>
            </w:r>
          </w:p>
        </w:tc>
        <w:tc>
          <w:tcPr>
            <w:tcW w:w="3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100" w:type="dxa"/>
            <w:vAlign w:val="bottom"/>
          </w:tcPr>
          <w:p>
            <w:pPr>
              <w:spacing w:after="0"/>
              <w:rPr>
                <w:sz w:val="12"/>
                <w:szCs w:val="12"/>
                <w:color w:val="auto"/>
              </w:rPr>
            </w:pPr>
          </w:p>
        </w:tc>
        <w:tc>
          <w:tcPr>
            <w:tcW w:w="500" w:type="dxa"/>
            <w:vAlign w:val="bottom"/>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2"/>
          </w:tcPr>
          <w:p>
            <w:pPr>
              <w:ind w:left="40"/>
              <w:spacing w:after="0" w:line="111" w:lineRule="exact"/>
              <w:rPr>
                <w:sz w:val="20"/>
                <w:szCs w:val="20"/>
                <w:color w:val="auto"/>
              </w:rPr>
            </w:pPr>
            <w:r>
              <w:rPr>
                <w:rFonts w:ascii="Times New Roman" w:cs="Times New Roman" w:eastAsia="Times New Roman" w:hAnsi="Times New Roman"/>
                <w:sz w:val="11"/>
                <w:szCs w:val="11"/>
                <w:b w:val="1"/>
                <w:bCs w:val="1"/>
                <w:color w:val="auto"/>
              </w:rPr>
              <w:t>Amou</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4"/>
          </w:tcPr>
          <w:p>
            <w:pPr>
              <w:ind w:left="40"/>
              <w:spacing w:after="0" w:line="111" w:lineRule="exact"/>
              <w:rPr>
                <w:sz w:val="20"/>
                <w:szCs w:val="20"/>
                <w:color w:val="auto"/>
              </w:rPr>
            </w:pPr>
            <w:r>
              <w:rPr>
                <w:rFonts w:ascii="Times New Roman" w:cs="Times New Roman" w:eastAsia="Times New Roman" w:hAnsi="Times New Roman"/>
                <w:sz w:val="11"/>
                <w:szCs w:val="11"/>
                <w:b w:val="1"/>
                <w:bCs w:val="1"/>
                <w:color w:val="auto"/>
              </w:rPr>
              <w:t>Amoun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37"/>
              <w:spacing w:after="0" w:line="111"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w:t>
            </w:r>
          </w:p>
        </w:tc>
        <w:tc>
          <w:tcPr>
            <w:tcW w:w="40" w:type="dxa"/>
            <w:vAlign w:val="bottom"/>
          </w:tcPr>
          <w:p>
            <w:pPr>
              <w:spacing w:after="0"/>
              <w:rPr>
                <w:sz w:val="13"/>
                <w:szCs w:val="13"/>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nt</w:t>
            </w:r>
          </w:p>
        </w:tc>
        <w:tc>
          <w:tcPr>
            <w:tcW w:w="4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w:t>
            </w:r>
          </w:p>
        </w:tc>
        <w:tc>
          <w:tcPr>
            <w:tcW w:w="54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700" w:type="dxa"/>
            <w:vAlign w:val="bottom"/>
            <w:gridSpan w:val="4"/>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3"/>
                <w:szCs w:val="13"/>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17"/>
        </w:trPr>
        <w:tc>
          <w:tcPr>
            <w:tcW w:w="2320" w:type="dxa"/>
            <w:vAlign w:val="bottom"/>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right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tcBorders>
              <w:top w:val="single" w:sz="8" w:color="auto"/>
            </w:tcBorders>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(111,96</w:t>
            </w:r>
          </w:p>
        </w:tc>
        <w:tc>
          <w:tcPr>
            <w:tcW w:w="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27,758,941</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160,713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7,755,782</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ind w:right="6"/>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7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(111,249 )$</w:t>
            </w:r>
          </w:p>
        </w:tc>
        <w:tc>
          <w:tcPr>
            <w:tcW w:w="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(111,249 )</w:t>
            </w: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Conversion of common stock in connection</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 the initial public offering</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483,712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340" w:type="dxa"/>
            <w:vAlign w:val="bottom"/>
            <w:gridSpan w:val="3"/>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spacing w:after="0"/>
              <w:rPr>
                <w:sz w:val="14"/>
                <w:szCs w:val="14"/>
                <w:color w:val="auto"/>
              </w:rPr>
            </w:pPr>
          </w:p>
        </w:tc>
        <w:tc>
          <w:tcPr>
            <w:tcW w:w="34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4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right"/>
              <w:ind w:right="66"/>
              <w:spacing w:after="0"/>
              <w:rPr>
                <w:sz w:val="20"/>
                <w:szCs w:val="20"/>
                <w:color w:val="auto"/>
              </w:rPr>
            </w:pPr>
            <w:r>
              <w:rPr>
                <w:rFonts w:ascii="Times New Roman" w:cs="Times New Roman" w:eastAsia="Times New Roman" w:hAnsi="Times New Roman"/>
                <w:sz w:val="13"/>
                <w:szCs w:val="13"/>
                <w:color w:val="auto"/>
              </w:rPr>
              <w:t>(10,501 )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(10,501 )</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(10,501 )</w:t>
            </w:r>
          </w:p>
        </w:tc>
        <w:tc>
          <w:tcPr>
            <w:tcW w:w="0" w:type="dxa"/>
            <w:vAlign w:val="bottom"/>
          </w:tcPr>
          <w:p>
            <w:pPr>
              <w:spacing w:after="0"/>
              <w:rPr>
                <w:sz w:val="1"/>
                <w:szCs w:val="1"/>
                <w:color w:val="auto"/>
              </w:rPr>
            </w:pPr>
          </w:p>
        </w:tc>
      </w:tr>
      <w:tr>
        <w:trPr>
          <w:trHeight w:val="156"/>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comprehensive loss</w:t>
            </w:r>
          </w:p>
        </w:tc>
        <w:tc>
          <w:tcPr>
            <w:tcW w:w="70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right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(10,471</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(122,46</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27,758,941</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160,713</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8,239,494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700" w:type="dxa"/>
            <w:vAlign w:val="bottom"/>
            <w:gridSpan w:val="3"/>
          </w:tcPr>
          <w:p>
            <w:pPr>
              <w:jc w:val="right"/>
              <w:ind w:right="6"/>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6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(120,369 )$</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(120,369 )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3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tcBorders>
              <w:right w:val="single" w:sz="8" w:color="auto"/>
            </w:tcBorders>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43,998,40</w:t>
            </w: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2,676,15</w:t>
            </w:r>
          </w:p>
        </w:tc>
        <w:tc>
          <w:tcPr>
            <w:tcW w:w="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40" w:type="dxa"/>
            <w:vAlign w:val="bottom"/>
            <w:gridSpan w:val="2"/>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(173,34</w:t>
            </w: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597,641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color w:val="auto"/>
              </w:rPr>
              <w:t>1 )</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424,449</w:t>
            </w: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425,483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common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246,263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340" w:type="dxa"/>
            <w:vAlign w:val="bottom"/>
            <w:gridSpan w:val="3"/>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3,456</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spacing w:after="0"/>
              <w:rPr>
                <w:sz w:val="14"/>
                <w:szCs w:val="14"/>
                <w:color w:val="auto"/>
              </w:rPr>
            </w:pPr>
          </w:p>
        </w:tc>
        <w:tc>
          <w:tcPr>
            <w:tcW w:w="34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3,456</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360" w:type="dxa"/>
            <w:vAlign w:val="bottom"/>
            <w:shd w:val="clear" w:color="auto" w:fill="CFF0FC"/>
          </w:tcPr>
          <w:p>
            <w:pPr>
              <w:spacing w:after="0"/>
              <w:rPr>
                <w:sz w:val="14"/>
                <w:szCs w:val="14"/>
                <w:color w:val="auto"/>
              </w:rPr>
            </w:pPr>
          </w:p>
        </w:tc>
        <w:tc>
          <w:tcPr>
            <w:tcW w:w="34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0" w:type="dxa"/>
            <w:vAlign w:val="bottom"/>
          </w:tcPr>
          <w:p>
            <w:pPr>
              <w:spacing w:after="0"/>
              <w:rPr>
                <w:sz w:val="1"/>
                <w:szCs w:val="1"/>
                <w:color w:val="auto"/>
              </w:rPr>
            </w:pPr>
          </w:p>
        </w:tc>
      </w:tr>
      <w:tr>
        <w:trPr>
          <w:trHeight w:val="162"/>
        </w:trPr>
        <w:tc>
          <w:tcPr>
            <w:tcW w:w="2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right"/>
              <w:ind w:right="66"/>
              <w:spacing w:after="0"/>
              <w:rPr>
                <w:sz w:val="20"/>
                <w:szCs w:val="20"/>
                <w:color w:val="auto"/>
              </w:rPr>
            </w:pPr>
            <w:r>
              <w:rPr>
                <w:rFonts w:ascii="Times New Roman" w:cs="Times New Roman" w:eastAsia="Times New Roman" w:hAnsi="Times New Roman"/>
                <w:sz w:val="13"/>
                <w:szCs w:val="13"/>
                <w:color w:val="auto"/>
              </w:rPr>
              <w:t>(20,012 )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(20,012 )</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(19,995 )</w:t>
            </w:r>
          </w:p>
        </w:tc>
        <w:tc>
          <w:tcPr>
            <w:tcW w:w="0" w:type="dxa"/>
            <w:vAlign w:val="bottom"/>
          </w:tcPr>
          <w:p>
            <w:pPr>
              <w:spacing w:after="0"/>
              <w:rPr>
                <w:sz w:val="1"/>
                <w:szCs w:val="1"/>
                <w:color w:val="auto"/>
              </w:rPr>
            </w:pPr>
          </w:p>
        </w:tc>
      </w:tr>
      <w:tr>
        <w:trPr>
          <w:trHeight w:val="156"/>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comprehensive loss</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right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(20,057</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(20,023</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44,244,66</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2,676,15</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(193,35</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602,360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6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409,111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410,179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-1259205</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-1259205</wp:posOffset>
            </wp:positionV>
            <wp:extent cx="3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-1259205</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-1259205</wp:posOffset>
            </wp:positionV>
            <wp:extent cx="26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-1259205</wp:posOffset>
            </wp:positionV>
            <wp:extent cx="25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-1259205</wp:posOffset>
            </wp:positionV>
            <wp:extent cx="25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-1259205</wp:posOffset>
            </wp:positionV>
            <wp:extent cx="25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-1259205</wp:posOffset>
            </wp:positionV>
            <wp:extent cx="26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-1259205</wp:posOffset>
            </wp:positionV>
            <wp:extent cx="25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-1259205</wp:posOffset>
            </wp:positionV>
            <wp:extent cx="342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-1259205</wp:posOffset>
            </wp:positionV>
            <wp:extent cx="34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-1259205</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-1259205</wp:posOffset>
            </wp:positionV>
            <wp:extent cx="26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-1259205</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-222250</wp:posOffset>
            </wp:positionV>
            <wp:extent cx="342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-222250</wp:posOffset>
            </wp:positionV>
            <wp:extent cx="34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-222250</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-222250</wp:posOffset>
            </wp:positionV>
            <wp:extent cx="260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-222250</wp:posOffset>
            </wp:positionV>
            <wp:extent cx="25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-222250</wp:posOffset>
            </wp:positionV>
            <wp:extent cx="254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-222250</wp:posOffset>
            </wp:positionV>
            <wp:extent cx="25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-222250</wp:posOffset>
            </wp:positionV>
            <wp:extent cx="260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-222250</wp:posOffset>
            </wp:positionV>
            <wp:extent cx="25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-222250</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-222250</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-222250</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-222250</wp:posOffset>
            </wp:positionV>
            <wp:extent cx="260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-222250</wp:posOffset>
            </wp:positionV>
            <wp:extent cx="34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ind w:left="5180"/>
        <w:spacing w:after="0" w:line="234" w:lineRule="auto"/>
        <w:rPr>
          <w:sz w:val="20"/>
          <w:szCs w:val="20"/>
          <w:color w:val="auto"/>
        </w:rPr>
      </w:pPr>
      <w:r>
        <w:rPr>
          <w:rFonts w:ascii="Times New Roman" w:cs="Times New Roman" w:eastAsia="Times New Roman" w:hAnsi="Times New Roman"/>
          <w:sz w:val="18"/>
          <w:szCs w:val="18"/>
          <w:color w:val="auto"/>
        </w:rPr>
        <w:t>(Unaudited)</w:t>
      </w:r>
    </w:p>
    <w:p>
      <w:pPr>
        <w:spacing w:after="0" w:line="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(19,995 )</w:t>
            </w:r>
          </w:p>
        </w:tc>
        <w:tc>
          <w:tcPr>
            <w:tcW w:w="160" w:type="dxa"/>
            <w:vAlign w:val="bottom"/>
          </w:tcPr>
          <w:p>
            <w:pPr>
              <w:spacing w:after="0"/>
              <w:rPr>
                <w:sz w:val="15"/>
                <w:szCs w:val="15"/>
                <w:color w:val="auto"/>
              </w:rPr>
            </w:pP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(10,501 )</w:t>
            </w:r>
          </w:p>
        </w:tc>
      </w:tr>
      <w:tr>
        <w:trPr>
          <w:trHeight w:val="17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60" w:type="dxa"/>
            <w:vAlign w:val="bottom"/>
          </w:tcPr>
          <w:p>
            <w:pPr>
              <w:spacing w:after="0"/>
              <w:rPr>
                <w:sz w:val="15"/>
                <w:szCs w:val="15"/>
                <w:color w:val="auto"/>
              </w:rPr>
            </w:pPr>
          </w:p>
        </w:tc>
      </w:tr>
      <w:tr>
        <w:trPr>
          <w:trHeight w:val="175"/>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Reduction in carrying amount of right-of-use asset</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60" w:type="dxa"/>
            <w:vAlign w:val="bottom"/>
            <w:shd w:val="clear" w:color="auto" w:fill="CFF0FC"/>
          </w:tcPr>
          <w:p>
            <w:pPr>
              <w:spacing w:after="0"/>
              <w:rPr>
                <w:sz w:val="15"/>
                <w:szCs w:val="15"/>
                <w:color w:val="auto"/>
              </w:rPr>
            </w:pPr>
          </w:p>
        </w:tc>
      </w:tr>
      <w:tr>
        <w:trPr>
          <w:trHeight w:val="176"/>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60" w:type="dxa"/>
            <w:vAlign w:val="bottom"/>
          </w:tcPr>
          <w:p>
            <w:pPr>
              <w:spacing w:after="0"/>
              <w:rPr>
                <w:sz w:val="15"/>
                <w:szCs w:val="15"/>
                <w:color w:val="auto"/>
              </w:rPr>
            </w:pPr>
          </w:p>
        </w:tc>
      </w:tr>
      <w:tr>
        <w:trPr>
          <w:trHeight w:val="175"/>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00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shd w:val="clear" w:color="auto" w:fill="CFF0FC"/>
          </w:tcPr>
          <w:p>
            <w:pPr>
              <w:spacing w:after="0"/>
              <w:rPr>
                <w:sz w:val="15"/>
                <w:szCs w:val="15"/>
                <w:color w:val="auto"/>
              </w:rPr>
            </w:pPr>
          </w:p>
        </w:tc>
      </w:tr>
      <w:tr>
        <w:trPr>
          <w:trHeight w:val="176"/>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Revaluation of contingent consideration</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from unconsolidated joint venture</w:t>
            </w: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Non-cash income tax benefit</w:t>
            </w: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sale of property and equipment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costs on convertible notes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taxes benefit</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other assets and liabilities: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7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(6,145 )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(5,525 )</w:t>
            </w:r>
          </w:p>
        </w:tc>
      </w:tr>
      <w:tr>
        <w:trPr>
          <w:trHeight w:val="175"/>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Inventory</w:t>
            </w: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60" w:type="dxa"/>
            <w:vAlign w:val="bottom"/>
            <w:shd w:val="clear" w:color="auto" w:fill="CFF0FC"/>
          </w:tcPr>
          <w:p>
            <w:pPr>
              <w:spacing w:after="0"/>
              <w:rPr>
                <w:sz w:val="15"/>
                <w:szCs w:val="15"/>
                <w:color w:val="auto"/>
              </w:rPr>
            </w:pPr>
          </w:p>
        </w:tc>
      </w:tr>
      <w:tr>
        <w:trPr>
          <w:trHeight w:val="176"/>
        </w:trPr>
        <w:tc>
          <w:tcPr>
            <w:tcW w:w="7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(875 )</w:t>
            </w:r>
          </w:p>
        </w:tc>
      </w:tr>
      <w:tr>
        <w:trPr>
          <w:trHeight w:val="175"/>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commissions</w:t>
            </w: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(1,425 )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assets</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(224 )</w:t>
            </w:r>
          </w:p>
        </w:tc>
      </w:tr>
      <w:tr>
        <w:trPr>
          <w:trHeight w:val="176"/>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(2,752 )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60" w:type="dxa"/>
            <w:vAlign w:val="bottom"/>
            <w:shd w:val="clear" w:color="auto" w:fill="CFF0FC"/>
          </w:tcPr>
          <w:p>
            <w:pPr>
              <w:spacing w:after="0"/>
              <w:rPr>
                <w:sz w:val="15"/>
                <w:szCs w:val="15"/>
                <w:color w:val="auto"/>
              </w:rPr>
            </w:pPr>
          </w:p>
        </w:tc>
      </w:tr>
      <w:tr>
        <w:trPr>
          <w:trHeight w:val="175"/>
        </w:trPr>
        <w:tc>
          <w:tcPr>
            <w:tcW w:w="7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(2,843 )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60" w:type="dxa"/>
            <w:vAlign w:val="bottom"/>
          </w:tcPr>
          <w:p>
            <w:pPr>
              <w:spacing w:after="0"/>
              <w:rPr>
                <w:sz w:val="15"/>
                <w:szCs w:val="15"/>
                <w:color w:val="auto"/>
              </w:rPr>
            </w:pPr>
          </w:p>
        </w:tc>
      </w:tr>
      <w:tr>
        <w:trPr>
          <w:trHeight w:val="176"/>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Contract liabilities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60" w:type="dxa"/>
            <w:vAlign w:val="bottom"/>
            <w:shd w:val="clear" w:color="auto" w:fill="CFF0FC"/>
          </w:tcPr>
          <w:p>
            <w:pPr>
              <w:spacing w:after="0"/>
              <w:rPr>
                <w:sz w:val="15"/>
                <w:szCs w:val="15"/>
                <w:color w:val="auto"/>
              </w:rPr>
            </w:pPr>
          </w:p>
        </w:tc>
      </w:tr>
      <w:tr>
        <w:trPr>
          <w:trHeight w:val="175"/>
        </w:trPr>
        <w:tc>
          <w:tcPr>
            <w:tcW w:w="7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Lease liabilities</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(1,369 )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(266 )</w:t>
            </w:r>
          </w:p>
        </w:tc>
      </w:tr>
      <w:tr>
        <w:trPr>
          <w:trHeight w:val="169"/>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(24,259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(280,091 )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(2,543 )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(1,244 )</w:t>
            </w:r>
          </w:p>
        </w:tc>
      </w:tr>
      <w:tr>
        <w:trPr>
          <w:trHeight w:val="175"/>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7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(282,465</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stock options exercised</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60" w:type="dxa"/>
            <w:vAlign w:val="bottom"/>
            <w:shd w:val="clear" w:color="auto" w:fill="CFF0FC"/>
          </w:tcPr>
          <w:p>
            <w:pPr>
              <w:spacing w:after="0"/>
              <w:rPr>
                <w:sz w:val="15"/>
                <w:szCs w:val="15"/>
                <w:color w:val="auto"/>
              </w:rPr>
            </w:pPr>
          </w:p>
        </w:tc>
      </w:tr>
      <w:tr>
        <w:trPr>
          <w:trHeight w:val="175"/>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Costs incurred in connection with issuance of convertible notes</w:t>
            </w: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(9,301 )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finance lease obligations</w:t>
            </w: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69"/>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279,460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foreign currency translation on cash and cash equivalents</w:t>
            </w:r>
          </w:p>
        </w:tc>
        <w:tc>
          <w:tcPr>
            <w:tcW w:w="10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6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86,262</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59,874</w:t>
            </w:r>
          </w:p>
        </w:tc>
        <w:tc>
          <w:tcPr>
            <w:tcW w:w="60" w:type="dxa"/>
            <w:vAlign w:val="bottom"/>
          </w:tcPr>
          <w:p>
            <w:pPr>
              <w:spacing w:after="0"/>
              <w:rPr>
                <w:sz w:val="15"/>
                <w:szCs w:val="15"/>
                <w:color w:val="auto"/>
              </w:rPr>
            </w:pPr>
          </w:p>
        </w:tc>
      </w:tr>
      <w:tr>
        <w:trPr>
          <w:trHeight w:val="209"/>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58,969</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49,512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00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6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-2091055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-2091055</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-1537970</wp:posOffset>
            </wp:positionV>
            <wp:extent cx="7683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-1537970</wp:posOffset>
            </wp:positionV>
            <wp:extent cx="6858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-719455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-719455</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-231140</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-231140</wp:posOffset>
            </wp:positionV>
            <wp:extent cx="43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40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8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Organization and Description of Business</w:t>
      </w:r>
    </w:p>
    <w:p>
      <w:pPr>
        <w:spacing w:after="0" w:line="121" w:lineRule="exact"/>
        <w:rPr>
          <w:sz w:val="20"/>
          <w:szCs w:val="20"/>
          <w:color w:val="auto"/>
        </w:rPr>
      </w:pPr>
    </w:p>
    <w:p>
      <w:pPr>
        <w:ind w:right="80" w:firstLine="644"/>
        <w:spacing w:after="0" w:line="250" w:lineRule="auto"/>
        <w:rPr>
          <w:sz w:val="20"/>
          <w:szCs w:val="20"/>
          <w:color w:val="auto"/>
        </w:rPr>
      </w:pPr>
      <w:r>
        <w:rPr>
          <w:rFonts w:ascii="Times New Roman" w:cs="Times New Roman" w:eastAsia="Times New Roman" w:hAnsi="Times New Roman"/>
          <w:sz w:val="18"/>
          <w:szCs w:val="18"/>
          <w:color w:val="auto"/>
        </w:rPr>
        <w:t>Xometry, Inc. (“Xometry”, the “Company”, “we”, or “our”) was incorporated in the State of Delaware in May 2013. Xometry is a leading AI-enabled digital marketplace,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Derwood, Maryland.</w:t>
      </w:r>
    </w:p>
    <w:p>
      <w:pPr>
        <w:spacing w:after="0" w:line="69" w:lineRule="exact"/>
        <w:rPr>
          <w:sz w:val="20"/>
          <w:szCs w:val="20"/>
          <w:color w:val="auto"/>
        </w:rPr>
      </w:pPr>
    </w:p>
    <w:p>
      <w:pPr>
        <w:ind w:right="40" w:firstLine="644"/>
        <w:spacing w:after="0" w:line="250" w:lineRule="auto"/>
        <w:rPr>
          <w:sz w:val="20"/>
          <w:szCs w:val="20"/>
          <w:color w:val="auto"/>
        </w:rPr>
      </w:pPr>
      <w:r>
        <w:rPr>
          <w:rFonts w:ascii="Times New Roman" w:cs="Times New Roman" w:eastAsia="Times New Roman" w:hAnsi="Times New Roman"/>
          <w:sz w:val="18"/>
          <w:szCs w:val="18"/>
          <w:color w:val="auto"/>
        </w:rPr>
        <w:t>Xometry uses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spacing w:after="0" w:line="69" w:lineRule="exact"/>
        <w:rPr>
          <w:sz w:val="20"/>
          <w:szCs w:val="20"/>
          <w:color w:val="auto"/>
        </w:rPr>
      </w:pPr>
    </w:p>
    <w:p>
      <w:pPr>
        <w:ind w:right="60" w:firstLine="644"/>
        <w:spacing w:after="0" w:line="280" w:lineRule="auto"/>
        <w:rPr>
          <w:sz w:val="20"/>
          <w:szCs w:val="20"/>
          <w:color w:val="auto"/>
        </w:rPr>
      </w:pPr>
      <w:r>
        <w:rPr>
          <w:rFonts w:ascii="Times New Roman" w:cs="Times New Roman" w:eastAsia="Times New Roman" w:hAnsi="Times New Roman"/>
          <w:sz w:val="17"/>
          <w:szCs w:val="17"/>
          <w:color w:val="auto"/>
        </w:rPr>
        <w:t>Xometry’s supplier capabilities include computer numerical control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as well as finishing services, rapid prototyping and high-volume production.</w:t>
      </w:r>
    </w:p>
    <w:p>
      <w:pPr>
        <w:spacing w:after="0" w:line="45" w:lineRule="exact"/>
        <w:rPr>
          <w:sz w:val="20"/>
          <w:szCs w:val="20"/>
          <w:color w:val="auto"/>
        </w:rPr>
      </w:pPr>
    </w:p>
    <w:p>
      <w:pPr>
        <w:jc w:val="both"/>
        <w:ind w:right="80" w:firstLine="644"/>
        <w:spacing w:after="0" w:line="258"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uptime by providing access to an extensive, diverse base of buyers. We also offer suppliers supporting products and services to meet their unique needs. Our suite of supplier services includes access to competitively priced tools, materials and supplies from leading brands and financial services products to stabilize and enhance cash flow.</w:t>
      </w:r>
    </w:p>
    <w:p>
      <w:pPr>
        <w:spacing w:after="0" w:line="61"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In 2021, we acquired Thomas Publishing Company (“Thomas”) and Fusiform, Inc. (d.b.a FactoryFour) (“FactoryFour”), expanding our basket of supplier services to include digital marketing and data solutions and SaaS based solutions to help suppliers optimize their productivity.</w:t>
      </w:r>
    </w:p>
    <w:p>
      <w:pPr>
        <w:spacing w:after="0" w:line="374" w:lineRule="exact"/>
        <w:rPr>
          <w:sz w:val="20"/>
          <w:szCs w:val="20"/>
          <w:color w:val="auto"/>
        </w:rPr>
      </w:pPr>
    </w:p>
    <w:p>
      <w:pPr>
        <w:ind w:left="380" w:right="5500" w:hanging="372"/>
        <w:spacing w:after="0" w:line="370" w:lineRule="auto"/>
        <w:tabs>
          <w:tab w:leader="none" w:pos="36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(a)Basis of Presentation</w:t>
      </w:r>
    </w:p>
    <w:p>
      <w:pPr>
        <w:ind w:firstLine="644"/>
        <w:spacing w:after="0" w:line="24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March 18, 2022.</w:t>
      </w:r>
    </w:p>
    <w:p>
      <w:pPr>
        <w:spacing w:after="0" w:line="74" w:lineRule="exact"/>
        <w:rPr>
          <w:sz w:val="20"/>
          <w:szCs w:val="20"/>
          <w:color w:val="auto"/>
        </w:rPr>
      </w:pPr>
    </w:p>
    <w:p>
      <w:pPr>
        <w:ind w:firstLine="644"/>
        <w:spacing w:after="0" w:line="247"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(deficit) and cash flows for the interim periods, but are not necessarily indicative of the results of operations to be anticipated for the full year 2022 or any future period. The Company has two reporting segments which are referred to as: (1) the United States (“U.S.”) and (2) International.</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Operations and Comprehensive Loss</w:t>
      </w:r>
    </w:p>
    <w:p>
      <w:pPr>
        <w:spacing w:after="0" w:line="119" w:lineRule="exact"/>
        <w:rPr>
          <w:sz w:val="20"/>
          <w:szCs w:val="20"/>
          <w:color w:val="auto"/>
        </w:rPr>
      </w:pPr>
    </w:p>
    <w:p>
      <w:pPr>
        <w:ind w:right="40" w:firstLine="644"/>
        <w:spacing w:after="0" w:line="244" w:lineRule="auto"/>
        <w:rPr>
          <w:sz w:val="20"/>
          <w:szCs w:val="20"/>
          <w:color w:val="auto"/>
        </w:rPr>
      </w:pPr>
      <w:r>
        <w:rPr>
          <w:rFonts w:ascii="Times New Roman" w:cs="Times New Roman" w:eastAsia="Times New Roman" w:hAnsi="Times New Roman"/>
          <w:sz w:val="18"/>
          <w:szCs w:val="18"/>
          <w:color w:val="auto"/>
        </w:rPr>
        <w:t>The U.S. dollar (“USD”) is the functional currency for Xometry’s consolidated subsidiary operating in the U.S. The primary functional currency for the Company's consolidated subsidiaries operating in Germany and to a lesser extent Japan is the Euro ("Euro")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9" w:lineRule="exact"/>
        <w:rPr>
          <w:sz w:val="20"/>
          <w:szCs w:val="20"/>
          <w:color w:val="auto"/>
        </w:rPr>
      </w:pPr>
    </w:p>
    <w:p>
      <w:pPr>
        <w:ind w:right="180" w:firstLine="644"/>
        <w:spacing w:after="0" w:line="250" w:lineRule="auto"/>
        <w:rPr>
          <w:sz w:val="20"/>
          <w:szCs w:val="20"/>
          <w:color w:val="auto"/>
        </w:rPr>
      </w:pPr>
      <w:r>
        <w:rPr>
          <w:rFonts w:ascii="Times New Roman" w:cs="Times New Roman" w:eastAsia="Times New Roman" w:hAnsi="Times New Roman"/>
          <w:sz w:val="18"/>
          <w:szCs w:val="18"/>
          <w:color w:val="auto"/>
        </w:rPr>
        <w:t>In connection with the acquisition of Thomas on December 9, 2021, we assumed a 66.67% ownership in Incom Co., LTD. As we have a controlling interest in Incom Co., LTD, we have consolidated Incom Co., LTD into our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right="760"/>
        <w:spacing w:after="0" w:line="282" w:lineRule="auto"/>
        <w:rPr>
          <w:sz w:val="20"/>
          <w:szCs w:val="20"/>
          <w:color w:val="auto"/>
        </w:rPr>
      </w:pPr>
      <w:r>
        <w:rPr>
          <w:rFonts w:ascii="Times New Roman" w:cs="Times New Roman" w:eastAsia="Times New Roman" w:hAnsi="Times New Roman"/>
          <w:sz w:val="18"/>
          <w:szCs w:val="18"/>
          <w:color w:val="auto"/>
        </w:rPr>
        <w:t>separate from total stockholders’ equity (deficit) on our Condensed Consolidated Balance Sheets. We include net income (loss) attributable to the noncontrolling interests in net income (loss) in our Condensed Consolidated Statements of Operations and Comprehensive Loss.</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(b)Use of Estimates</w:t>
      </w:r>
    </w:p>
    <w:p>
      <w:pPr>
        <w:spacing w:after="0" w:line="108"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spacing w:after="0" w:line="61" w:lineRule="exact"/>
        <w:rPr>
          <w:sz w:val="20"/>
          <w:szCs w:val="20"/>
          <w:color w:val="auto"/>
        </w:rPr>
      </w:pPr>
    </w:p>
    <w:p>
      <w:pPr>
        <w:ind w:firstLine="644"/>
        <w:spacing w:after="0" w:line="246" w:lineRule="auto"/>
        <w:rPr>
          <w:sz w:val="20"/>
          <w:szCs w:val="20"/>
          <w:color w:val="auto"/>
        </w:rPr>
      </w:pPr>
      <w:r>
        <w:rPr>
          <w:rFonts w:ascii="Times New Roman" w:cs="Times New Roman" w:eastAsia="Times New Roman" w:hAnsi="Times New Roman"/>
          <w:sz w:val="18"/>
          <w:szCs w:val="18"/>
          <w:color w:val="auto"/>
        </w:rPr>
        <w:t>In light of the currently unknown duration and severity of the COVID-19 pandemic, we face a greater degree of uncertainty than normal in making the judgments and estimates needed to apply our significant accounting policies. As of the date these condensed consolidated financial statements were issued, the impacts of the COVID-19 pandemic did not have a significant impact on our estimates or judgments. Judgments and assumptions may change, as new events occur and additional information is obtained, as well as other factors related to COVID-19 and economic recovery that could result in a meaningful impact on our consolidated financial statements in future reporting periods.</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(c)Business Combinations</w:t>
      </w:r>
    </w:p>
    <w:p>
      <w:pPr>
        <w:spacing w:after="0" w:line="108" w:lineRule="exact"/>
        <w:rPr>
          <w:sz w:val="20"/>
          <w:szCs w:val="20"/>
          <w:color w:val="auto"/>
        </w:rPr>
      </w:pPr>
    </w:p>
    <w:p>
      <w:pPr>
        <w:ind w:right="20" w:firstLine="644"/>
        <w:spacing w:after="0" w:line="243"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condensed consolidated statements of operations. Acquisition costs, such as legal and consulting fees, are expensed as incurred.</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(d)Fair Value Measurements and Financial Instruments</w:t>
      </w:r>
    </w:p>
    <w:p>
      <w:pPr>
        <w:spacing w:after="0" w:line="121" w:lineRule="exact"/>
        <w:rPr>
          <w:sz w:val="20"/>
          <w:szCs w:val="20"/>
          <w:color w:val="auto"/>
        </w:rPr>
      </w:pPr>
    </w:p>
    <w:p>
      <w:pPr>
        <w:jc w:val="both"/>
        <w:ind w:right="20" w:firstLine="644"/>
        <w:spacing w:after="0" w:line="250"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69" w:lineRule="exact"/>
        <w:rPr>
          <w:sz w:val="20"/>
          <w:szCs w:val="20"/>
          <w:color w:val="auto"/>
        </w:rPr>
      </w:pPr>
    </w:p>
    <w:p>
      <w:pPr>
        <w:ind w:right="360" w:firstLine="644"/>
        <w:spacing w:after="0" w:line="258"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jc w:val="both"/>
        <w:ind w:right="80" w:firstLine="644"/>
        <w:spacing w:after="0" w:line="250" w:lineRule="auto"/>
        <w:rPr>
          <w:sz w:val="20"/>
          <w:szCs w:val="20"/>
          <w:color w:val="auto"/>
        </w:rPr>
      </w:pPr>
      <w:r>
        <w:rPr>
          <w:rFonts w:ascii="Times New Roman" w:cs="Times New Roman" w:eastAsia="Times New Roman" w:hAnsi="Times New Roman"/>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82"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54"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(e)Marketable Securities</w:t>
      </w:r>
    </w:p>
    <w:p>
      <w:pPr>
        <w:spacing w:after="0" w:line="121" w:lineRule="exact"/>
        <w:rPr>
          <w:sz w:val="20"/>
          <w:szCs w:val="20"/>
          <w:color w:val="auto"/>
        </w:rPr>
      </w:pPr>
    </w:p>
    <w:p>
      <w:pPr>
        <w:ind w:right="120" w:firstLine="689"/>
        <w:spacing w:after="0" w:line="261" w:lineRule="auto"/>
        <w:rPr>
          <w:sz w:val="20"/>
          <w:szCs w:val="20"/>
          <w:color w:val="auto"/>
        </w:rPr>
      </w:pPr>
      <w:r>
        <w:rPr>
          <w:rFonts w:ascii="Times New Roman" w:cs="Times New Roman" w:eastAsia="Times New Roman" w:hAnsi="Times New Roman"/>
          <w:sz w:val="17"/>
          <w:szCs w:val="17"/>
          <w:color w:val="auto"/>
        </w:rPr>
        <w:t>The Company measures its marketable securities at fair value and recognizes any changes in fair value in net loss. Our marketable securities represent our investment in a short term bond fund and a money market fund. We consider our marketable securities as available for use in current operations, and therefore classify these securities as current assets on the Condensed Consolidated Balance Sheets. As of March 31, 2022 and December 31, 2021, the Company's marketable securities of $309.7 million and $30.5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During the three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 w:name="page10"/>
    <w:bookmarkEnd w:id="9"/>
    <w:p>
      <w:pPr>
        <w:spacing w:after="0" w:line="274" w:lineRule="auto"/>
        <w:rPr>
          <w:sz w:val="20"/>
          <w:szCs w:val="20"/>
          <w:color w:val="auto"/>
        </w:rPr>
      </w:pPr>
      <w:r>
        <w:rPr>
          <w:rFonts w:ascii="Times New Roman" w:cs="Times New Roman" w:eastAsia="Times New Roman" w:hAnsi="Times New Roman"/>
          <w:sz w:val="18"/>
          <w:szCs w:val="18"/>
          <w:color w:val="auto"/>
        </w:rPr>
        <w:t>months ended March 31, 2022, the Company recorded an unrealized loss of $0.9 million related to these securities which is recorded in other expenses on the Condensed Consolidated Statements of Operations and Comprehensive Loss. No unrealized gains (losses) were recorded during the three months ended March 31, 2021.</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(f)Accounts Receivable</w:t>
      </w:r>
    </w:p>
    <w:p>
      <w:pPr>
        <w:spacing w:after="0" w:line="121" w:lineRule="exact"/>
        <w:rPr>
          <w:sz w:val="20"/>
          <w:szCs w:val="20"/>
          <w:color w:val="auto"/>
        </w:rPr>
      </w:pPr>
    </w:p>
    <w:p>
      <w:pPr>
        <w:ind w:right="140" w:firstLine="644"/>
        <w:spacing w:after="0" w:line="244" w:lineRule="auto"/>
        <w:rPr>
          <w:sz w:val="20"/>
          <w:szCs w:val="20"/>
          <w:color w:val="auto"/>
        </w:rPr>
      </w:pPr>
      <w:r>
        <w:rPr>
          <w:rFonts w:ascii="Times New Roman" w:cs="Times New Roman" w:eastAsia="Times New Roman" w:hAnsi="Times New Roman"/>
          <w:sz w:val="18"/>
          <w:szCs w:val="18"/>
          <w:color w:val="auto"/>
        </w:rPr>
        <w:t>Accounts receivable are stated at the amount the Company expects to collect from outstanding balances. For buyers for which Xometry provides credit, the Company performs credit inquiries, including references checks, and queries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(g)Property and Equipment and Long-Lived Assets</w:t>
      </w:r>
    </w:p>
    <w:p>
      <w:pPr>
        <w:spacing w:after="0" w:line="108"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82" w:lineRule="exact"/>
        <w:rPr>
          <w:sz w:val="20"/>
          <w:szCs w:val="20"/>
          <w:color w:val="auto"/>
        </w:rPr>
      </w:pPr>
    </w:p>
    <w:p>
      <w:pPr>
        <w:ind w:right="40" w:firstLine="644"/>
        <w:spacing w:after="0" w:line="244" w:lineRule="auto"/>
        <w:rPr>
          <w:sz w:val="20"/>
          <w:szCs w:val="20"/>
          <w:color w:val="auto"/>
        </w:rPr>
      </w:pPr>
      <w:r>
        <w:rPr>
          <w:rFonts w:ascii="Times New Roman" w:cs="Times New Roman" w:eastAsia="Times New Roman" w:hAnsi="Times New Roman"/>
          <w:sz w:val="18"/>
          <w:szCs w:val="18"/>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87" w:lineRule="exact"/>
        <w:rPr>
          <w:sz w:val="20"/>
          <w:szCs w:val="20"/>
          <w:color w:val="auto"/>
        </w:rPr>
      </w:pPr>
    </w:p>
    <w:p>
      <w:pPr>
        <w:ind w:right="100" w:firstLine="644"/>
        <w:spacing w:after="0" w:line="246" w:lineRule="auto"/>
        <w:rPr>
          <w:sz w:val="20"/>
          <w:szCs w:val="20"/>
          <w:color w:val="auto"/>
        </w:rPr>
      </w:pPr>
      <w:r>
        <w:rPr>
          <w:rFonts w:ascii="Times New Roman" w:cs="Times New Roman" w:eastAsia="Times New Roman" w:hAnsi="Times New Roman"/>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$2.2 million for the three months ended March 31, 2022 and $5.2 million for the year ended December 31, 2021.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(h)Revenue</w:t>
      </w:r>
    </w:p>
    <w:p>
      <w:pPr>
        <w:spacing w:after="0" w:line="121" w:lineRule="exact"/>
        <w:rPr>
          <w:sz w:val="20"/>
          <w:szCs w:val="20"/>
          <w:color w:val="auto"/>
        </w:rPr>
      </w:pPr>
    </w:p>
    <w:p>
      <w:pPr>
        <w:ind w:right="200" w:firstLine="644"/>
        <w:spacing w:after="0" w:line="250" w:lineRule="auto"/>
        <w:rPr>
          <w:sz w:val="20"/>
          <w:szCs w:val="20"/>
          <w:color w:val="auto"/>
        </w:rPr>
      </w:pPr>
      <w:r>
        <w:rPr>
          <w:rFonts w:ascii="Times New Roman" w:cs="Times New Roman" w:eastAsia="Times New Roman" w:hAnsi="Times New Roman"/>
          <w:sz w:val="18"/>
          <w:szCs w:val="18"/>
          <w:color w:val="auto"/>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xml:space="preserve"> (“ASC 606”).</w:t>
      </w:r>
    </w:p>
    <w:p>
      <w:pPr>
        <w:spacing w:after="0" w:line="69" w:lineRule="exact"/>
        <w:rPr>
          <w:sz w:val="20"/>
          <w:szCs w:val="20"/>
          <w:color w:val="auto"/>
        </w:rPr>
      </w:pPr>
    </w:p>
    <w:p>
      <w:pPr>
        <w:ind w:right="40" w:firstLine="644"/>
        <w:spacing w:after="0" w:line="247" w:lineRule="auto"/>
        <w:rPr>
          <w:sz w:val="20"/>
          <w:szCs w:val="20"/>
          <w:color w:val="auto"/>
        </w:rPr>
      </w:pPr>
      <w:r>
        <w:rPr>
          <w:rFonts w:ascii="Times New Roman" w:cs="Times New Roman" w:eastAsia="Times New Roman" w:hAnsi="Times New Roman"/>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72" w:lineRule="exact"/>
        <w:rPr>
          <w:sz w:val="20"/>
          <w:szCs w:val="20"/>
          <w:color w:val="auto"/>
        </w:rPr>
      </w:pPr>
    </w:p>
    <w:p>
      <w:pPr>
        <w:ind w:right="60" w:firstLine="644"/>
        <w:spacing w:after="0" w:line="245" w:lineRule="auto"/>
        <w:rPr>
          <w:sz w:val="20"/>
          <w:szCs w:val="20"/>
          <w:color w:val="auto"/>
        </w:rPr>
      </w:pPr>
      <w:r>
        <w:rPr>
          <w:rFonts w:ascii="Times New Roman" w:cs="Times New Roman" w:eastAsia="Times New Roman" w:hAnsi="Times New Roman"/>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87" w:lineRule="exact"/>
        <w:rPr>
          <w:sz w:val="20"/>
          <w:szCs w:val="20"/>
          <w:color w:val="auto"/>
        </w:rPr>
      </w:pPr>
    </w:p>
    <w:p>
      <w:pPr>
        <w:ind w:right="40" w:firstLine="644"/>
        <w:spacing w:after="0" w:line="242" w:lineRule="auto"/>
        <w:rPr>
          <w:sz w:val="20"/>
          <w:szCs w:val="20"/>
          <w:color w:val="auto"/>
        </w:rPr>
      </w:pPr>
      <w:r>
        <w:rPr>
          <w:rFonts w:ascii="Times New Roman" w:cs="Times New Roman" w:eastAsia="Times New Roman" w:hAnsi="Times New Roman"/>
          <w:sz w:val="18"/>
          <w:szCs w:val="18"/>
          <w:color w:val="auto"/>
        </w:rPr>
        <w:t>Xometry also derives revenue from its supplier services which is a suite of services offered to our suppliers. In connection with the acquisition of Thomas on December 9, 2021, our revenue also includes the sale of advertising. This revenue is generally recognized as control is transferred to the customer, in an amount reflecting the consideration we expect to be entitled to in exchange for such product or service.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0" w:name="page11"/>
    <w:bookmarkEnd w:id="10"/>
    <w:p>
      <w:pPr>
        <w:ind w:right="180"/>
        <w:spacing w:after="0" w:line="274" w:lineRule="auto"/>
        <w:rPr>
          <w:sz w:val="20"/>
          <w:szCs w:val="20"/>
          <w:color w:val="auto"/>
        </w:rPr>
      </w:pPr>
      <w:r>
        <w:rPr>
          <w:rFonts w:ascii="Times New Roman" w:cs="Times New Roman" w:eastAsia="Times New Roman" w:hAnsi="Times New Roman"/>
          <w:sz w:val="18"/>
          <w:szCs w:val="18"/>
          <w:color w:val="auto"/>
        </w:rPr>
        <w:t>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p>
    <w:p>
      <w:pPr>
        <w:spacing w:after="0" w:line="61" w:lineRule="exact"/>
        <w:rPr>
          <w:sz w:val="20"/>
          <w:szCs w:val="20"/>
          <w:color w:val="auto"/>
        </w:rPr>
      </w:pPr>
    </w:p>
    <w:p>
      <w:pPr>
        <w:ind w:right="460" w:firstLine="644"/>
        <w:spacing w:after="0" w:line="282" w:lineRule="auto"/>
        <w:rPr>
          <w:sz w:val="20"/>
          <w:szCs w:val="20"/>
          <w:color w:val="auto"/>
        </w:rPr>
      </w:pPr>
      <w:r>
        <w:rPr>
          <w:rFonts w:ascii="Times New Roman" w:cs="Times New Roman" w:eastAsia="Times New Roman" w:hAnsi="Times New Roman"/>
          <w:sz w:val="18"/>
          <w:szCs w:val="18"/>
          <w:color w:val="auto"/>
        </w:rPr>
        <w:t>Revenue is shown net of estimated returns, refunds, and allowances. As of March 31, 2022 and December 31, 2021, the Company has a $0.3 million and $0.2 million, respectively, provision for estimated returns, refunds or allowances.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tax collected from customers and remitted to governmental authorities is excluded from revenue.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right="520" w:firstLine="644"/>
        <w:spacing w:after="0" w:line="250" w:lineRule="auto"/>
        <w:rPr>
          <w:sz w:val="20"/>
          <w:szCs w:val="20"/>
          <w:color w:val="auto"/>
        </w:rPr>
      </w:pPr>
      <w:r>
        <w:rPr>
          <w:rFonts w:ascii="Times New Roman" w:cs="Times New Roman" w:eastAsia="Times New Roman" w:hAnsi="Times New Roman"/>
          <w:sz w:val="18"/>
          <w:szCs w:val="18"/>
          <w:color w:val="auto"/>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contract liabilities as of December 31, 2021 and March 31, 2022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2021</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8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7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(36,958 )</w:t>
            </w: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7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March 31, 2022</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80" w:type="dxa"/>
            <w:vAlign w:val="bottom"/>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0" w:lineRule="exact"/>
        <w:rPr>
          <w:sz w:val="20"/>
          <w:szCs w:val="20"/>
          <w:color w:val="auto"/>
        </w:rPr>
      </w:pPr>
    </w:p>
    <w:p>
      <w:pPr>
        <w:ind w:right="500" w:firstLine="644"/>
        <w:spacing w:after="0" w:line="282" w:lineRule="auto"/>
        <w:rPr>
          <w:sz w:val="20"/>
          <w:szCs w:val="20"/>
          <w:color w:val="auto"/>
        </w:rPr>
      </w:pPr>
      <w:r>
        <w:rPr>
          <w:rFonts w:ascii="Times New Roman" w:cs="Times New Roman" w:eastAsia="Times New Roman" w:hAnsi="Times New Roman"/>
          <w:sz w:val="18"/>
          <w:szCs w:val="18"/>
          <w:color w:val="auto"/>
        </w:rPr>
        <w:t>During the period ended March 31, 2022, the Company recognized approximately $7.2 million of revenue related to its contract liabilities at December 31, 2021.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 Acquisition Costs</w:t>
      </w:r>
    </w:p>
    <w:p>
      <w:pPr>
        <w:spacing w:after="0" w:line="214"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Company’s incremental costs to obtain a contract may include a sales commission which is generally determined on a per order basis. For contracts in excess of one year, the Company amortizes such costs on a straight-line basis over the average customers life of two years for new customers and over the renewal period for existing customers which is generally one year. Sales commissions are included in Xometry’s sales and marketing expenses and cost of revenue in the Condensed Consolidated Statements of Operations and Comprehensive Loss. For the three months ended March 31, 2022, we recognized approximately $2.2 million of amortization related to deferred sales commissions.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(i)Cost of Revenue</w:t>
      </w:r>
    </w:p>
    <w:p>
      <w:pPr>
        <w:spacing w:after="0" w:line="216"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(j)Leases</w:t>
      </w:r>
    </w:p>
    <w:p>
      <w:pPr>
        <w:spacing w:after="0" w:line="108" w:lineRule="exact"/>
        <w:rPr>
          <w:sz w:val="20"/>
          <w:szCs w:val="20"/>
          <w:color w:val="auto"/>
        </w:rPr>
      </w:pPr>
    </w:p>
    <w:p>
      <w:pPr>
        <w:ind w:right="60" w:firstLine="644"/>
        <w:spacing w:after="0" w:line="247"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Condensed Consolidated Balance Sheets. The Company has finance leases as detailed in the Long-Lived Assets section above. For leases with terms of twelve months or less, the Company does not recognize a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p>
    <w:p>
      <w:pPr>
        <w:spacing w:after="0" w:line="72" w:lineRule="exact"/>
        <w:rPr>
          <w:sz w:val="20"/>
          <w:szCs w:val="20"/>
          <w:color w:val="auto"/>
        </w:rPr>
      </w:pPr>
    </w:p>
    <w:p>
      <w:pPr>
        <w:ind w:firstLine="644"/>
        <w:spacing w:after="0" w:line="247"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for lease payments is recognized on a straight-line basis over the term of the lease.</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(k)Sales and Marketing</w:t>
      </w:r>
    </w:p>
    <w:p>
      <w:pPr>
        <w:spacing w:after="0" w:line="121" w:lineRule="exact"/>
        <w:rPr>
          <w:sz w:val="20"/>
          <w:szCs w:val="20"/>
          <w:color w:val="auto"/>
        </w:rPr>
      </w:pPr>
    </w:p>
    <w:p>
      <w:pPr>
        <w:ind w:right="160" w:firstLine="644"/>
        <w:spacing w:after="0" w:line="250"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three months ended March 31, 2022 and 2021, the Company’s advertising costs were $7.1 million and $4.2 million, respectively.</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(l)Operations and Support</w:t>
      </w:r>
    </w:p>
    <w:p>
      <w:pPr>
        <w:spacing w:after="0" w:line="108" w:lineRule="exact"/>
        <w:rPr>
          <w:sz w:val="20"/>
          <w:szCs w:val="20"/>
          <w:color w:val="auto"/>
        </w:rPr>
      </w:pPr>
    </w:p>
    <w:p>
      <w:pPr>
        <w:ind w:right="80" w:firstLine="644"/>
        <w:spacing w:after="0" w:line="250" w:lineRule="auto"/>
        <w:rPr>
          <w:sz w:val="20"/>
          <w:szCs w:val="20"/>
          <w:color w:val="auto"/>
        </w:rPr>
      </w:pPr>
      <w:r>
        <w:rPr>
          <w:rFonts w:ascii="Times New Roman" w:cs="Times New Roman" w:eastAsia="Times New Roman" w:hAnsi="Times New Roman"/>
          <w:sz w:val="18"/>
          <w:szCs w:val="18"/>
          <w:color w:val="auto"/>
        </w:rPr>
        <w:t>Operations and support expenses are the costs the Company incurs in support of buyers and suppliers on Xometry’s platforms which are provided by phone, email and chat for purposes of resolving buyer and supplier related matters. These costs primarily consist of compensation expenses of the support staff, including stock-based compensation, certain depreciation and amortization expense and software costs used in delivering buyer and supplier services.</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(m)Product Development</w:t>
      </w:r>
    </w:p>
    <w:p>
      <w:pPr>
        <w:spacing w:after="0" w:line="121" w:lineRule="exact"/>
        <w:rPr>
          <w:sz w:val="20"/>
          <w:szCs w:val="20"/>
          <w:color w:val="auto"/>
        </w:rPr>
      </w:pPr>
    </w:p>
    <w:p>
      <w:pPr>
        <w:ind w:right="160" w:firstLine="644"/>
        <w:spacing w:after="0" w:line="296" w:lineRule="auto"/>
        <w:rPr>
          <w:sz w:val="20"/>
          <w:szCs w:val="20"/>
          <w:color w:val="auto"/>
        </w:rPr>
      </w:pPr>
      <w:r>
        <w:rPr>
          <w:rFonts w:ascii="Times New Roman" w:cs="Times New Roman" w:eastAsia="Times New Roman" w:hAnsi="Times New Roman"/>
          <w:sz w:val="17"/>
          <w:szCs w:val="17"/>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(n)General and Administrative</w:t>
      </w:r>
    </w:p>
    <w:p>
      <w:pPr>
        <w:spacing w:after="0" w:line="121" w:lineRule="exact"/>
        <w:rPr>
          <w:sz w:val="20"/>
          <w:szCs w:val="20"/>
          <w:color w:val="auto"/>
        </w:rPr>
      </w:pPr>
    </w:p>
    <w:p>
      <w:pPr>
        <w:ind w:right="460" w:firstLine="64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(o)Stock Based Compensation</w:t>
      </w:r>
    </w:p>
    <w:p>
      <w:pPr>
        <w:spacing w:after="0" w:line="121" w:lineRule="exact"/>
        <w:rPr>
          <w:sz w:val="20"/>
          <w:szCs w:val="20"/>
          <w:color w:val="auto"/>
        </w:rPr>
      </w:pPr>
    </w:p>
    <w:p>
      <w:pPr>
        <w:ind w:right="20" w:firstLine="644"/>
        <w:spacing w:after="0" w:line="246" w:lineRule="auto"/>
        <w:rPr>
          <w:sz w:val="20"/>
          <w:szCs w:val="20"/>
          <w:color w:val="auto"/>
        </w:rPr>
      </w:pPr>
      <w:r>
        <w:rPr>
          <w:rFonts w:ascii="Times New Roman" w:cs="Times New Roman" w:eastAsia="Times New Roman" w:hAnsi="Times New Roman"/>
          <w:sz w:val="18"/>
          <w:szCs w:val="18"/>
          <w:color w:val="auto"/>
        </w:rPr>
        <w:t>All stock 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variables include:</w:t>
      </w:r>
    </w:p>
    <w:p>
      <w:pPr>
        <w:spacing w:after="0" w:line="104" w:lineRule="exact"/>
        <w:rPr>
          <w:sz w:val="20"/>
          <w:szCs w:val="20"/>
          <w:color w:val="auto"/>
        </w:rPr>
      </w:pPr>
    </w:p>
    <w:p>
      <w:pPr>
        <w:ind w:left="1300" w:hanging="648"/>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annual dividend yield;</w:t>
      </w:r>
    </w:p>
    <w:p>
      <w:pPr>
        <w:spacing w:after="0" w:line="103"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over the expected term;</w:t>
      </w:r>
    </w:p>
    <w:p>
      <w:pPr>
        <w:spacing w:after="0" w:line="103"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1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interest rate;</w:t>
      </w:r>
    </w:p>
    <w:p>
      <w:pPr>
        <w:spacing w:after="0" w:line="103"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value of the underlying common stock; and</w:t>
      </w:r>
    </w:p>
    <w:p>
      <w:pPr>
        <w:spacing w:after="0" w:line="103"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17" w:lineRule="exact"/>
        <w:rPr>
          <w:sz w:val="20"/>
          <w:szCs w:val="20"/>
          <w:color w:val="auto"/>
        </w:rPr>
      </w:pPr>
    </w:p>
    <w:p>
      <w:pPr>
        <w:ind w:right="20" w:firstLine="644"/>
        <w:spacing w:after="0" w:line="244" w:lineRule="auto"/>
        <w:rPr>
          <w:sz w:val="20"/>
          <w:szCs w:val="20"/>
          <w:color w:val="auto"/>
        </w:rPr>
      </w:pPr>
      <w:r>
        <w:rPr>
          <w:rFonts w:ascii="Times New Roman" w:cs="Times New Roman" w:eastAsia="Times New Roman" w:hAnsi="Times New Roman"/>
          <w:sz w:val="18"/>
          <w:szCs w:val="18"/>
          <w:color w:val="auto"/>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As there was no public market for the Company's common stock prior to the initial public offering (“IPO”), the Company estimates its expected share price volatility based on the historical volatility of publicly traded peer companies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(p)Net Loss Per Share</w:t>
      </w:r>
    </w:p>
    <w:p>
      <w:pPr>
        <w:spacing w:after="0" w:line="108" w:lineRule="exact"/>
        <w:rPr>
          <w:sz w:val="20"/>
          <w:szCs w:val="20"/>
          <w:color w:val="auto"/>
        </w:rPr>
      </w:pPr>
    </w:p>
    <w:p>
      <w:pPr>
        <w:ind w:firstLine="644"/>
        <w:spacing w:after="0" w:line="24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 Vested RSUs that have not been settled have been included in the appropriate common share class used to calculate basic net loss per share.</w:t>
      </w:r>
    </w:p>
    <w:p>
      <w:pPr>
        <w:spacing w:after="0" w:line="73"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Subsequent to the Company's IPO on July 2, 2021, 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t>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(q) Recently Issued Accounting Standards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Effective in the Period Ended March 31, 2022</w:t>
      </w:r>
    </w:p>
    <w:p>
      <w:pPr>
        <w:spacing w:after="0" w:line="104" w:lineRule="exact"/>
        <w:rPr>
          <w:sz w:val="20"/>
          <w:szCs w:val="20"/>
          <w:color w:val="auto"/>
        </w:rPr>
      </w:pPr>
    </w:p>
    <w:p>
      <w:pPr>
        <w:ind w:firstLine="644"/>
        <w:spacing w:after="0" w:line="247" w:lineRule="auto"/>
        <w:rPr>
          <w:sz w:val="20"/>
          <w:szCs w:val="20"/>
          <w:color w:val="auto"/>
        </w:rPr>
      </w:pPr>
      <w:r>
        <w:rPr>
          <w:rFonts w:ascii="Times New Roman" w:cs="Times New Roman" w:eastAsia="Times New Roman" w:hAnsi="Times New Roman"/>
          <w:sz w:val="18"/>
          <w:szCs w:val="18"/>
          <w:color w:val="auto"/>
        </w:rPr>
        <w:t xml:space="preserve">In August 2020, the FASB issued Accounting Standards Update (“ASU”) 2020-06, </w:t>
      </w:r>
      <w:r>
        <w:rPr>
          <w:rFonts w:ascii="Times New Roman" w:cs="Times New Roman" w:eastAsia="Times New Roman" w:hAnsi="Times New Roman"/>
          <w:sz w:val="18"/>
          <w:szCs w:val="18"/>
          <w:i w:val="1"/>
          <w:iCs w:val="1"/>
          <w:color w:val="auto"/>
        </w:rPr>
        <w:t>Debt—Debt with Conversion and Other Options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470-20) and Derivatives and Hedging — Contracts in Entity’s Own Equity (Subtopic 815-40): Accounting for Convertible Instruments and Contracts in an Entity’s Own Equity (“ASU 2020-06”)</w:t>
      </w:r>
      <w:r>
        <w:rPr>
          <w:rFonts w:ascii="Times New Roman" w:cs="Times New Roman" w:eastAsia="Times New Roman" w:hAnsi="Times New Roman"/>
          <w:sz w:val="18"/>
          <w:szCs w:val="18"/>
          <w:color w:val="auto"/>
        </w:rPr>
        <w:t>, which reduced the number of models used to account for convertible instruments, amends the accounting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an entity’s own equity that would have previously been accounted for as derivatives and modifies the diluted earnings per share calculations for convertible instruments. We adopted ASU 2020-06 on January 1, 2022. As a result of the adoption of ASU 2020-06, the convertible notes issued in February 2022 were considered to be debt with no allocation to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Effective in Future Periods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Measurement of Credit Losses on Financial</w:t>
      </w:r>
    </w:p>
    <w:p>
      <w:pPr>
        <w:spacing w:after="0" w:line="2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Topic 326 changes the impairment model for most financial assets and certain other instruments. Under the new standard, entities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76"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3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Credit Concentrations</w:t>
      </w:r>
    </w:p>
    <w:p>
      <w:pPr>
        <w:spacing w:after="0" w:line="108" w:lineRule="exact"/>
        <w:rPr>
          <w:sz w:val="20"/>
          <w:szCs w:val="20"/>
          <w:color w:val="auto"/>
        </w:rPr>
      </w:pPr>
    </w:p>
    <w:p>
      <w:pPr>
        <w:ind w:right="300" w:firstLine="644"/>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buyers are located in the United States.</w:t>
      </w:r>
    </w:p>
    <w:p>
      <w:pPr>
        <w:spacing w:after="0" w:line="61" w:lineRule="exact"/>
        <w:rPr>
          <w:sz w:val="20"/>
          <w:szCs w:val="20"/>
          <w:color w:val="auto"/>
        </w:rPr>
      </w:pPr>
    </w:p>
    <w:p>
      <w:pPr>
        <w:ind w:right="320" w:firstLine="64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no one buyer accounted for more than 10% of the Company's revenue. As of March 31, 2022 and December 31, 2021, no single buyer accounted for more than 10% of the Company’s accounts receivable.</w:t>
      </w:r>
    </w:p>
    <w:p>
      <w:pPr>
        <w:spacing w:after="0" w:line="6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consists of raw materials, work-in-process, tools inventory and finished goods. Raw materials (plastics and metals) become</w:t>
      </w:r>
    </w:p>
    <w:p>
      <w:pPr>
        <w:spacing w:after="0" w:line="1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manufactured products in the additive and subtractive manufacturing processes. Work in progress represents manufacturing costs associated with buyer orders that are not yet complete. The tools inventory primarily consists of small consumable machine tools, cutting devices, etc. Finished goods represents product awaiting shipment. Inventory consists of the following as of March 31, 2022 and December 31, 2021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r>
      <w:tr>
        <w:trPr>
          <w:trHeight w:val="169"/>
        </w:trPr>
        <w:tc>
          <w:tcPr>
            <w:tcW w:w="34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3420" w:type="dxa"/>
            <w:vAlign w:val="bottom"/>
          </w:tcPr>
          <w:p>
            <w:pPr>
              <w:spacing w:after="0"/>
              <w:rPr>
                <w:sz w:val="14"/>
                <w:szCs w:val="14"/>
                <w:color w:val="auto"/>
              </w:rPr>
            </w:pPr>
          </w:p>
        </w:tc>
        <w:tc>
          <w:tcPr>
            <w:tcW w:w="552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5520" w:type="dxa"/>
            <w:vAlign w:val="bottom"/>
            <w:gridSpan w:val="2"/>
            <w:shd w:val="clear" w:color="auto" w:fill="CFF0FC"/>
          </w:tcPr>
          <w:p>
            <w:pPr>
              <w:jc w:val="right"/>
              <w:ind w:right="10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FF0FC"/>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4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60" w:type="dxa"/>
            <w:vAlign w:val="bottom"/>
          </w:tcPr>
          <w:p>
            <w:pPr>
              <w:spacing w:after="0"/>
              <w:rPr>
                <w:sz w:val="18"/>
                <w:szCs w:val="18"/>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Tools inventory</w:t>
            </w:r>
          </w:p>
        </w:tc>
        <w:tc>
          <w:tcPr>
            <w:tcW w:w="4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shd w:val="clear" w:color="auto" w:fill="CFF0FC"/>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3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60" w:type="dxa"/>
            <w:vAlign w:val="bottom"/>
            <w:tcBorders>
              <w:bottom w:val="single" w:sz="8" w:color="CFF0FC"/>
            </w:tcBorders>
            <w:shd w:val="clear" w:color="auto" w:fill="CFF0FC"/>
          </w:tcPr>
          <w:p>
            <w:pPr>
              <w:spacing w:after="0"/>
              <w:rPr>
                <w:sz w:val="21"/>
                <w:szCs w:val="21"/>
                <w:color w:val="auto"/>
              </w:rPr>
            </w:pPr>
          </w:p>
        </w:tc>
      </w:tr>
      <w:tr>
        <w:trPr>
          <w:trHeight w:val="507"/>
        </w:trPr>
        <w:tc>
          <w:tcPr>
            <w:tcW w:w="3420" w:type="dxa"/>
            <w:vAlign w:val="bottom"/>
          </w:tcPr>
          <w:p>
            <w:pPr>
              <w:spacing w:after="0"/>
              <w:rPr>
                <w:sz w:val="24"/>
                <w:szCs w:val="24"/>
                <w:color w:val="auto"/>
              </w:rPr>
            </w:pPr>
          </w:p>
        </w:tc>
        <w:tc>
          <w:tcPr>
            <w:tcW w:w="434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42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-436245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-419735</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-436245</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-419735</wp:posOffset>
            </wp:positionV>
            <wp:extent cx="43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 and Long-Lived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as of March 31, 2022 and December 31, 2021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2220" w:type="dxa"/>
            <w:vAlign w:val="bottom"/>
            <w:vMerge w:val="restart"/>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6000" w:type="dxa"/>
            <w:vAlign w:val="bottom"/>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00" w:type="dxa"/>
            <w:vAlign w:val="bottom"/>
          </w:tcPr>
          <w:p>
            <w:pPr>
              <w:spacing w:after="0"/>
              <w:rPr>
                <w:sz w:val="14"/>
                <w:szCs w:val="14"/>
                <w:color w:val="auto"/>
              </w:rPr>
            </w:pPr>
          </w:p>
        </w:tc>
        <w:tc>
          <w:tcPr>
            <w:tcW w:w="23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hardware</w:t>
            </w:r>
          </w:p>
        </w:tc>
        <w:tc>
          <w:tcPr>
            <w:tcW w:w="2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years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2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years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 years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0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Leasehold improvements</w:t>
            </w:r>
          </w:p>
        </w:tc>
        <w:tc>
          <w:tcPr>
            <w:tcW w:w="2380" w:type="dxa"/>
            <w:vAlign w:val="bottom"/>
            <w:gridSpan w:val="2"/>
            <w:shd w:val="clear" w:color="auto" w:fill="CFF0FC"/>
          </w:tcPr>
          <w:p>
            <w:pPr>
              <w:jc w:val="right"/>
              <w:ind w:right="160"/>
              <w:spacing w:after="0" w:line="170" w:lineRule="exact"/>
              <w:rPr>
                <w:sz w:val="20"/>
                <w:szCs w:val="20"/>
                <w:color w:val="auto"/>
              </w:rPr>
            </w:pPr>
            <w:r>
              <w:rPr>
                <w:rFonts w:ascii="Times New Roman" w:cs="Times New Roman" w:eastAsia="Times New Roman" w:hAnsi="Times New Roman"/>
                <w:sz w:val="18"/>
                <w:szCs w:val="18"/>
                <w:color w:val="auto"/>
              </w:rPr>
              <w:t>Shorter of useful</w:t>
            </w: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life or lease term</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years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(10,539 )</w:t>
            </w:r>
          </w:p>
        </w:tc>
        <w:tc>
          <w:tcPr>
            <w:tcW w:w="0" w:type="dxa"/>
            <w:vAlign w:val="bottom"/>
          </w:tcPr>
          <w:p>
            <w:pPr>
              <w:spacing w:after="0"/>
              <w:rPr>
                <w:sz w:val="1"/>
                <w:szCs w:val="1"/>
                <w:color w:val="auto"/>
              </w:rPr>
            </w:pPr>
          </w:p>
        </w:tc>
      </w:tr>
      <w:tr>
        <w:trPr>
          <w:trHeight w:val="249"/>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-25400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2022 and 2021 was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900" w:type="dxa"/>
            <w:vAlign w:val="bottom"/>
          </w:tcPr>
          <w:p>
            <w:pPr>
              <w:spacing w:after="0"/>
              <w:rPr>
                <w:sz w:val="14"/>
                <w:szCs w:val="14"/>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6"/>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4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-170815</wp:posOffset>
            </wp:positionV>
            <wp:extent cx="431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6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Leases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expense for the three months ended March 31, 2022 and 2021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3"/>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8"/>
                <w:szCs w:val="18"/>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jc w:val="both"/>
        <w:ind w:right="20" w:firstLine="644"/>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the Company entered into two new office leases. In connection with these leases, the Company recorded non-cash ROU assets and lease liabilities of $0.1 million.</w:t>
      </w:r>
    </w:p>
    <w:p>
      <w:pPr>
        <w:spacing w:after="0" w:line="40" w:lineRule="exact"/>
        <w:rPr>
          <w:sz w:val="20"/>
          <w:szCs w:val="20"/>
          <w:color w:val="auto"/>
        </w:rPr>
      </w:pPr>
    </w:p>
    <w:p>
      <w:pPr>
        <w:ind w:right="500" w:firstLine="644"/>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the Company also executed a new lease for an office in North Bethesda, Maryland. The lease is expected to commence in the fourth quarter of 2022. The lease has a term of seven years with total cash rental payments of approximately $7.1 million.</w:t>
      </w:r>
    </w:p>
    <w:p>
      <w:pPr>
        <w:spacing w:after="0" w:line="37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0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Big Blue Saw</w:t>
      </w:r>
    </w:p>
    <w:p>
      <w:pPr>
        <w:spacing w:after="0" w:line="106" w:lineRule="exact"/>
        <w:rPr>
          <w:sz w:val="20"/>
          <w:szCs w:val="20"/>
          <w:color w:val="auto"/>
        </w:rPr>
      </w:pPr>
    </w:p>
    <w:p>
      <w:pPr>
        <w:ind w:right="20" w:firstLine="644"/>
        <w:spacing w:after="0" w:line="245" w:lineRule="auto"/>
        <w:rPr>
          <w:sz w:val="20"/>
          <w:szCs w:val="20"/>
          <w:color w:val="auto"/>
        </w:rPr>
      </w:pPr>
      <w:r>
        <w:rPr>
          <w:rFonts w:ascii="Times New Roman" w:cs="Times New Roman" w:eastAsia="Times New Roman" w:hAnsi="Times New Roman"/>
          <w:sz w:val="18"/>
          <w:szCs w:val="18"/>
          <w:color w:val="auto"/>
        </w:rPr>
        <w:t>On November 1, 2021, the Company acquired Big Blue Saw subject to an Asset Purchase Agreement. The acquisition of Big Blue Saw extends our marketplace capabilities in water jet and laser cutting. The Company accounted for the acquisition as a business combination. The aggregate non-contingent portion of the purchase price was $1.5 million and was paid in cash and Class A common stock on the acquisition date. In addition, the purchase price included a contingent consideration arrangement to the former owner of Big Blue Saw up to a maximum amount of $1.0 million (undiscounted) in two installments on the first and second anniversary of the acquisition and is based on client conversions.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client conversions.</w:t>
      </w:r>
    </w:p>
    <w:p>
      <w:pPr>
        <w:spacing w:after="0" w:line="87" w:lineRule="exact"/>
        <w:rPr>
          <w:sz w:val="20"/>
          <w:szCs w:val="20"/>
          <w:color w:val="auto"/>
        </w:rPr>
      </w:pPr>
    </w:p>
    <w:p>
      <w:pPr>
        <w:ind w:right="380" w:firstLine="64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an approximate $31 thousand increase to the contingent consideration liability with a corresponding expense recognized in general and administrative expense on our Condensed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4" w:name="page15"/>
    <w:bookmarkEnd w:id="14"/>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Consolidated Statement of Operations and Comprehensive Loss. The Company re-evaluated the fair value of the contingent consideration based on current information available to the Company subsequent to our acquisition using a similar methodology as described above. As of March 31, 2022 and December 31, 2021, the total contingent consideration had a fair value of $0.9 million and $0.9 million, respectively.</w:t>
      </w:r>
    </w:p>
    <w:p>
      <w:pPr>
        <w:spacing w:after="0" w:line="61"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The Company performed a preliminary valuation analysis of the fair market value of the acquired assets and liabilities of Big Blue Saw during the fourth quarter of 2021. The final purchase price allocation will be determined when the Company has completed and fully reviewed all information necessary to finalize the fair value of the acquired assets and liabilities. The final allocation could differ materially from the preliminary allocation and may include changes in allocations to current asset, current liabilities and goodwill. No changes to the initial purchase price allocation were made during the three months ended March 31,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FactoryFour</w:t>
      </w:r>
    </w:p>
    <w:p>
      <w:pPr>
        <w:spacing w:after="0" w:line="106" w:lineRule="exact"/>
        <w:rPr>
          <w:sz w:val="20"/>
          <w:szCs w:val="20"/>
          <w:color w:val="auto"/>
        </w:rPr>
      </w:pPr>
    </w:p>
    <w:p>
      <w:pPr>
        <w:ind w:firstLine="644"/>
        <w:spacing w:after="0" w:line="243" w:lineRule="auto"/>
        <w:rPr>
          <w:sz w:val="20"/>
          <w:szCs w:val="20"/>
          <w:color w:val="auto"/>
        </w:rPr>
      </w:pPr>
      <w:r>
        <w:rPr>
          <w:rFonts w:ascii="Times New Roman" w:cs="Times New Roman" w:eastAsia="Times New Roman" w:hAnsi="Times New Roman"/>
          <w:sz w:val="18"/>
          <w:szCs w:val="18"/>
          <w:color w:val="auto"/>
        </w:rPr>
        <w:t>On November 5, 2021, the Company acquired FactoryFour subject to an Asset Purchase Agreement. FactoryFour provides a SaaS based solution to help manufacturers improve lead times and make strong, data-driven decisions through real-time production tracking. The Company accounted for the acquisition as a business combination. The aggregate non-contingent portion of the purchase price was $3.3 million and was paid in cash and Class A common stock on the acquisition date. In addition, the purchase price includes a contingent consideration arrangement to the former owners of FactoryFour up to a maximum amount of $2.5 million (undiscounted) in three installments on the first, second and third anniversary of the acquisition and is based on gross total orders. The fair value of the initial contingent consideration of $1.5 million was estimated by applying an option pricing model. The measurement is based on inputs that are not observable in the market (Level 3 inputs). Key assumptions made include (a) discount rate, (b) time to expiration, (c) stock price, (d) hurdle rate, (e) risk free rate, (f) volatility, (g) dividend rate and (f) assumptions about gross total orders.</w:t>
      </w:r>
    </w:p>
    <w:p>
      <w:pPr>
        <w:spacing w:after="0" w:line="92" w:lineRule="exact"/>
        <w:rPr>
          <w:sz w:val="20"/>
          <w:szCs w:val="20"/>
          <w:color w:val="auto"/>
        </w:rPr>
      </w:pPr>
    </w:p>
    <w:p>
      <w:pPr>
        <w:ind w:right="40" w:firstLine="644"/>
        <w:spacing w:after="0" w:line="244"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an approximate $0.4 million increase to the contingent consideration liability with a corresponding expense recognized in general and administrative expense on our Condensed Consolidated Statement of Operations and Comprehensive Loss. The Company re-evaluated the fair value of the contingent consideration based on current information available to the Company subsequent to our acquisition. To estimate the current fair value we applied an income valuation approach. The measurement is based on inputs that are not observable in the market (Level 3 inputs). Key assumptions made include (a) discount rate and (b) probability weighted assumptions about gross total orders. As of March 31, 2022 and December 31, 2021, the total contingent consideration had a fair value of $1.9 million and $1.5 million, respectively.</w:t>
      </w:r>
    </w:p>
    <w:p>
      <w:pPr>
        <w:spacing w:after="0" w:line="87"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The Company performed its initial valuation analysis of the fair market value of the acquired assets and liabilities of FactoryFour during the fourth quarter of 2021. The Company finalized its valuation analysis in the first quarter of 2022. No changes to the initial purchase price allocation were made during the three months ended March 31,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Thomas</w:t>
      </w:r>
    </w:p>
    <w:p>
      <w:pPr>
        <w:spacing w:after="0" w:line="119" w:lineRule="exact"/>
        <w:rPr>
          <w:sz w:val="20"/>
          <w:szCs w:val="20"/>
          <w:color w:val="auto"/>
        </w:rPr>
      </w:pPr>
    </w:p>
    <w:p>
      <w:pPr>
        <w:ind w:right="100" w:firstLine="644"/>
        <w:spacing w:after="0" w:line="244" w:lineRule="auto"/>
        <w:rPr>
          <w:sz w:val="20"/>
          <w:szCs w:val="20"/>
          <w:color w:val="auto"/>
        </w:rPr>
      </w:pPr>
      <w:r>
        <w:rPr>
          <w:rFonts w:ascii="Times New Roman" w:cs="Times New Roman" w:eastAsia="Times New Roman" w:hAnsi="Times New Roman"/>
          <w:sz w:val="18"/>
          <w:szCs w:val="18"/>
          <w:color w:val="auto"/>
        </w:rPr>
        <w:t>On December 9, 2021, the Company acquired Thomas subject to the merger agreement. Xometry leverages Thomas’ marketing and data services to deliver a suite of end-to-end services for suppliers with additional financial services and digital marketing products. The Company accounted for the acquisition as a business combination. The goodwill of $247.3 million arising from the acquisition of Thomas related to certain expected synergies which includes the ability to drive buyers and suppliers on to our platform and provide additional products and services. This goodwill which is included in our U.S. reporting segment is not expected to be deductible for tax purposes. The aggregate non-contingent portion of the purchase price was approximately $276.3 million and was paid in cash and Class A common stock on the acquisition date.</w:t>
      </w:r>
    </w:p>
    <w:p>
      <w:pPr>
        <w:spacing w:after="0" w:line="87" w:lineRule="exact"/>
        <w:rPr>
          <w:sz w:val="20"/>
          <w:szCs w:val="20"/>
          <w:color w:val="auto"/>
        </w:rPr>
      </w:pPr>
    </w:p>
    <w:p>
      <w:pPr>
        <w:ind w:firstLine="644"/>
        <w:spacing w:after="0" w:line="244" w:lineRule="auto"/>
        <w:rPr>
          <w:sz w:val="20"/>
          <w:szCs w:val="20"/>
          <w:color w:val="auto"/>
        </w:rPr>
      </w:pPr>
      <w:r>
        <w:rPr>
          <w:rFonts w:ascii="Times New Roman" w:cs="Times New Roman" w:eastAsia="Times New Roman" w:hAnsi="Times New Roman"/>
          <w:sz w:val="18"/>
          <w:szCs w:val="18"/>
          <w:color w:val="auto"/>
        </w:rPr>
        <w:t>The Company performed a preliminary valuation analysis of the fair market value of the acquired assets and liabilities of Thomas during the fourth quarter of 2021. The final purchase price allocation will be determined when the Company has completed and fully reviewed all information necessary to finalize the fair value of the acquired assets and liabilities. The final allocation could differ materially from the preliminary allocation and may include changes in allocations to current and long term asset, current and long term liabilities, deferred tax liabilities and goodwill. During the three months ended March 31, 2022, the Company recorded additional goodwill of approximately $0.6 million in connection with the identification of a deferred tax liability. This deferred tax liability was subsequently recognized into income during the three months ended March 31, 2022.</w:t>
      </w:r>
    </w:p>
    <w:p>
      <w:pPr>
        <w:spacing w:after="0" w:line="87" w:lineRule="exact"/>
        <w:rPr>
          <w:sz w:val="20"/>
          <w:szCs w:val="20"/>
          <w:color w:val="auto"/>
        </w:rPr>
      </w:pPr>
    </w:p>
    <w:p>
      <w:pPr>
        <w:ind w:right="580" w:firstLine="644"/>
        <w:spacing w:after="0" w:line="266" w:lineRule="auto"/>
        <w:rPr>
          <w:sz w:val="20"/>
          <w:szCs w:val="20"/>
          <w:color w:val="auto"/>
        </w:rPr>
      </w:pPr>
      <w:r>
        <w:rPr>
          <w:rFonts w:ascii="Times New Roman" w:cs="Times New Roman" w:eastAsia="Times New Roman" w:hAnsi="Times New Roman"/>
          <w:sz w:val="18"/>
          <w:szCs w:val="18"/>
          <w:color w:val="auto"/>
        </w:rPr>
        <w:t>The following table (in thousands) summarizes the consideration paid for Thomas and the preliminary fair value of the assets acquired and liabilities assumed on the acquisition date:</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Class A common stock</w:t>
            </w:r>
          </w:p>
        </w:tc>
        <w:tc>
          <w:tcPr>
            <w:tcW w:w="10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1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276,337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costs included in general and administrative for the three months ended March 31, 2022</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 term assets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joint venture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(18,690 )</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(1,647 )</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(6,634 )</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(30,183 )</w:t>
            </w: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(1,036 )</w:t>
            </w:r>
          </w:p>
        </w:tc>
        <w:tc>
          <w:tcPr>
            <w:tcW w:w="0" w:type="dxa"/>
            <w:vAlign w:val="bottom"/>
          </w:tcPr>
          <w:p>
            <w:pPr>
              <w:spacing w:after="0"/>
              <w:rPr>
                <w:sz w:val="1"/>
                <w:szCs w:val="1"/>
                <w:color w:val="auto"/>
              </w:rPr>
            </w:pPr>
          </w:p>
        </w:tc>
      </w:tr>
      <w:tr>
        <w:trPr>
          <w:trHeight w:val="209"/>
        </w:trPr>
        <w:tc>
          <w:tcPr>
            <w:tcW w:w="8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identifiable net assets assumed</w:t>
            </w:r>
          </w:p>
        </w:tc>
        <w:tc>
          <w:tcPr>
            <w:tcW w:w="10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0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247,297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(in thousands) summarizes the fair value of the identifiable intangible assets:</w:t>
            </w: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180" w:type="dxa"/>
            <w:vAlign w:val="bottom"/>
            <w:vMerge w:val="continue"/>
          </w:tcPr>
          <w:p>
            <w:pPr>
              <w:spacing w:after="0"/>
              <w:rPr>
                <w:sz w:val="24"/>
                <w:szCs w:val="24"/>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Estimated life</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60" w:type="dxa"/>
            <w:vAlign w:val="bottom"/>
            <w:shd w:val="clear" w:color="auto" w:fill="CFF0FC"/>
          </w:tcPr>
          <w:p>
            <w:pPr>
              <w:spacing w:after="0"/>
              <w:rPr>
                <w:sz w:val="18"/>
                <w:szCs w:val="18"/>
                <w:color w:val="auto"/>
              </w:rPr>
            </w:pP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Database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Developed technology</w:t>
            </w: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-4088130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-1722120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-1439545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42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425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545" cy="8890"/>
                    </a:xfrm>
                    <a:prstGeom prst="rect">
                      <a:avLst/>
                    </a:prstGeom>
                    <a:noFill/>
                  </pic:spPr>
                </pic:pic>
              </a:graphicData>
            </a:graphic>
          </wp:anchor>
        </w:drawing>
      </w:r>
    </w:p>
    <w:p>
      <w:pPr>
        <w:spacing w:after="0" w:line="244" w:lineRule="exact"/>
        <w:rPr>
          <w:sz w:val="20"/>
          <w:szCs w:val="20"/>
          <w:color w:val="auto"/>
        </w:rPr>
      </w:pPr>
    </w:p>
    <w:p>
      <w:pPr>
        <w:ind w:right="180" w:firstLine="644"/>
        <w:spacing w:after="0" w:line="221" w:lineRule="exact"/>
        <w:rPr>
          <w:sz w:val="20"/>
          <w:szCs w:val="20"/>
          <w:color w:val="auto"/>
        </w:rPr>
      </w:pPr>
      <w:r>
        <w:rPr>
          <w:rFonts w:ascii="Times New Roman" w:cs="Times New Roman" w:eastAsia="Times New Roman" w:hAnsi="Times New Roman"/>
          <w:sz w:val="18"/>
          <w:szCs w:val="18"/>
          <w:color w:val="auto"/>
        </w:rPr>
        <w:t>The estimated fair value of the intangible assets acquired was determined by the Company. The Company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expert to assist with the valuation analysis. The Company used a relief from royalty method to estimate the fair values of the developed technology, database and tradename and a multi-period excess earnings method to estimate the fair value of the customer relationships. To measure the fair value of the noncontrolling interest, the Company used a market approach which considered historical revenues of the investee and market multiples (Level 3 inputs).</w:t>
      </w:r>
    </w:p>
    <w:p>
      <w:pPr>
        <w:spacing w:after="0" w:line="91" w:lineRule="exact"/>
        <w:rPr>
          <w:sz w:val="20"/>
          <w:szCs w:val="20"/>
          <w:color w:val="auto"/>
        </w:rPr>
      </w:pPr>
    </w:p>
    <w:p>
      <w:pPr>
        <w:ind w:right="160" w:firstLine="644"/>
        <w:spacing w:after="0" w:line="245" w:lineRule="auto"/>
        <w:rPr>
          <w:sz w:val="20"/>
          <w:szCs w:val="20"/>
          <w:color w:val="auto"/>
        </w:rPr>
      </w:pPr>
      <w:r>
        <w:rPr>
          <w:rFonts w:ascii="Times New Roman" w:cs="Times New Roman" w:eastAsia="Times New Roman" w:hAnsi="Times New Roman"/>
          <w:sz w:val="18"/>
          <w:szCs w:val="18"/>
          <w:color w:val="auto"/>
        </w:rPr>
        <w:t>Thomas’ results of operations were included in the Company's consolidated financial statements from the date of acquisition, December 9, 2021. The following unaudited pro forma condensed combined financial information gives effect to the acquisition of Thomas as if it was consummated on January 1, 2021 (the beginning of the comparable prior reporting period), and includes pro forma adjustments related to the amortization of acquired intangible assets.</w:t>
      </w:r>
    </w:p>
    <w:p>
      <w:pPr>
        <w:spacing w:after="0" w:line="86" w:lineRule="exact"/>
        <w:rPr>
          <w:sz w:val="20"/>
          <w:szCs w:val="20"/>
          <w:color w:val="auto"/>
        </w:rPr>
      </w:pPr>
    </w:p>
    <w:p>
      <w:pPr>
        <w:ind w:right="200" w:firstLine="644"/>
        <w:spacing w:after="0" w:line="247" w:lineRule="auto"/>
        <w:rPr>
          <w:sz w:val="20"/>
          <w:szCs w:val="20"/>
          <w:color w:val="auto"/>
        </w:rPr>
      </w:pPr>
      <w:r>
        <w:rPr>
          <w:rFonts w:ascii="Times New Roman" w:cs="Times New Roman" w:eastAsia="Times New Roman" w:hAnsi="Times New Roman"/>
          <w:sz w:val="18"/>
          <w:szCs w:val="18"/>
          <w:color w:val="auto"/>
        </w:rPr>
        <w:t>This unaudited data is presented for informational purposes only and is not intended to represent or be indicative of the results of operations that would have been reported had the acquisition occurred on January 1, 2021. It should not be taken as representative of future results of operations of the combined companies. The following table presents the unaudited pro forma condensed combined financial information:</w:t>
      </w: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4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4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83,671</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60,632</w:t>
            </w:r>
          </w:p>
        </w:tc>
        <w:tc>
          <w:tcPr>
            <w:tcW w:w="80" w:type="dxa"/>
            <w:vAlign w:val="bottom"/>
            <w:shd w:val="clear" w:color="auto" w:fill="CFF0FC"/>
          </w:tcPr>
          <w:p>
            <w:pPr>
              <w:spacing w:after="0"/>
              <w:rPr>
                <w:sz w:val="18"/>
                <w:szCs w:val="18"/>
                <w:color w:val="auto"/>
              </w:rPr>
            </w:pPr>
          </w:p>
        </w:tc>
      </w:tr>
      <w:tr>
        <w:trPr>
          <w:trHeight w:val="234"/>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(20,012 )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(12,729 )</w:t>
            </w:r>
          </w:p>
        </w:tc>
      </w:tr>
      <w:tr>
        <w:trPr>
          <w:trHeight w:val="508"/>
        </w:trPr>
        <w:tc>
          <w:tcPr>
            <w:tcW w:w="4500" w:type="dxa"/>
            <w:vAlign w:val="bottom"/>
          </w:tcPr>
          <w:p>
            <w:pPr>
              <w:spacing w:after="0"/>
              <w:rPr>
                <w:sz w:val="24"/>
                <w:szCs w:val="24"/>
                <w:color w:val="auto"/>
              </w:rPr>
            </w:pPr>
          </w:p>
        </w:tc>
        <w:tc>
          <w:tcPr>
            <w:tcW w:w="31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6" w:name="page17"/>
    <w:bookmarkEnd w:id="16"/>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Disaggregated Revenue Information</w:t>
      </w:r>
    </w:p>
    <w:p>
      <w:pPr>
        <w:spacing w:after="0" w:line="121" w:lineRule="exact"/>
        <w:rPr>
          <w:sz w:val="20"/>
          <w:szCs w:val="20"/>
          <w:color w:val="auto"/>
        </w:rPr>
      </w:pPr>
    </w:p>
    <w:p>
      <w:pPr>
        <w:ind w:right="40" w:firstLine="644"/>
        <w:spacing w:after="0" w:line="250" w:lineRule="auto"/>
        <w:rPr>
          <w:sz w:val="20"/>
          <w:szCs w:val="20"/>
          <w:color w:val="auto"/>
        </w:rPr>
      </w:pPr>
      <w:r>
        <w:rPr>
          <w:rFonts w:ascii="Times New Roman" w:cs="Times New Roman" w:eastAsia="Times New Roman" w:hAnsi="Times New Roman"/>
          <w:sz w:val="18"/>
          <w:szCs w:val="18"/>
          <w:color w:val="auto"/>
        </w:rPr>
        <w:t>The following table present our revenues disaggregated by line of business.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82" w:lineRule="exact"/>
        <w:rPr>
          <w:sz w:val="20"/>
          <w:szCs w:val="20"/>
          <w:color w:val="auto"/>
        </w:rPr>
      </w:pPr>
    </w:p>
    <w:p>
      <w:pPr>
        <w:ind w:right="460" w:firstLine="644"/>
        <w:spacing w:after="0" w:line="266" w:lineRule="auto"/>
        <w:rPr>
          <w:sz w:val="20"/>
          <w:szCs w:val="20"/>
          <w:color w:val="auto"/>
        </w:rPr>
      </w:pPr>
      <w:r>
        <w:rPr>
          <w:rFonts w:ascii="Times New Roman" w:cs="Times New Roman" w:eastAsia="Times New Roman" w:hAnsi="Times New Roman"/>
          <w:sz w:val="18"/>
          <w:szCs w:val="18"/>
          <w:color w:val="auto"/>
        </w:rPr>
        <w:t>Revenue is presented in the following tables for the three months ended March 31, 2022 (in thousands, supplier service revenue for the three months ended March 31, 2021 was not considered material):</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8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r>
      <w:tr>
        <w:trPr>
          <w:trHeight w:val="20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Marketplace revenue</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64,415</w:t>
            </w:r>
          </w:p>
        </w:tc>
        <w:tc>
          <w:tcPr>
            <w:tcW w:w="60" w:type="dxa"/>
            <w:vAlign w:val="bottom"/>
            <w:shd w:val="clear" w:color="auto" w:fill="CFF0FC"/>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service revenue</w:t>
            </w:r>
          </w:p>
        </w:tc>
        <w:tc>
          <w:tcPr>
            <w:tcW w:w="94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w:t>
            </w:r>
          </w:p>
        </w:tc>
        <w:tc>
          <w:tcPr>
            <w:tcW w:w="60" w:type="dxa"/>
            <w:vAlign w:val="bottom"/>
          </w:tcPr>
          <w:p>
            <w:pPr>
              <w:spacing w:after="0"/>
              <w:rPr>
                <w:sz w:val="18"/>
                <w:szCs w:val="18"/>
                <w:color w:val="auto"/>
              </w:rPr>
            </w:pPr>
          </w:p>
        </w:tc>
      </w:tr>
      <w:tr>
        <w:trPr>
          <w:trHeight w:val="250"/>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83,671</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Investment in Unconsolidated Joint Venture</w:t>
      </w:r>
    </w:p>
    <w:p>
      <w:pPr>
        <w:spacing w:after="0" w:line="108" w:lineRule="exact"/>
        <w:rPr>
          <w:sz w:val="20"/>
          <w:szCs w:val="20"/>
          <w:color w:val="auto"/>
        </w:rPr>
      </w:pPr>
    </w:p>
    <w:p>
      <w:pPr>
        <w:ind w:right="100" w:firstLine="644"/>
        <w:spacing w:after="0" w:line="246" w:lineRule="auto"/>
        <w:rPr>
          <w:sz w:val="20"/>
          <w:szCs w:val="20"/>
          <w:color w:val="auto"/>
        </w:rPr>
      </w:pPr>
      <w:r>
        <w:rPr>
          <w:rFonts w:ascii="Times New Roman" w:cs="Times New Roman" w:eastAsia="Times New Roman" w:hAnsi="Times New Roman"/>
          <w:sz w:val="18"/>
          <w:szCs w:val="18"/>
          <w:color w:val="auto"/>
        </w:rPr>
        <w:t>In connection with the Company's acquisition of Thomas on December 9, 2021, the Company assumed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The Company’s ownership interest in the net assets of IM, LLC approximated $5.2 million. We estimated the fair value of the net assets using market approach which considered market multiples and revenue assumptions based on historical operating results (Level 3 inputs). The Company estimated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difference of approximately $4.2 million which is accounted for as equity method goodwill which is not subject to amortization.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Based Compensation</w:t>
      </w:r>
    </w:p>
    <w:p>
      <w:pPr>
        <w:spacing w:after="0" w:line="108"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83"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69" w:lineRule="exact"/>
        <w:rPr>
          <w:sz w:val="20"/>
          <w:szCs w:val="20"/>
          <w:color w:val="auto"/>
        </w:rPr>
      </w:pPr>
    </w:p>
    <w:p>
      <w:pPr>
        <w:ind w:right="40" w:firstLine="644"/>
        <w:spacing w:after="0" w:line="246" w:lineRule="auto"/>
        <w:rPr>
          <w:sz w:val="20"/>
          <w:szCs w:val="20"/>
          <w:color w:val="auto"/>
        </w:rPr>
      </w:pPr>
      <w:r>
        <w:rPr>
          <w:rFonts w:ascii="Times New Roman" w:cs="Times New Roman" w:eastAsia="Times New Roman" w:hAnsi="Times New Roman"/>
          <w:sz w:val="18"/>
          <w:szCs w:val="18"/>
          <w:color w:val="auto"/>
        </w:rPr>
        <w:t>In connection with the IPO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ISOs may be granted only to Xometry employees, including Xometry officers, and the employees of Xometry affiliates. All other awards may be granted to Xometry employees, including our officers, Xometry non-employee directors and consultants and the employees and consultants of Xometry affiliates.</w:t>
      </w:r>
    </w:p>
    <w:p>
      <w:pPr>
        <w:spacing w:after="0" w:line="73" w:lineRule="exact"/>
        <w:rPr>
          <w:sz w:val="20"/>
          <w:szCs w:val="20"/>
          <w:color w:val="auto"/>
        </w:rPr>
      </w:pPr>
    </w:p>
    <w:p>
      <w:pPr>
        <w:ind w:right="1560" w:firstLine="644"/>
        <w:spacing w:after="0" w:line="367" w:lineRule="auto"/>
        <w:rPr>
          <w:sz w:val="20"/>
          <w:szCs w:val="20"/>
          <w:color w:val="auto"/>
        </w:rPr>
      </w:pPr>
      <w:r>
        <w:rPr>
          <w:rFonts w:ascii="Times New Roman" w:cs="Times New Roman" w:eastAsia="Times New Roman" w:hAnsi="Times New Roman"/>
          <w:sz w:val="18"/>
          <w:szCs w:val="18"/>
          <w:color w:val="auto"/>
        </w:rPr>
        <w:t xml:space="preserve">As of March 31, 2022, there were 5,219,760 shares available for the Company to grant under the 2021 Equity Incentive Plan. </w:t>
      </w:r>
      <w:r>
        <w:rPr>
          <w:rFonts w:ascii="Times New Roman" w:cs="Times New Roman" w:eastAsia="Times New Roman" w:hAnsi="Times New Roman"/>
          <w:sz w:val="18"/>
          <w:szCs w:val="18"/>
          <w:b w:val="1"/>
          <w:bCs w:val="1"/>
          <w:color w:val="auto"/>
        </w:rPr>
        <w:t>Stock Options</w:t>
      </w:r>
    </w:p>
    <w:p>
      <w:pPr>
        <w:spacing w:after="0" w:line="1" w:lineRule="exact"/>
        <w:rPr>
          <w:sz w:val="20"/>
          <w:szCs w:val="20"/>
          <w:color w:val="auto"/>
        </w:rPr>
      </w:pPr>
    </w:p>
    <w:p>
      <w:pPr>
        <w:ind w:right="80" w:firstLine="644"/>
        <w:spacing w:after="0" w:line="246" w:lineRule="auto"/>
        <w:rPr>
          <w:sz w:val="20"/>
          <w:szCs w:val="20"/>
          <w:color w:val="auto"/>
        </w:rPr>
      </w:pPr>
      <w:r>
        <w:rPr>
          <w:rFonts w:ascii="Times New Roman" w:cs="Times New Roman" w:eastAsia="Times New Roman" w:hAnsi="Times New Roman"/>
          <w:sz w:val="18"/>
          <w:szCs w:val="18"/>
          <w:color w:val="auto"/>
        </w:rPr>
        <w:t>Prior to the Company's IPO on July 2, 2021, the fair value of the Company’s common stock was estimated by management as there was no public market for the Company’s common stock. Xometry’s market-based methodology considered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The weighted average assumptions for the three months ended March 31, 2022 and 2021 are provided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66 %</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term (years)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r>
      <w:tr>
        <w:trPr>
          <w:trHeight w:val="23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share</w:t>
            </w:r>
          </w:p>
        </w:tc>
        <w:tc>
          <w:tcPr>
            <w:tcW w:w="98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380" w:type="dxa"/>
            <w:vAlign w:val="bottom"/>
          </w:tcPr>
          <w:p>
            <w:pPr>
              <w:spacing w:after="0"/>
              <w:rPr>
                <w:sz w:val="20"/>
                <w:szCs w:val="20"/>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Pr>
          <w:p>
            <w:pPr>
              <w:spacing w:after="0"/>
              <w:rPr>
                <w:sz w:val="20"/>
                <w:szCs w:val="20"/>
                <w:color w:val="auto"/>
              </w:rPr>
            </w:pPr>
          </w:p>
        </w:tc>
      </w:tr>
    </w:tbl>
    <w:p>
      <w:pPr>
        <w:spacing w:after="0" w:line="166"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option activity and the changes during the three months ended March 31, 2022 are as follows (in millions, except share and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140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100" w:type="dxa"/>
            <w:vAlign w:val="bottom"/>
          </w:tcPr>
          <w:p>
            <w:pPr>
              <w:jc w:val="center"/>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18"/>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987,622</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3,286,870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321,649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(244,858 )</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(86,006 )</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(630 )</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3,277,025</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-173990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-156845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months ended March 31, 2022 and 2021, was $21.08 and $5.39.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the three months ended March 31, 2022 and 2021, was $9.7 million and $5.0 million, respectively.</w:t>
      </w:r>
    </w:p>
    <w:p>
      <w:pPr>
        <w:spacing w:after="0" w:line="84"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At March 31, 2022 and 2021, there was approximately $25.5 million and $2.7 million, respectively of total unrecognized compensation cost related to unvested stock options. That cost is expected to be recognized over a weighted average period of three years as of March 31, 2022 and one year as of March 31, 2021.</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share award exercises.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08" w:lineRule="exact"/>
        <w:rPr>
          <w:sz w:val="20"/>
          <w:szCs w:val="20"/>
          <w:color w:val="auto"/>
        </w:rPr>
      </w:pPr>
    </w:p>
    <w:p>
      <w:pPr>
        <w:ind w:right="380" w:firstLine="644"/>
        <w:spacing w:after="0" w:line="266"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 activity and the changes during the three months ended March 31, 2022 are as follows (in millions, except share and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00" w:type="dxa"/>
            <w:vAlign w:val="bottom"/>
          </w:tcPr>
          <w:p>
            <w:pPr>
              <w:spacing w:after="0"/>
              <w:rPr>
                <w:sz w:val="13"/>
                <w:szCs w:val="13"/>
                <w:color w:val="auto"/>
              </w:rPr>
            </w:pPr>
          </w:p>
        </w:tc>
        <w:tc>
          <w:tcPr>
            <w:tcW w:w="2060" w:type="dxa"/>
            <w:vAlign w:val="bottom"/>
            <w:gridSpan w:val="2"/>
          </w:tcPr>
          <w:p>
            <w:pPr>
              <w:jc w:val="right"/>
              <w:ind w:right="88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181"/>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17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186,480</w:t>
            </w:r>
          </w:p>
        </w:tc>
        <w:tc>
          <w:tcPr>
            <w:tcW w:w="3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645,431</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(1,971 )</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(14,397 )</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RSUs as of March 31, 2022</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815,543</w:t>
            </w:r>
          </w:p>
        </w:tc>
        <w:tc>
          <w:tcPr>
            <w:tcW w:w="3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3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-170815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0" w:lineRule="exact"/>
        <w:rPr>
          <w:sz w:val="20"/>
          <w:szCs w:val="20"/>
          <w:color w:val="auto"/>
        </w:rPr>
      </w:pPr>
    </w:p>
    <w:p>
      <w:pPr>
        <w:jc w:val="both"/>
        <w:ind w:right="340" w:firstLine="644"/>
        <w:spacing w:after="0" w:line="258" w:lineRule="auto"/>
        <w:rPr>
          <w:sz w:val="20"/>
          <w:szCs w:val="20"/>
          <w:color w:val="auto"/>
        </w:rPr>
      </w:pPr>
      <w:r>
        <w:rPr>
          <w:rFonts w:ascii="Times New Roman" w:cs="Times New Roman" w:eastAsia="Times New Roman" w:hAnsi="Times New Roman"/>
          <w:sz w:val="18"/>
          <w:szCs w:val="18"/>
          <w:color w:val="auto"/>
        </w:rPr>
        <w:t>At March 31, 2022, there was approximately $35.3 million of total unrecognized compensation cost related to unvested restricted stock units granted under the 2021 Equity Incentive Plan. That cost is expected to be recognized over a weighted average period of approximately four years as of March 31, 2022. No restricted stock units were granted during the three months ended March 31, 2021.</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Total stock-based compensation cost for the three months ended March 31, 2022 and 2021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8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4"/>
                <w:szCs w:val="14"/>
                <w:color w:val="auto"/>
              </w:rPr>
            </w:pPr>
          </w:p>
        </w:tc>
      </w:tr>
      <w:tr>
        <w:trPr>
          <w:trHeight w:val="169"/>
        </w:trPr>
        <w:tc>
          <w:tcPr>
            <w:tcW w:w="6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1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18"/>
                <w:szCs w:val="18"/>
                <w:color w:val="auto"/>
              </w:rPr>
            </w:pPr>
          </w:p>
        </w:tc>
      </w:tr>
      <w:tr>
        <w:trPr>
          <w:trHeight w:val="250"/>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1200" w:type="dxa"/>
            <w:vAlign w:val="bottom"/>
            <w:tcBorders>
              <w:bottom w:val="single" w:sz="8" w:color="auto"/>
            </w:tcBorders>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310" w:lineRule="exact"/>
        <w:rPr>
          <w:sz w:val="20"/>
          <w:szCs w:val="20"/>
          <w:color w:val="auto"/>
        </w:rPr>
      </w:pPr>
    </w:p>
    <w:p>
      <w:pPr>
        <w:jc w:val="both"/>
        <w:ind w:right="80" w:firstLine="644"/>
        <w:spacing w:after="0" w:line="282" w:lineRule="auto"/>
        <w:rPr>
          <w:sz w:val="20"/>
          <w:szCs w:val="20"/>
          <w:color w:val="auto"/>
        </w:rPr>
      </w:pPr>
      <w:r>
        <w:rPr>
          <w:rFonts w:ascii="Times New Roman" w:cs="Times New Roman" w:eastAsia="Times New Roman" w:hAnsi="Times New Roman"/>
          <w:sz w:val="18"/>
          <w:szCs w:val="18"/>
          <w:color w:val="auto"/>
        </w:rPr>
        <w:t>A full valuation allowance has been established against our net U.S. federal and state deferred tax assets and foreign deferred tax assets, including net operating loss carryforwards.</w:t>
      </w:r>
    </w:p>
    <w:p>
      <w:pPr>
        <w:spacing w:after="0" w:line="40"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2022, the Company has a $0.6 million income tax benefit in the U.S. The Company had no current or deferred income tax benefit or expense in the U.S. or outside the U.S. for the three months ended March 30, 2021. This effective tax rate of 0% differs from the U.S. federal statutory rate primarily due to the effects of certain permanent items, foreign tax rate differences, and increases in the valuation allowance against deferred tax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 and Credit Carryforwards</w:t>
      </w:r>
    </w:p>
    <w:p>
      <w:pPr>
        <w:spacing w:after="0" w:line="106" w:lineRule="exact"/>
        <w:rPr>
          <w:sz w:val="20"/>
          <w:szCs w:val="20"/>
          <w:color w:val="auto"/>
        </w:rPr>
      </w:pPr>
    </w:p>
    <w:p>
      <w:pPr>
        <w:ind w:right="60" w:firstLine="644"/>
        <w:spacing w:after="0" w:line="246" w:lineRule="auto"/>
        <w:rPr>
          <w:sz w:val="20"/>
          <w:szCs w:val="20"/>
          <w:color w:val="auto"/>
        </w:rPr>
      </w:pPr>
      <w:r>
        <w:rPr>
          <w:rFonts w:ascii="Times New Roman" w:cs="Times New Roman" w:eastAsia="Times New Roman" w:hAnsi="Times New Roman"/>
          <w:sz w:val="18"/>
          <w:szCs w:val="18"/>
          <w:color w:val="auto"/>
        </w:rPr>
        <w:t>As of December 31, 2021, the Company has net operating loss (“NOL”) carryforwards for U.S. federal income tax purposes, and similar state amounts, of approximately $195.7 million available to reduce future income subject to income taxes before limitations. As of December 31, 2021, the Company had a net operating loss carryforward for tax purposes related to its foreign subsidiary of $20.5 million. U.S. federal net operating carryforwards generated prior to 2018 in the approximate amount of $71.9 million will begin to expire, if not utilized, in 2022. Our non-U.S. net operating loss and U.S. federal net operating losses post 2017 have an indefinite life. The Company expects $128.4 million of legacy Xometry U.S. federal net operating losses to be available to offset future taxable income. Management has not yet completed its evaluation of any limitations on the ability to use the acquired Thomas subsidiary net operating loss carryforward of $67.3 million. The Company plans to complete this analysis during the second quarter of 2022 and the results may impact the net operating loss deferred tax asset, acquisition accounting and income tax provision.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Common Stockholders</w:t>
      </w:r>
    </w:p>
    <w:p>
      <w:pPr>
        <w:spacing w:after="0" w:line="121" w:lineRule="exact"/>
        <w:rPr>
          <w:sz w:val="20"/>
          <w:szCs w:val="20"/>
          <w:color w:val="auto"/>
        </w:rPr>
      </w:pPr>
    </w:p>
    <w:p>
      <w:pPr>
        <w:ind w:right="240" w:firstLine="644"/>
        <w:spacing w:after="0" w:line="245" w:lineRule="auto"/>
        <w:rPr>
          <w:sz w:val="20"/>
          <w:szCs w:val="20"/>
          <w:color w:val="auto"/>
        </w:rPr>
      </w:pPr>
      <w:r>
        <w:rPr>
          <w:rFonts w:ascii="Times New Roman" w:cs="Times New Roman" w:eastAsia="Times New Roman" w:hAnsi="Times New Roman"/>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1"/>
        </w:trPr>
        <w:tc>
          <w:tcPr>
            <w:tcW w:w="542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number of shares outstanding used to compute net</w:t>
            </w:r>
          </w:p>
        </w:tc>
        <w:tc>
          <w:tcPr>
            <w:tcW w:w="2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46,789,585</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7,924,848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loss per share attributable to common stockholders, basic and diluted</w:t>
            </w:r>
          </w:p>
        </w:tc>
        <w:tc>
          <w:tcPr>
            <w:tcW w:w="2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4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(0.43</w:t>
            </w:r>
          </w:p>
        </w:tc>
        <w:tc>
          <w:tcPr>
            <w:tcW w:w="18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07"/>
        </w:trPr>
        <w:tc>
          <w:tcPr>
            <w:tcW w:w="5420" w:type="dxa"/>
            <w:vAlign w:val="bottom"/>
          </w:tcPr>
          <w:p>
            <w:pPr>
              <w:spacing w:after="0"/>
              <w:rPr>
                <w:sz w:val="24"/>
                <w:szCs w:val="24"/>
                <w:color w:val="auto"/>
              </w:rPr>
            </w:pPr>
          </w:p>
        </w:tc>
        <w:tc>
          <w:tcPr>
            <w:tcW w:w="246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-864870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-847725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-864870</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-847725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-445135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-427990</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-445135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-427990</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9" w:name="page20"/>
    <w:bookmarkEnd w:id="19"/>
    <w:p>
      <w:pPr>
        <w:ind w:right="520" w:firstLine="644"/>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42"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2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27,758,941</w:t>
            </w:r>
          </w:p>
        </w:tc>
        <w:tc>
          <w:tcPr>
            <w:tcW w:w="60" w:type="dxa"/>
            <w:vAlign w:val="bottom"/>
          </w:tcPr>
          <w:p>
            <w:pPr>
              <w:spacing w:after="0"/>
              <w:rPr>
                <w:sz w:val="18"/>
                <w:szCs w:val="18"/>
                <w:color w:val="auto"/>
              </w:rPr>
            </w:pPr>
          </w:p>
        </w:tc>
      </w:tr>
      <w:tr>
        <w:trPr>
          <w:trHeight w:val="216"/>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3,277,025</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2,742,441</w:t>
            </w:r>
          </w:p>
        </w:tc>
        <w:tc>
          <w:tcPr>
            <w:tcW w:w="60" w:type="dxa"/>
            <w:vAlign w:val="bottom"/>
            <w:shd w:val="clear" w:color="auto" w:fill="CFF0FC"/>
          </w:tcPr>
          <w:p>
            <w:pPr>
              <w:spacing w:after="0"/>
              <w:rPr>
                <w:sz w:val="18"/>
                <w:szCs w:val="18"/>
                <w:color w:val="auto"/>
              </w:rPr>
            </w:pPr>
          </w:p>
        </w:tc>
      </w:tr>
      <w:tr>
        <w:trPr>
          <w:trHeight w:val="216"/>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815,543</w:t>
            </w: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outstanding</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87,784</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112,026</w:t>
            </w:r>
          </w:p>
        </w:tc>
        <w:tc>
          <w:tcPr>
            <w:tcW w:w="60" w:type="dxa"/>
            <w:vAlign w:val="bottom"/>
            <w:shd w:val="clear" w:color="auto" w:fill="CFF0FC"/>
          </w:tcPr>
          <w:p>
            <w:pPr>
              <w:spacing w:after="0"/>
              <w:rPr>
                <w:sz w:val="18"/>
                <w:szCs w:val="18"/>
                <w:color w:val="auto"/>
              </w:rPr>
            </w:pPr>
          </w:p>
        </w:tc>
      </w:tr>
      <w:tr>
        <w:trPr>
          <w:trHeight w:val="216"/>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reserved for charitable contribution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362,392</w:t>
            </w: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0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5,123,624</w:t>
            </w:r>
          </w:p>
        </w:tc>
        <w:tc>
          <w:tcPr>
            <w:tcW w:w="26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9,666,368</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30,613,408</w:t>
            </w:r>
          </w:p>
        </w:tc>
        <w:tc>
          <w:tcPr>
            <w:tcW w:w="6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Commitments and Contingencies</w:t>
      </w:r>
    </w:p>
    <w:p>
      <w:pPr>
        <w:spacing w:after="0" w:line="10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2027 Convertible Notes</w:t>
      </w:r>
    </w:p>
    <w:p>
      <w:pPr>
        <w:spacing w:after="0" w:line="106" w:lineRule="exact"/>
        <w:rPr>
          <w:sz w:val="20"/>
          <w:szCs w:val="20"/>
          <w:color w:val="auto"/>
        </w:rPr>
      </w:pPr>
    </w:p>
    <w:p>
      <w:pPr>
        <w:ind w:firstLine="644"/>
        <w:spacing w:after="0" w:line="247" w:lineRule="auto"/>
        <w:rPr>
          <w:sz w:val="20"/>
          <w:szCs w:val="20"/>
          <w:color w:val="auto"/>
        </w:rPr>
      </w:pPr>
      <w:r>
        <w:rPr>
          <w:rFonts w:ascii="Times New Roman" w:cs="Times New Roman" w:eastAsia="Times New Roman" w:hAnsi="Times New Roman"/>
          <w:sz w:val="18"/>
          <w:szCs w:val="18"/>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72"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2027 Notes are unsecured obligations which bear regular interest at 1% per annum and for which the principal balance will not accrete. The 2027 Notes will mature on February 1, 2027 unless repurchased, redeemed, or converted in accordance with their terms prior to such date.</w:t>
      </w:r>
    </w:p>
    <w:p>
      <w:pPr>
        <w:spacing w:after="0" w:line="68"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69"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61" w:lineRule="exact"/>
        <w:rPr>
          <w:sz w:val="20"/>
          <w:szCs w:val="20"/>
          <w:color w:val="auto"/>
        </w:rPr>
      </w:pPr>
    </w:p>
    <w:p>
      <w:pPr>
        <w:ind w:right="500" w:firstLine="644"/>
        <w:spacing w:after="0" w:line="266"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68" w:lineRule="exact"/>
        <w:rPr>
          <w:sz w:val="20"/>
          <w:szCs w:val="20"/>
          <w:color w:val="auto"/>
        </w:rPr>
      </w:pPr>
    </w:p>
    <w:p>
      <w:pPr>
        <w:jc w:val="both"/>
        <w:ind w:left="10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8" w:lineRule="exact"/>
        <w:rPr>
          <w:rFonts w:ascii="Times New Roman" w:cs="Times New Roman" w:eastAsia="Times New Roman" w:hAnsi="Times New Roman"/>
          <w:sz w:val="18"/>
          <w:szCs w:val="18"/>
          <w:color w:val="auto"/>
        </w:rPr>
      </w:pPr>
    </w:p>
    <w:p>
      <w:pPr>
        <w:jc w:val="both"/>
        <w:ind w:left="1020" w:right="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320" w:lineRule="exact"/>
        <w:rPr>
          <w:sz w:val="20"/>
          <w:szCs w:val="20"/>
          <w:color w:val="auto"/>
        </w:rPr>
      </w:pPr>
    </w:p>
    <w:p>
      <w:pPr>
        <w:ind w:right="700" w:firstLine="644"/>
        <w:spacing w:after="0" w:line="266"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68" w:lineRule="exact"/>
        <w:rPr>
          <w:sz w:val="20"/>
          <w:szCs w:val="20"/>
          <w:color w:val="auto"/>
        </w:rPr>
      </w:pPr>
    </w:p>
    <w:p>
      <w:pPr>
        <w:ind w:right="680" w:firstLine="644"/>
        <w:spacing w:after="0" w:line="266" w:lineRule="auto"/>
        <w:rPr>
          <w:sz w:val="20"/>
          <w:szCs w:val="20"/>
          <w:color w:val="auto"/>
        </w:rPr>
      </w:pPr>
      <w:r>
        <w:rPr>
          <w:rFonts w:ascii="Times New Roman" w:cs="Times New Roman" w:eastAsia="Times New Roman" w:hAnsi="Times New Roman"/>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ind w:right="380"/>
        <w:spacing w:after="0" w:line="282" w:lineRule="auto"/>
        <w:rPr>
          <w:sz w:val="20"/>
          <w:szCs w:val="20"/>
          <w:color w:val="auto"/>
        </w:rPr>
      </w:pPr>
      <w:r>
        <w:rPr>
          <w:rFonts w:ascii="Times New Roman" w:cs="Times New Roman" w:eastAsia="Times New Roman" w:hAnsi="Times New Roman"/>
          <w:sz w:val="18"/>
          <w:szCs w:val="18"/>
          <w:color w:val="auto"/>
        </w:rPr>
        <w:t>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40" w:lineRule="exact"/>
        <w:rPr>
          <w:sz w:val="20"/>
          <w:szCs w:val="20"/>
          <w:color w:val="auto"/>
        </w:rPr>
      </w:pPr>
    </w:p>
    <w:p>
      <w:pPr>
        <w:ind w:right="620" w:firstLine="644"/>
        <w:spacing w:after="0" w:line="266"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outstanding principal amount and carrying value of the 2027 Notes as of the dates indicated (in thousands):</w:t>
      </w:r>
    </w:p>
    <w:p>
      <w:pPr>
        <w:sectPr>
          <w:pgSz w:w="11900" w:h="16838" w:orient="portrait"/>
          <w:cols w:equalWidth="0" w:num="1">
            <w:col w:w="11240"/>
          </w:cols>
          <w:pgMar w:left="320" w:top="4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carrying value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wp:posOffset>
            </wp:positionV>
            <wp:extent cx="1165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9"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1165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1224" w:hanging="1224"/>
        <w:spacing w:after="0"/>
        <w:tabs>
          <w:tab w:leader="none" w:pos="12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287,500</w:t>
      </w:r>
    </w:p>
    <w:p>
      <w:pPr>
        <w:spacing w:after="0" w:line="19" w:lineRule="exact"/>
        <w:rPr>
          <w:rFonts w:ascii="Times New Roman" w:cs="Times New Roman" w:eastAsia="Times New Roman" w:hAnsi="Times New Roman"/>
          <w:sz w:val="18"/>
          <w:szCs w:val="18"/>
          <w:color w:val="auto"/>
        </w:rPr>
      </w:pPr>
    </w:p>
    <w:p>
      <w:pPr>
        <w:ind w:left="13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(8,338 )</w:t>
      </w:r>
    </w:p>
    <w:p>
      <w:pPr>
        <w:spacing w:after="0" w:line="20" w:lineRule="exact"/>
        <w:rPr>
          <w:rFonts w:ascii="Times New Roman" w:cs="Times New Roman" w:eastAsia="Times New Roman" w:hAnsi="Times New Roman"/>
          <w:sz w:val="18"/>
          <w:szCs w:val="18"/>
          <w:color w:val="auto"/>
        </w:rPr>
      </w:pPr>
    </w:p>
    <w:p>
      <w:pPr>
        <w:ind w:left="14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(651 )</w:t>
      </w:r>
    </w:p>
    <w:p>
      <w:pPr>
        <w:spacing w:after="0" w:line="21" w:lineRule="exact"/>
        <w:rPr>
          <w:sz w:val="20"/>
          <w:szCs w:val="20"/>
          <w:color w:val="auto"/>
        </w:rPr>
      </w:pPr>
    </w:p>
    <w:p>
      <w:pPr>
        <w:ind w:left="1224" w:hanging="1224"/>
        <w:spacing w:after="0"/>
        <w:tabs>
          <w:tab w:leader="none" w:pos="1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165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11658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16" w:space="720"/>
            <w:col w:w="1904"/>
          </w:cols>
          <w:pgMar w:left="320" w:top="432" w:right="339" w:bottom="1440" w:gutter="0" w:footer="0" w:header="0"/>
          <w:type w:val="continuous"/>
        </w:sectPr>
      </w:pPr>
    </w:p>
    <w:p>
      <w:pPr>
        <w:spacing w:after="0" w:line="101"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The annual effective interest rate for the 2027 Notes was approximately 1.6%. Interest expense related to the 2027 Notes for the periods presented below was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1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Coupon interest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40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400" w:type="dxa"/>
            <w:vAlign w:val="bottom"/>
            <w:tcBorders>
              <w:bottom w:val="single" w:sz="8" w:color="auto"/>
            </w:tcBorders>
            <w:shd w:val="clear" w:color="auto" w:fill="CFF0FC"/>
          </w:tcPr>
          <w:p>
            <w:pPr>
              <w:spacing w:after="0"/>
              <w:rPr>
                <w:sz w:val="18"/>
                <w:szCs w:val="18"/>
                <w:color w:val="auto"/>
              </w:rPr>
            </w:pPr>
          </w:p>
        </w:tc>
        <w:tc>
          <w:tcPr>
            <w:tcW w:w="3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6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320" w:firstLine="540"/>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2027 Notes with inputs that are observable in the market. The following table presents the carrying value and estimated fair value of the 2027 Notes as of the date indicated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7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2027 Notes</w:t>
            </w:r>
          </w:p>
        </w:tc>
        <w:tc>
          <w:tcPr>
            <w:tcW w:w="4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8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10"/>
        </w:trPr>
        <w:tc>
          <w:tcPr>
            <w:tcW w:w="860" w:type="dxa"/>
            <w:vAlign w:val="bottom"/>
            <w:vMerge w:val="continue"/>
          </w:tcPr>
          <w:p>
            <w:pPr>
              <w:spacing w:after="0"/>
              <w:rPr>
                <w:sz w:val="18"/>
                <w:szCs w:val="18"/>
                <w:color w:val="auto"/>
              </w:rPr>
            </w:pPr>
          </w:p>
        </w:tc>
        <w:tc>
          <w:tcPr>
            <w:tcW w:w="48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278,511</w:t>
            </w:r>
          </w:p>
        </w:tc>
        <w:tc>
          <w:tcPr>
            <w:tcW w:w="3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284,906</w:t>
            </w: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 A Level</w:t>
            </w:r>
          </w:p>
        </w:tc>
        <w:tc>
          <w:tcPr>
            <w:tcW w:w="5220" w:type="dxa"/>
            <w:vAlign w:val="bottom"/>
            <w:gridSpan w:val="2"/>
          </w:tcPr>
          <w:p>
            <w:pPr>
              <w:jc w:val="right"/>
              <w:ind w:right="3950"/>
              <w:spacing w:after="0"/>
              <w:rPr>
                <w:sz w:val="20"/>
                <w:szCs w:val="20"/>
                <w:color w:val="auto"/>
              </w:rPr>
            </w:pPr>
            <w:r>
              <w:rPr>
                <w:rFonts w:ascii="Times New Roman" w:cs="Times New Roman" w:eastAsia="Times New Roman" w:hAnsi="Times New Roman"/>
                <w:sz w:val="18"/>
                <w:szCs w:val="18"/>
                <w:color w:val="auto"/>
              </w:rPr>
              <w:t>3 measurement.</w:t>
            </w: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06" w:lineRule="exact"/>
        <w:rPr>
          <w:sz w:val="20"/>
          <w:szCs w:val="20"/>
          <w:color w:val="auto"/>
        </w:rPr>
      </w:pPr>
    </w:p>
    <w:p>
      <w:pPr>
        <w:ind w:right="40" w:firstLine="644"/>
        <w:spacing w:after="0" w:line="246" w:lineRule="auto"/>
        <w:rPr>
          <w:sz w:val="20"/>
          <w:szCs w:val="20"/>
          <w:color w:val="auto"/>
        </w:rPr>
      </w:pPr>
      <w:r>
        <w:rPr>
          <w:rFonts w:ascii="Times New Roman" w:cs="Times New Roman" w:eastAsia="Times New Roman" w:hAnsi="Times New Roman"/>
          <w:sz w:val="18"/>
          <w:szCs w:val="18"/>
          <w:color w:val="auto"/>
        </w:rPr>
        <w:t>The Company was party to an amended and restated loan and security agreement ("Amended Loan and Security Agreement") with Hercules Capital, Inc. (“Hercules”) for a term loan ("the Term Loan Facility"). Under the Amended Loan and Security Agreement, effective January 30, 2020, the Company could borrow up to $15 million under the Term Loan Facility, all of which became available to the Company immediately on the agreement date. On July 9, 2021, the Company repaid the full amount of its term loan with Hercules with proceeds from the IPO. In connection with the debt extinguishment, the Company paid Hercules $16.1 million and recorded a loss on debt extinguishment of approximately $0.3 million.</w:t>
      </w:r>
    </w:p>
    <w:p>
      <w:pPr>
        <w:spacing w:after="0" w:line="73" w:lineRule="exact"/>
        <w:rPr>
          <w:sz w:val="20"/>
          <w:szCs w:val="20"/>
          <w:color w:val="auto"/>
        </w:rPr>
      </w:pPr>
    </w:p>
    <w:p>
      <w:pPr>
        <w:ind w:right="20" w:firstLine="734"/>
        <w:spacing w:after="0" w:line="258" w:lineRule="auto"/>
        <w:rPr>
          <w:sz w:val="20"/>
          <w:szCs w:val="20"/>
          <w:color w:val="auto"/>
        </w:rPr>
      </w:pPr>
      <w:r>
        <w:rPr>
          <w:rFonts w:ascii="Times New Roman" w:cs="Times New Roman" w:eastAsia="Times New Roman" w:hAnsi="Times New Roman"/>
          <w:sz w:val="18"/>
          <w:szCs w:val="18"/>
          <w:color w:val="auto"/>
        </w:rPr>
        <w:t>Prior to its repayment, the term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 November 1, 2021, the amount owed would be $0.9 million.</w:t>
      </w:r>
    </w:p>
    <w:p>
      <w:pPr>
        <w:spacing w:after="0" w:line="61"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right="400" w:firstLine="644"/>
        <w:spacing w:after="0" w:line="250" w:lineRule="auto"/>
        <w:rPr>
          <w:sz w:val="20"/>
          <w:szCs w:val="20"/>
          <w:color w:val="auto"/>
        </w:rPr>
      </w:pPr>
      <w:r>
        <w:rPr>
          <w:rFonts w:ascii="Times New Roman" w:cs="Times New Roman" w:eastAsia="Times New Roman" w:hAnsi="Times New Roman"/>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(14) Segments</w:t>
      </w:r>
    </w:p>
    <w:p>
      <w:pPr>
        <w:spacing w:after="0" w:line="121" w:lineRule="exact"/>
        <w:rPr>
          <w:sz w:val="20"/>
          <w:szCs w:val="20"/>
          <w:color w:val="auto"/>
        </w:rPr>
      </w:pPr>
    </w:p>
    <w:p>
      <w:pPr>
        <w:ind w:right="100" w:firstLine="644"/>
        <w:spacing w:after="0" w:line="245" w:lineRule="auto"/>
        <w:rPr>
          <w:sz w:val="20"/>
          <w:szCs w:val="20"/>
          <w:color w:val="auto"/>
        </w:rPr>
      </w:pPr>
      <w:r>
        <w:rPr>
          <w:rFonts w:ascii="Times New Roman" w:cs="Times New Roman" w:eastAsia="Times New Roman" w:hAnsi="Times New Roman"/>
          <w:sz w:val="18"/>
          <w:szCs w:val="18"/>
          <w:color w:val="auto"/>
        </w:rPr>
        <w:t>Xometry is organized in two segments referred to as: (1) the U.S. and (2) International (formerly referred to as Europe).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segment information for the three months ended March 31, 2022 and 2021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20" w:type="dxa"/>
            <w:vAlign w:val="bottom"/>
            <w:gridSpan w:val="9"/>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41,299</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right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6,462</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83,671</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20" w:type="dxa"/>
            <w:vAlign w:val="bottom"/>
            <w:gridSpan w:val="9"/>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3"/>
          </w:tcPr>
          <w:p>
            <w:pPr>
              <w:jc w:val="center"/>
              <w:ind w:right="4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Losses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(16,296 )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(8,162 )</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(3,699 )</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(2,339 )</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jc w:val="right"/>
              <w:ind w:right="359"/>
              <w:spacing w:after="0"/>
              <w:rPr>
                <w:sz w:val="20"/>
                <w:szCs w:val="20"/>
                <w:color w:val="auto"/>
              </w:rPr>
            </w:pPr>
            <w:r>
              <w:rPr>
                <w:rFonts w:ascii="Times New Roman" w:cs="Times New Roman" w:eastAsia="Times New Roman" w:hAnsi="Times New Roman"/>
                <w:sz w:val="4"/>
                <w:szCs w:val="4"/>
                <w:color w:val="auto"/>
                <w:w w:val="97"/>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(19,995 )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(10,501 )</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Goodwill and Intangible Assets</w:t>
            </w: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1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(dollars in thousands):</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0" w:type="dxa"/>
            <w:vAlign w:val="bottom"/>
            <w:gridSpan w:val="2"/>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220" w:type="dxa"/>
            <w:vAlign w:val="bottom"/>
          </w:tcPr>
          <w:p>
            <w:pPr>
              <w:spacing w:after="0"/>
              <w:rPr>
                <w:sz w:val="13"/>
                <w:szCs w:val="13"/>
                <w:color w:val="auto"/>
              </w:rPr>
            </w:pPr>
          </w:p>
        </w:tc>
        <w:tc>
          <w:tcPr>
            <w:tcW w:w="1000" w:type="dxa"/>
            <w:vAlign w:val="bottom"/>
            <w:gridSpan w:val="2"/>
          </w:tcPr>
          <w:p>
            <w:pPr>
              <w:jc w:val="center"/>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4"/>
          </w:tcPr>
          <w:p>
            <w:pPr>
              <w:jc w:val="right"/>
              <w:ind w:right="96"/>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00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34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35,853</w:t>
            </w:r>
          </w:p>
        </w:tc>
        <w:tc>
          <w:tcPr>
            <w:tcW w:w="0" w:type="dxa"/>
            <w:vAlign w:val="bottom"/>
          </w:tcPr>
          <w:p>
            <w:pPr>
              <w:spacing w:after="0"/>
              <w:rPr>
                <w:sz w:val="1"/>
                <w:szCs w:val="1"/>
                <w:color w:val="auto"/>
              </w:rPr>
            </w:pPr>
          </w:p>
        </w:tc>
      </w:tr>
      <w:tr>
        <w:trPr>
          <w:trHeight w:val="216"/>
        </w:trPr>
        <w:tc>
          <w:tcPr>
            <w:tcW w:w="4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4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2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10"/>
        </w:trPr>
        <w:tc>
          <w:tcPr>
            <w:tcW w:w="4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340" w:type="dxa"/>
            <w:vAlign w:val="bottom"/>
            <w:gridSpan w:val="2"/>
          </w:tcPr>
          <w:p>
            <w:pPr>
              <w:jc w:val="center"/>
              <w:ind w:left="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1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1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-4405630</wp:posOffset>
            </wp:positionV>
            <wp:extent cx="431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-4405630</wp:posOffset>
            </wp:positionV>
            <wp:extent cx="431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-3488055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-3488055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-642620</wp:posOffset>
            </wp:positionV>
            <wp:extent cx="342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-642620</wp:posOffset>
            </wp:positionV>
            <wp:extent cx="342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-642620</wp:posOffset>
            </wp:positionV>
            <wp:extent cx="342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020" w:type="dxa"/>
            <w:vAlign w:val="bottom"/>
          </w:tcPr>
          <w:p>
            <w:pPr>
              <w:jc w:val="center"/>
              <w:ind w:left="12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-170815</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-170815</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provides a roll forward of the carrying amount of goodwill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r>
      <w:tr>
        <w:trPr>
          <w:trHeight w:val="169"/>
        </w:trPr>
        <w:tc>
          <w:tcPr>
            <w:tcW w:w="7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257,746</w:t>
            </w:r>
          </w:p>
        </w:tc>
        <w:tc>
          <w:tcPr>
            <w:tcW w:w="14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22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impairments</w:t>
            </w: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(3,074 )</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(3,074 )</w:t>
            </w:r>
          </w:p>
        </w:tc>
      </w:tr>
      <w:tr>
        <w:trPr>
          <w:trHeight w:val="209"/>
        </w:trPr>
        <w:tc>
          <w:tcPr>
            <w:tcW w:w="7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goodwill as of January 1,</w:t>
            </w:r>
          </w:p>
        </w:tc>
        <w:tc>
          <w:tcPr>
            <w:tcW w:w="10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254,672</w:t>
            </w: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tcBorders>
              <w:top w:val="single" w:sz="8" w:color="CFF0FC"/>
            </w:tcBorders>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adjustment during the year</w:t>
            </w:r>
          </w:p>
        </w:tc>
        <w:tc>
          <w:tcPr>
            <w:tcW w:w="10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2"/>
                <w:szCs w:val="12"/>
                <w:color w:val="auto"/>
              </w:rPr>
              <w:t>(1)</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253,839</w:t>
            </w:r>
          </w:p>
        </w:tc>
        <w:tc>
          <w:tcPr>
            <w:tcW w:w="220" w:type="dxa"/>
            <w:vAlign w:val="bottom"/>
            <w:shd w:val="clear" w:color="auto" w:fill="CFF0FC"/>
          </w:tcPr>
          <w:p>
            <w:pPr>
              <w:spacing w:after="0"/>
              <w:rPr>
                <w:sz w:val="18"/>
                <w:szCs w:val="18"/>
                <w:color w:val="auto"/>
              </w:rPr>
            </w:pPr>
          </w:p>
        </w:tc>
      </w:tr>
      <w:tr>
        <w:trPr>
          <w:trHeight w:val="209"/>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goodwill as of March 31, and December 31,</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254,672</w:t>
            </w:r>
          </w:p>
        </w:tc>
        <w:tc>
          <w:tcPr>
            <w:tcW w:w="22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-454025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-454025</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7 - Acquisitions.</w:t>
      </w:r>
    </w:p>
    <w:p>
      <w:pPr>
        <w:spacing w:after="0" w:line="104"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Xometry’s goodwill of $255.2 million and $254.7 million, respectively, is part of the Company's U.S. operating segment.</w:t>
      </w:r>
    </w:p>
    <w:p>
      <w:pPr>
        <w:spacing w:after="0" w:line="40"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As of March 31, 2022, estimated amortization expense for the remainder of 2022 and next five years is: $2.6 million in 2022, $3.3 million in 2023, $3.2 million in 2024, $3.2 million in 2025, $3.2 million in 2026 and $2.6 million in 2027.</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2022 and 2021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1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4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1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6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14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7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-719455</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-719455</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80" w:firstLine="689"/>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our unaudited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2021. Our historical results are not necessarily indicative of the results that may be expected in the future and our current quarterly results are not necessarily indicative of the results expected for the full year or any other period.</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80" w:firstLine="644"/>
        <w:spacing w:after="0" w:line="250" w:lineRule="auto"/>
        <w:rPr>
          <w:sz w:val="20"/>
          <w:szCs w:val="20"/>
          <w:color w:val="auto"/>
        </w:rPr>
      </w:pPr>
      <w:r>
        <w:rPr>
          <w:rFonts w:ascii="Times New Roman" w:cs="Times New Roman" w:eastAsia="Times New Roman" w:hAnsi="Times New Roman"/>
          <w:sz w:val="18"/>
          <w:szCs w:val="18"/>
          <w:color w:val="auto"/>
        </w:rPr>
        <w:t>Xometry, Inc. (“Xometry”, “Company”, “our” or “we”) was incorporated in the State of Delaware in May 2013. Xometry is a leading AI-enabled digital marketplace,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Derwood, Maryland.</w:t>
      </w:r>
    </w:p>
    <w:p>
      <w:pPr>
        <w:spacing w:after="0" w:line="150"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Xometry uses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spacing w:after="0" w:line="150" w:lineRule="exact"/>
        <w:rPr>
          <w:sz w:val="20"/>
          <w:szCs w:val="20"/>
          <w:color w:val="auto"/>
        </w:rPr>
      </w:pPr>
    </w:p>
    <w:p>
      <w:pPr>
        <w:ind w:right="320" w:firstLine="644"/>
        <w:spacing w:after="0" w:line="266" w:lineRule="auto"/>
        <w:rPr>
          <w:sz w:val="20"/>
          <w:szCs w:val="20"/>
          <w:color w:val="auto"/>
        </w:rPr>
      </w:pPr>
      <w:r>
        <w:rPr>
          <w:rFonts w:ascii="Times New Roman" w:cs="Times New Roman" w:eastAsia="Times New Roman" w:hAnsi="Times New Roman"/>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135"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uptime by providing access to an extensive, diverse base of buyers. We also offer suppliers supporting products and services to meet their unique needs. Our suite of supplier services includes access to competitively priced tools, materials and supplies from leading brands and financial service products to stabilize and enhance cash flow. In addition, we offer suppliers digital marketing and data solutions and SaaS based solutions to help suppliers optimize their productivity.</w:t>
      </w:r>
    </w:p>
    <w:p>
      <w:pPr>
        <w:spacing w:after="0" w:line="137" w:lineRule="exact"/>
        <w:rPr>
          <w:sz w:val="20"/>
          <w:szCs w:val="20"/>
          <w:color w:val="auto"/>
        </w:rPr>
      </w:pPr>
    </w:p>
    <w:p>
      <w:pPr>
        <w:ind w:right="180" w:firstLine="644"/>
        <w:spacing w:after="0" w:line="247"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p>
    <w:p>
      <w:pPr>
        <w:spacing w:after="0" w:line="139" w:lineRule="exact"/>
        <w:rPr>
          <w:sz w:val="20"/>
          <w:szCs w:val="20"/>
          <w:color w:val="auto"/>
        </w:rPr>
      </w:pPr>
    </w:p>
    <w:p>
      <w:pPr>
        <w:ind w:right="160" w:firstLine="644"/>
        <w:spacing w:after="0" w:line="250" w:lineRule="auto"/>
        <w:rPr>
          <w:sz w:val="20"/>
          <w:szCs w:val="20"/>
          <w:color w:val="auto"/>
        </w:rPr>
      </w:pPr>
      <w:r>
        <w:rPr>
          <w:rFonts w:ascii="Times New Roman" w:cs="Times New Roman" w:eastAsia="Times New Roman" w:hAnsi="Times New Roman"/>
          <w:sz w:val="18"/>
          <w:szCs w:val="18"/>
          <w:color w:val="auto"/>
        </w:rPr>
        <w:t>The majority of our revenue is derived from the sale of part(s) and assemblies to our customers on our marketplace, which we refer to as marketplace revenue. The suppliers on our platform offer a diversified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as well as finishing services, rapid prototyping and high-volume production. We enable buyers to source these processes to meet complex and specific design and order needs across several industries, including Defense, Aerospace, Healthcare, Automotive, Consumer Goods, Industrial, Robotics, Government, and Education.</w:t>
      </w:r>
    </w:p>
    <w:p>
      <w:pPr>
        <w:spacing w:after="0" w:line="165" w:lineRule="exact"/>
        <w:rPr>
          <w:sz w:val="20"/>
          <w:szCs w:val="20"/>
          <w:color w:val="auto"/>
        </w:rPr>
      </w:pPr>
    </w:p>
    <w:p>
      <w:pPr>
        <w:ind w:right="40" w:firstLine="644"/>
        <w:spacing w:after="0" w:line="247" w:lineRule="auto"/>
        <w:rPr>
          <w:sz w:val="20"/>
          <w:szCs w:val="20"/>
          <w:color w:val="auto"/>
        </w:rPr>
      </w:pPr>
      <w:r>
        <w:rPr>
          <w:rFonts w:ascii="Times New Roman" w:cs="Times New Roman" w:eastAsia="Times New Roman" w:hAnsi="Times New Roman"/>
          <w:sz w:val="18"/>
          <w:szCs w:val="18"/>
          <w:color w:val="auto"/>
        </w:rPr>
        <w:t>Our supplier services revenue primarily includes the sale of advertising and marketing services and to a lesser extent, supplies and financial service products that help our customers better manage cash flow at all stages of job production. Our financial services products, such as Xometry Pay, enable suppliers to stabilize and enhance their cash flows, supply discounts that allow suppliers to lower their operating costs, and resource management tools to optimize their businesses. In 2021, we acquired Thomas Publishing Company (“Thomas”) and Fusiform, Inc. (d.b.a FactoryFour) (“FactoryFour”), expanding our basket of supplier services to include advertising and marketing services and to a lesser extent SaaS based solutions to help suppliers optimize their productivity. Our revenue from Thomas is primarily advertising revenue.</w:t>
      </w:r>
    </w:p>
    <w:p>
      <w:pPr>
        <w:spacing w:after="0" w:line="72" w:lineRule="exact"/>
        <w:rPr>
          <w:sz w:val="20"/>
          <w:szCs w:val="20"/>
          <w:color w:val="auto"/>
        </w:rPr>
      </w:pPr>
    </w:p>
    <w:p>
      <w:pPr>
        <w:ind w:firstLine="636"/>
        <w:spacing w:after="0" w:line="246" w:lineRule="auto"/>
        <w:rPr>
          <w:sz w:val="20"/>
          <w:szCs w:val="20"/>
          <w:color w:val="auto"/>
        </w:rPr>
      </w:pPr>
      <w:r>
        <w:rPr>
          <w:rFonts w:ascii="Times New Roman" w:cs="Times New Roman" w:eastAsia="Times New Roman" w:hAnsi="Times New Roman"/>
          <w:sz w:val="18"/>
          <w:szCs w:val="18"/>
          <w:color w:val="auto"/>
        </w:rPr>
        <w:t>Our business benefits from a virtuous network liquidity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4" w:name="page25"/>
    <w:bookmarkEnd w:id="24"/>
    <w:p>
      <w:pPr>
        <w:ind w:right="80" w:firstLine="636"/>
        <w:spacing w:after="0" w:line="250" w:lineRule="auto"/>
        <w:rPr>
          <w:sz w:val="20"/>
          <w:szCs w:val="20"/>
          <w:color w:val="auto"/>
        </w:rPr>
      </w:pPr>
      <w:r>
        <w:rPr>
          <w:rFonts w:ascii="Times New Roman" w:cs="Times New Roman" w:eastAsia="Times New Roman" w:hAnsi="Times New Roman"/>
          <w:sz w:val="18"/>
          <w:szCs w:val="18"/>
          <w:color w:val="auto"/>
        </w:rPr>
        <w:t>The on-going COVID-19 pandemic has globally resulted in loss of life, and business closures impacting our buyers and suppliers. Even after the COVID-19 pandemic subsides, it may have a continued and lasting impact on the global economy, including our business. Future shelter-in-place orders and similar regulations impact the ability of our buyers and suppliers to operate their businesses. Any limitations on or disruptions or closures of buyers’ and suppliers’ businesses could adversely affect our business.</w:t>
      </w:r>
    </w:p>
    <w:p>
      <w:pPr>
        <w:spacing w:after="0" w:line="83" w:lineRule="exact"/>
        <w:rPr>
          <w:sz w:val="20"/>
          <w:szCs w:val="20"/>
          <w:color w:val="auto"/>
        </w:rPr>
      </w:pPr>
    </w:p>
    <w:p>
      <w:pPr>
        <w:ind w:right="200" w:firstLine="636"/>
        <w:spacing w:after="0" w:line="266" w:lineRule="auto"/>
        <w:rPr>
          <w:sz w:val="20"/>
          <w:szCs w:val="20"/>
          <w:color w:val="auto"/>
        </w:rPr>
      </w:pPr>
      <w:r>
        <w:rPr>
          <w:rFonts w:ascii="Times New Roman" w:cs="Times New Roman" w:eastAsia="Times New Roman" w:hAnsi="Times New Roman"/>
          <w:sz w:val="18"/>
          <w:szCs w:val="18"/>
          <w:color w:val="auto"/>
        </w:rPr>
        <w:t>The COVID-19 pandemic to date has not significantly adversely impacted the growth of our business. We believe the COVID-19 pandemic has validated our platform, highlighting the need for resilient supply chains, and reshaping the way buyers source their manufacturing needs.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Marketplace Operational and Business Metrics</w:t>
      </w:r>
    </w:p>
    <w:p>
      <w:pPr>
        <w:spacing w:after="0" w:line="229" w:lineRule="exact"/>
        <w:rPr>
          <w:sz w:val="20"/>
          <w:szCs w:val="20"/>
          <w:color w:val="auto"/>
        </w:rPr>
      </w:pPr>
    </w:p>
    <w:p>
      <w:pPr>
        <w:ind w:right="180" w:firstLine="644"/>
        <w:spacing w:after="0" w:line="250"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included elsewhere in this filing, we use the following key operational and business metrics to help us evaluate our marketplace business, measure our performance, identify trends affecting our business, formulate business plans and develop forecasts, and make strategic decisions: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Buyers</w:t>
      </w:r>
    </w:p>
    <w:p>
      <w:pPr>
        <w:spacing w:after="0" w:line="121" w:lineRule="exact"/>
        <w:rPr>
          <w:sz w:val="20"/>
          <w:szCs w:val="20"/>
          <w:color w:val="auto"/>
        </w:rPr>
      </w:pPr>
    </w:p>
    <w:p>
      <w:pPr>
        <w:ind w:right="320" w:firstLine="636"/>
        <w:spacing w:after="0" w:line="266" w:lineRule="auto"/>
        <w:rPr>
          <w:sz w:val="20"/>
          <w:szCs w:val="20"/>
          <w:color w:val="auto"/>
        </w:rPr>
      </w:pPr>
      <w:r>
        <w:rPr>
          <w:rFonts w:ascii="Times New Roman" w:cs="Times New Roman" w:eastAsia="Times New Roman" w:hAnsi="Times New Roman"/>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6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Active Buyers has consistently grown over time. The number of Active Buyers on our platform reached 30,683 as of March 31, 2022, up 44% from 21,345 as of March 31, 2021.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144780</wp:posOffset>
            </wp:positionV>
            <wp:extent cx="4723130" cy="32658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2313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Revenue from Existing Accounts</w:t>
      </w:r>
    </w:p>
    <w:p>
      <w:pPr>
        <w:spacing w:after="0" w:line="121" w:lineRule="exact"/>
        <w:rPr>
          <w:sz w:val="20"/>
          <w:szCs w:val="20"/>
          <w:color w:val="auto"/>
        </w:rPr>
      </w:pPr>
    </w:p>
    <w:p>
      <w:pPr>
        <w:ind w:firstLine="636"/>
        <w:spacing w:after="0" w:line="244" w:lineRule="auto"/>
        <w:rPr>
          <w:sz w:val="20"/>
          <w:szCs w:val="20"/>
          <w:color w:val="auto"/>
        </w:rPr>
      </w:pPr>
      <w:r>
        <w:rPr>
          <w:rFonts w:ascii="Times New Roman" w:cs="Times New Roman" w:eastAsia="Times New Roman" w:hAnsi="Times New Roman"/>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95" w:lineRule="exact"/>
        <w:rPr>
          <w:sz w:val="20"/>
          <w:szCs w:val="20"/>
          <w:color w:val="auto"/>
        </w:rPr>
      </w:pPr>
    </w:p>
    <w:p>
      <w:pPr>
        <w:ind w:right="260" w:firstLine="644"/>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2022, 94%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140335</wp:posOffset>
            </wp:positionV>
            <wp:extent cx="4732020" cy="32486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3202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with Last Twelve-Month Spend of At Least $50,000</w:t>
      </w:r>
    </w:p>
    <w:p>
      <w:pPr>
        <w:spacing w:after="0" w:line="121" w:lineRule="exact"/>
        <w:rPr>
          <w:sz w:val="20"/>
          <w:szCs w:val="20"/>
          <w:color w:val="auto"/>
        </w:rPr>
      </w:pPr>
    </w:p>
    <w:p>
      <w:pPr>
        <w:ind w:right="40" w:firstLine="644"/>
        <w:spacing w:after="0" w:line="250" w:lineRule="auto"/>
        <w:rPr>
          <w:sz w:val="20"/>
          <w:szCs w:val="20"/>
          <w:color w:val="auto"/>
        </w:rPr>
      </w:pPr>
      <w:r>
        <w:rPr>
          <w:rFonts w:ascii="Times New Roman" w:cs="Times New Roman" w:eastAsia="Times New Roman" w:hAnsi="Times New Roman"/>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790 as of March 31, 2022, up 92% from 412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140970</wp:posOffset>
            </wp:positionV>
            <wp:extent cx="4766310" cy="32575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6631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8"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interest expense, interest and dividend income and other expenses, depreciation and amortization, stock-based compensation expense, charitable contributions, transactions costs, income from an unconsolidated joint venture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69"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2022, Adjusted EBITDA loss increased to $(12.7) million, as compared to Adjusted EBITDA loss of $(8.8) million for the same quarter in 2021. For the quarter ended March 31, 2022, Adjusted EBITDA Margin decreased to (15)% of revenue, as compared to</w:t>
      </w:r>
    </w:p>
    <w:p>
      <w:pPr>
        <w:ind w:right="360"/>
        <w:spacing w:after="0" w:line="245" w:lineRule="auto"/>
        <w:rPr>
          <w:sz w:val="20"/>
          <w:szCs w:val="20"/>
          <w:color w:val="auto"/>
        </w:rPr>
      </w:pPr>
      <w:r>
        <w:rPr>
          <w:rFonts w:ascii="Times New Roman" w:cs="Times New Roman" w:eastAsia="Times New Roman" w:hAnsi="Times New Roman"/>
          <w:sz w:val="18"/>
          <w:szCs w:val="18"/>
          <w:color w:val="auto"/>
        </w:rPr>
        <w:t>(20)% of revenue for the same quarter in 2021, driven primarily by higher operating expenses offset by increased revenues, as we continue to scale our business.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Addback (deduct)</w:t>
            </w: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interest and dividend income and other expenses</w:t>
            </w:r>
          </w:p>
        </w:tc>
        <w:tc>
          <w:tcPr>
            <w:tcW w:w="2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in-place lease asset</w:t>
            </w:r>
          </w:p>
        </w:tc>
        <w:tc>
          <w:tcPr>
            <w:tcW w:w="2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(559 )</w:t>
            </w:r>
          </w:p>
        </w:tc>
        <w:tc>
          <w:tcPr>
            <w:tcW w:w="112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2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(34 )</w:t>
            </w:r>
          </w:p>
        </w:tc>
        <w:tc>
          <w:tcPr>
            <w:tcW w:w="112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16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2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507"/>
        </w:trPr>
        <w:tc>
          <w:tcPr>
            <w:tcW w:w="5160" w:type="dxa"/>
            <w:vAlign w:val="bottom"/>
          </w:tcPr>
          <w:p>
            <w:pPr>
              <w:spacing w:after="0"/>
              <w:rPr>
                <w:sz w:val="24"/>
                <w:szCs w:val="24"/>
                <w:color w:val="auto"/>
              </w:rPr>
            </w:pPr>
          </w:p>
        </w:tc>
        <w:tc>
          <w:tcPr>
            <w:tcW w:w="21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-436245</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-419100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-582295</wp:posOffset>
            </wp:positionV>
            <wp:extent cx="51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-436245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-419100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-582295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Loss</w:t>
      </w:r>
    </w:p>
    <w:p>
      <w:pPr>
        <w:spacing w:after="0" w:line="229" w:lineRule="exact"/>
        <w:rPr>
          <w:sz w:val="20"/>
          <w:szCs w:val="20"/>
          <w:color w:val="auto"/>
        </w:rPr>
      </w:pPr>
    </w:p>
    <w:p>
      <w:pPr>
        <w:jc w:val="both"/>
        <w:ind w:right="40" w:firstLine="689"/>
        <w:spacing w:after="0" w:line="250" w:lineRule="auto"/>
        <w:rPr>
          <w:sz w:val="20"/>
          <w:szCs w:val="20"/>
          <w:color w:val="auto"/>
        </w:rPr>
      </w:pPr>
      <w:r>
        <w:rPr>
          <w:rFonts w:ascii="Times New Roman" w:cs="Times New Roman" w:eastAsia="Times New Roman" w:hAnsi="Times New Roman"/>
          <w:sz w:val="18"/>
          <w:szCs w:val="18"/>
          <w:color w:val="auto"/>
        </w:rPr>
        <w:t>We define Non-GAAP net loss, as net loss adjusted to exclude depreciation and amortization, stock-based compensation expense, amortization of in-place lease assets, amortization of debt discount and issuance costs, unrealized loss on marketable securities, revaluation of contingent consideration and transaction costs.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20" w:type="dxa"/>
            <w:vAlign w:val="bottom"/>
            <w:gridSpan w:val="3"/>
            <w:vMerge w:val="continue"/>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(19,995 )</w:t>
            </w:r>
          </w:p>
        </w:tc>
        <w:tc>
          <w:tcPr>
            <w:tcW w:w="1580" w:type="dxa"/>
            <w:vAlign w:val="bottom"/>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(10,501 )</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in-place lease asset</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deferred costs on convertible notes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(12,598 )</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Non-GAAP net loss increased to $(12.6) million, as compared to Non-GAAP net loss of $(9.3) million for the same quarter in 2021. For the quarter ended March 31, 2022, Non-GAAP net loss decreased to (15)% of revenue, as compared to (21)% of revenue for the same quarter in 2021.</w:t>
      </w:r>
    </w:p>
    <w:p>
      <w:pPr>
        <w:spacing w:after="0" w:line="169" w:lineRule="exact"/>
        <w:rPr>
          <w:sz w:val="20"/>
          <w:szCs w:val="20"/>
          <w:color w:val="auto"/>
        </w:rPr>
      </w:pPr>
    </w:p>
    <w:p>
      <w:pPr>
        <w:ind w:right="100" w:firstLine="644"/>
        <w:spacing w:after="0" w:line="245" w:lineRule="auto"/>
        <w:rPr>
          <w:sz w:val="20"/>
          <w:szCs w:val="20"/>
          <w:color w:val="auto"/>
        </w:rPr>
      </w:pPr>
      <w:r>
        <w:rPr>
          <w:rFonts w:ascii="Times New Roman" w:cs="Times New Roman" w:eastAsia="Times New Roman" w:hAnsi="Times New Roman"/>
          <w:sz w:val="18"/>
          <w:szCs w:val="18"/>
          <w:color w:val="auto"/>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636"/>
        <w:spacing w:after="0" w:line="250" w:lineRule="auto"/>
        <w:rPr>
          <w:sz w:val="20"/>
          <w:szCs w:val="20"/>
          <w:color w:val="auto"/>
        </w:rPr>
      </w:pPr>
      <w:r>
        <w:rPr>
          <w:rFonts w:ascii="Times New Roman" w:cs="Times New Roman" w:eastAsia="Times New Roman" w:hAnsi="Times New Roman"/>
          <w:sz w:val="18"/>
          <w:szCs w:val="18"/>
          <w:color w:val="auto"/>
        </w:rPr>
        <w:t>Our marketplace revenue is primarily comprised of sales to customers through our platform. Buyers purchase specialized CNC manufacturing, sheet metal manufacturing, 3D printing, injection molding, urethane casting, finishing services. Customer purchases range from rapid prototyping of single parts to high-volume production on our marketplace. These products are primarily manufactured by our network of suppliers.</w:t>
      </w:r>
    </w:p>
    <w:p>
      <w:pPr>
        <w:spacing w:after="0" w:line="82" w:lineRule="exact"/>
        <w:rPr>
          <w:sz w:val="20"/>
          <w:szCs w:val="20"/>
          <w:color w:val="auto"/>
        </w:rPr>
      </w:pPr>
    </w:p>
    <w:p>
      <w:pPr>
        <w:ind w:right="80" w:firstLine="636"/>
        <w:spacing w:after="0" w:line="266" w:lineRule="auto"/>
        <w:rPr>
          <w:sz w:val="20"/>
          <w:szCs w:val="20"/>
          <w:color w:val="auto"/>
        </w:rPr>
      </w:pPr>
      <w:r>
        <w:rPr>
          <w:rFonts w:ascii="Times New Roman" w:cs="Times New Roman" w:eastAsia="Times New Roman" w:hAnsi="Times New Roman"/>
          <w:sz w:val="18"/>
          <w:szCs w:val="18"/>
          <w:color w:val="auto"/>
        </w:rPr>
        <w:t>Supplier services revenue includes the sale of marketing and advertising services, and to a lesser extent SaaS based solutions and financial service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60" w:firstLine="636"/>
        <w:spacing w:after="0" w:line="245" w:lineRule="auto"/>
        <w:rPr>
          <w:sz w:val="20"/>
          <w:szCs w:val="20"/>
          <w:color w:val="auto"/>
        </w:rPr>
      </w:pPr>
      <w:r>
        <w:rPr>
          <w:rFonts w:ascii="Times New Roman" w:cs="Times New Roman" w:eastAsia="Times New Roman" w:hAnsi="Times New Roman"/>
          <w:sz w:val="18"/>
          <w:szCs w:val="18"/>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86" w:lineRule="exact"/>
        <w:rPr>
          <w:sz w:val="20"/>
          <w:szCs w:val="20"/>
          <w:color w:val="auto"/>
        </w:rPr>
      </w:pPr>
    </w:p>
    <w:p>
      <w:pPr>
        <w:ind w:right="2160" w:firstLine="636"/>
        <w:spacing w:after="0" w:line="360" w:lineRule="auto"/>
        <w:rPr>
          <w:sz w:val="20"/>
          <w:szCs w:val="20"/>
          <w:color w:val="auto"/>
        </w:rPr>
      </w:pPr>
      <w:r>
        <w:rPr>
          <w:rFonts w:ascii="Times New Roman" w:cs="Times New Roman" w:eastAsia="Times New Roman" w:hAnsi="Times New Roman"/>
          <w:sz w:val="18"/>
          <w:szCs w:val="18"/>
          <w:color w:val="auto"/>
        </w:rPr>
        <w:t xml:space="preserve">Cost of revenue for supplier services primarily consists of internal and external production costs and website hosting. </w:t>
      </w:r>
      <w:r>
        <w:rPr>
          <w:rFonts w:ascii="Times New Roman" w:cs="Times New Roman" w:eastAsia="Times New Roman" w:hAnsi="Times New Roman"/>
          <w:sz w:val="18"/>
          <w:szCs w:val="18"/>
          <w:b w:val="1"/>
          <w:bCs w:val="1"/>
          <w:i w:val="1"/>
          <w:iCs w:val="1"/>
          <w:color w:val="auto"/>
        </w:rPr>
        <w:t>Gross Profit</w:t>
      </w:r>
    </w:p>
    <w:p>
      <w:pPr>
        <w:jc w:val="both"/>
        <w:ind w:right="160" w:firstLine="636"/>
        <w:spacing w:after="0" w:line="258" w:lineRule="auto"/>
        <w:rPr>
          <w:sz w:val="20"/>
          <w:szCs w:val="20"/>
          <w:color w:val="auto"/>
        </w:rPr>
      </w:pPr>
      <w:r>
        <w:rPr>
          <w:rFonts w:ascii="Times New Roman" w:cs="Times New Roman" w:eastAsia="Times New Roman" w:hAnsi="Times New Roman"/>
          <w:sz w:val="18"/>
          <w:szCs w:val="18"/>
          <w:color w:val="auto"/>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operating expenses consist of sales and marketing, operations and support, product development and general and administrative functions.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ind w:right="20" w:firstLine="636"/>
        <w:spacing w:after="0" w:line="247"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08" w:lineRule="exact"/>
        <w:rPr>
          <w:sz w:val="20"/>
          <w:szCs w:val="20"/>
          <w:color w:val="auto"/>
        </w:rPr>
      </w:pPr>
    </w:p>
    <w:p>
      <w:pPr>
        <w:ind w:right="20" w:firstLine="636"/>
        <w:spacing w:after="0" w:line="247" w:lineRule="auto"/>
        <w:rPr>
          <w:sz w:val="20"/>
          <w:szCs w:val="20"/>
          <w:color w:val="auto"/>
        </w:rPr>
      </w:pPr>
      <w:r>
        <w:rPr>
          <w:rFonts w:ascii="Times New Roman" w:cs="Times New Roman" w:eastAsia="Times New Roman" w:hAnsi="Times New Roman"/>
          <w:sz w:val="18"/>
          <w:szCs w:val="18"/>
          <w:color w:val="auto"/>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120" w:firstLine="636"/>
        <w:spacing w:after="0" w:line="246" w:lineRule="auto"/>
        <w:rPr>
          <w:sz w:val="20"/>
          <w:szCs w:val="20"/>
          <w:color w:val="auto"/>
        </w:rPr>
      </w:pPr>
      <w:r>
        <w:rPr>
          <w:rFonts w:ascii="Times New Roman" w:cs="Times New Roman" w:eastAsia="Times New Roman" w:hAnsi="Times New Roman"/>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636"/>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professional service fees, public company costs, charitable contributions and certain depreciation and amortization expense. It also includes compensation expenses, including stock-based compensation expenses, for executive, finance, legal and other administrative personnel. We expect our general and administrative expenses to increase. We expect to incur additional general and administrative expenses as a result of operating as a public company, including as a result of increased legal, accounting, and directors’ and officers’ insurance expenses.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380" w:firstLine="636"/>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incurred on our outstanding borrowings under our outstanding convertible notes or other borrowings. See “Management’s Discussion and Analysis of Financial Condition and Results of Operations—Liquidity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and dividend income consists of interest on our cash and cash equivalents and dividend income from our investments.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expenses consist primarily of unrealized losses and other expenses.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2021</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83,671</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43,922</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2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34,087</w:t>
            </w:r>
          </w:p>
        </w:tc>
        <w:tc>
          <w:tcPr>
            <w:tcW w:w="80" w:type="dxa"/>
            <w:vAlign w:val="bottom"/>
          </w:tcPr>
          <w:p>
            <w:pPr>
              <w:spacing w:after="0"/>
              <w:rPr>
                <w:sz w:val="18"/>
                <w:szCs w:val="18"/>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2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80" w:type="dxa"/>
            <w:vAlign w:val="bottom"/>
          </w:tcPr>
          <w:p>
            <w:pPr>
              <w:spacing w:after="0"/>
              <w:rPr>
                <w:sz w:val="18"/>
                <w:szCs w:val="18"/>
                <w:color w:val="auto"/>
              </w:rPr>
            </w:pPr>
          </w:p>
        </w:tc>
      </w:tr>
      <w:tr>
        <w:trPr>
          <w:trHeight w:val="209"/>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51,892</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spacing w:after="0"/>
              <w:rPr>
                <w:sz w:val="18"/>
                <w:szCs w:val="18"/>
                <w:color w:val="auto"/>
              </w:rPr>
            </w:pP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99"/>
              </w:rPr>
              <w:t>(18,953 )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(10,049 )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8"/>
                <w:szCs w:val="18"/>
                <w:color w:val="auto"/>
              </w:rPr>
            </w:pP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(769 )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1020" w:type="dxa"/>
            <w:vAlign w:val="bottom"/>
          </w:tcPr>
          <w:p>
            <w:pPr>
              <w:spacing w:after="0"/>
              <w:rPr>
                <w:sz w:val="18"/>
                <w:szCs w:val="18"/>
                <w:color w:val="auto"/>
              </w:rPr>
            </w:pP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(962 )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expenses</w:t>
            </w:r>
          </w:p>
        </w:tc>
        <w:tc>
          <w:tcPr>
            <w:tcW w:w="1020" w:type="dxa"/>
            <w:vAlign w:val="bottom"/>
          </w:tcPr>
          <w:p>
            <w:pPr>
              <w:spacing w:after="0"/>
              <w:rPr>
                <w:sz w:val="18"/>
                <w:szCs w:val="18"/>
                <w:color w:val="auto"/>
              </w:rPr>
            </w:pP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(1,601 )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(452 )</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2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260" w:type="dxa"/>
            <w:vAlign w:val="bottom"/>
            <w:tcBorders>
              <w:bottom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-1713865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-1713865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-882015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-882015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p>
      <w:pPr>
        <w:spacing w:after="0" w:line="25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16"/>
        </w:trPr>
        <w:tc>
          <w:tcPr>
            <w:tcW w:w="8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100.0 %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60.6 %</w:t>
            </w:r>
          </w:p>
        </w:tc>
        <w:tc>
          <w:tcPr>
            <w:tcW w:w="36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77.6 %</w:t>
            </w:r>
          </w:p>
        </w:tc>
      </w:tr>
      <w:tr>
        <w:trPr>
          <w:trHeight w:val="21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23.0 %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17.2 %</w:t>
            </w:r>
          </w:p>
        </w:tc>
      </w:tr>
      <w:tr>
        <w:trPr>
          <w:trHeight w:val="216"/>
        </w:trPr>
        <w:tc>
          <w:tcPr>
            <w:tcW w:w="8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9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14.8 %</w:t>
            </w:r>
          </w:p>
        </w:tc>
        <w:tc>
          <w:tcPr>
            <w:tcW w:w="36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8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98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8.7 %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8.3 %</w:t>
            </w:r>
          </w:p>
        </w:tc>
      </w:tr>
      <w:tr>
        <w:trPr>
          <w:trHeight w:val="216"/>
        </w:trPr>
        <w:tc>
          <w:tcPr>
            <w:tcW w:w="8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15.5 %</w:t>
            </w:r>
          </w:p>
        </w:tc>
        <w:tc>
          <w:tcPr>
            <w:tcW w:w="36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9.9 %</w:t>
            </w:r>
          </w:p>
        </w:tc>
      </w:tr>
      <w:tr>
        <w:trPr>
          <w:trHeight w:val="210"/>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(22.6 )%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16"/>
        </w:trPr>
        <w:tc>
          <w:tcPr>
            <w:tcW w:w="8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4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8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(0.9 )%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16"/>
        </w:trPr>
        <w:tc>
          <w:tcPr>
            <w:tcW w:w="8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8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0.1 %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(1.1 )%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92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0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expenses</w:t>
            </w:r>
          </w:p>
        </w:tc>
        <w:tc>
          <w:tcPr>
            <w:tcW w:w="920" w:type="dxa"/>
            <w:vAlign w:val="bottom"/>
          </w:tcPr>
          <w:p>
            <w:pPr>
              <w:spacing w:after="0"/>
              <w:rPr>
                <w:sz w:val="18"/>
                <w:szCs w:val="18"/>
                <w:color w:val="auto"/>
              </w:rPr>
            </w:pPr>
          </w:p>
        </w:tc>
        <w:tc>
          <w:tcPr>
            <w:tcW w:w="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(1.9 )%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9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0.7 %</w:t>
            </w:r>
          </w:p>
        </w:tc>
        <w:tc>
          <w:tcPr>
            <w:tcW w:w="36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2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07"/>
        </w:trPr>
        <w:tc>
          <w:tcPr>
            <w:tcW w:w="76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7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-2973705</wp:posOffset>
            </wp:positionV>
            <wp:extent cx="1968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-2973705</wp:posOffset>
            </wp:positionV>
            <wp:extent cx="1974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-2133600</wp:posOffset>
            </wp:positionV>
            <wp:extent cx="1968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-2133600</wp:posOffset>
            </wp:positionV>
            <wp:extent cx="1974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-1302385</wp:posOffset>
            </wp:positionV>
            <wp:extent cx="1968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-1302385</wp:posOffset>
            </wp:positionV>
            <wp:extent cx="1974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-445135</wp:posOffset>
            </wp:positionV>
            <wp:extent cx="1968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-427990</wp:posOffset>
            </wp:positionV>
            <wp:extent cx="1968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-445135</wp:posOffset>
            </wp:positionV>
            <wp:extent cx="1974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-427990</wp:posOffset>
            </wp:positionV>
            <wp:extent cx="1974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ind w:right="160" w:firstLine="644"/>
        <w:spacing w:after="0" w:line="250" w:lineRule="auto"/>
        <w:rPr>
          <w:sz w:val="20"/>
          <w:szCs w:val="20"/>
          <w:color w:val="auto"/>
        </w:rPr>
      </w:pPr>
      <w:r>
        <w:rPr>
          <w:rFonts w:ascii="Times New Roman" w:cs="Times New Roman" w:eastAsia="Times New Roman" w:hAnsi="Times New Roman"/>
          <w:sz w:val="18"/>
          <w:szCs w:val="18"/>
          <w:color w:val="auto"/>
        </w:rPr>
        <w:t>The following table present our disaggregated revenue and costs of revenue.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82" w:lineRule="exact"/>
        <w:rPr>
          <w:sz w:val="20"/>
          <w:szCs w:val="20"/>
          <w:color w:val="auto"/>
        </w:rPr>
      </w:pPr>
    </w:p>
    <w:p>
      <w:pPr>
        <w:ind w:right="360" w:firstLine="644"/>
        <w:spacing w:after="0" w:line="266" w:lineRule="auto"/>
        <w:rPr>
          <w:sz w:val="20"/>
          <w:szCs w:val="20"/>
          <w:color w:val="auto"/>
        </w:rPr>
      </w:pPr>
      <w:r>
        <w:rPr>
          <w:rFonts w:ascii="Times New Roman" w:cs="Times New Roman" w:eastAsia="Times New Roman" w:hAnsi="Times New Roman"/>
          <w:sz w:val="18"/>
          <w:szCs w:val="18"/>
          <w:color w:val="auto"/>
        </w:rPr>
        <w:t>Revenue and cost of revenue of is presented in the following tables for the three months ended March 31, 2022 (in thousands, amounts for the three months ended March 31, 2021 were not considered material):</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1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jc w:val="right"/>
              <w:ind w:right="2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r>
      <w:tr>
        <w:trPr>
          <w:trHeight w:val="21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760" w:type="dxa"/>
            <w:vAlign w:val="bottom"/>
            <w:shd w:val="clear" w:color="auto" w:fill="CFF0FC"/>
          </w:tcPr>
          <w:p>
            <w:pPr>
              <w:spacing w:after="0"/>
              <w:rPr>
                <w:sz w:val="18"/>
                <w:szCs w:val="18"/>
                <w:color w:val="auto"/>
              </w:rPr>
            </w:pPr>
          </w:p>
        </w:tc>
        <w:tc>
          <w:tcPr>
            <w:tcW w:w="5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64,415</w:t>
            </w:r>
          </w:p>
        </w:tc>
        <w:tc>
          <w:tcPr>
            <w:tcW w:w="6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tcBorders>
              <w:bottom w:val="single" w:sz="8" w:color="auto"/>
            </w:tcBorders>
            <w:shd w:val="clear" w:color="auto" w:fill="CFF0FC"/>
          </w:tcPr>
          <w:p>
            <w:pPr>
              <w:spacing w:after="0"/>
              <w:rPr>
                <w:sz w:val="18"/>
                <w:szCs w:val="18"/>
                <w:color w:val="auto"/>
              </w:rPr>
            </w:pPr>
          </w:p>
        </w:tc>
        <w:tc>
          <w:tcPr>
            <w:tcW w:w="5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46,741</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6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760" w:type="dxa"/>
            <w:vAlign w:val="bottom"/>
            <w:shd w:val="clear" w:color="auto" w:fill="CFF0FC"/>
          </w:tcPr>
          <w:p>
            <w:pPr>
              <w:spacing w:after="0"/>
              <w:rPr>
                <w:sz w:val="18"/>
                <w:szCs w:val="18"/>
                <w:color w:val="auto"/>
              </w:rPr>
            </w:pPr>
          </w:p>
        </w:tc>
        <w:tc>
          <w:tcPr>
            <w:tcW w:w="5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19,256</w:t>
            </w:r>
          </w:p>
        </w:tc>
        <w:tc>
          <w:tcPr>
            <w:tcW w:w="6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tcBorders>
              <w:bottom w:val="single" w:sz="8" w:color="auto"/>
            </w:tcBorders>
            <w:shd w:val="clear" w:color="auto" w:fill="CFF0FC"/>
          </w:tcPr>
          <w:p>
            <w:pPr>
              <w:spacing w:after="0"/>
              <w:rPr>
                <w:sz w:val="18"/>
                <w:szCs w:val="18"/>
                <w:color w:val="auto"/>
              </w:rPr>
            </w:pPr>
          </w:p>
        </w:tc>
        <w:tc>
          <w:tcPr>
            <w:tcW w:w="5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6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-890905</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firstLine="636"/>
        <w:spacing w:after="0" w:line="247" w:lineRule="auto"/>
        <w:rPr>
          <w:sz w:val="20"/>
          <w:szCs w:val="20"/>
          <w:color w:val="auto"/>
        </w:rPr>
      </w:pPr>
      <w:r>
        <w:rPr>
          <w:rFonts w:ascii="Times New Roman" w:cs="Times New Roman" w:eastAsia="Times New Roman" w:hAnsi="Times New Roman"/>
          <w:sz w:val="18"/>
          <w:szCs w:val="18"/>
          <w:color w:val="auto"/>
        </w:rPr>
        <w:t>Total revenue increased $39.7 million, or 90%, from $43.9 million for the three months ended March 31, 2021 to $83.7 million for the three months ended March 31, 2022. This growth was primarily a result of an increase in marketplace revenue and an increase in supplier services revenue due to our acquisition of Thomas. Total revenue from marketplace and supplier services for the three months ended March 31, 2022 was $64.4 million and $19.3 million, respectively. The marketplace increase was primarily the result of a 44% increase in active buyers resulting from investments in sales and marketing, as well as existing buyers increasing their spend on the platform for the three months ended March 31, 2022, as compared to the prior year period. Supplier services revenue growth was driven primarily by our acquisition of Thomas in December 2021.</w:t>
      </w:r>
    </w:p>
    <w:p>
      <w:pPr>
        <w:spacing w:after="0" w:line="180" w:lineRule="exact"/>
        <w:rPr>
          <w:sz w:val="20"/>
          <w:szCs w:val="20"/>
          <w:color w:val="auto"/>
        </w:rPr>
      </w:pPr>
    </w:p>
    <w:p>
      <w:pPr>
        <w:ind w:right="300" w:firstLine="636"/>
        <w:spacing w:after="0" w:line="266" w:lineRule="auto"/>
        <w:rPr>
          <w:sz w:val="20"/>
          <w:szCs w:val="20"/>
          <w:color w:val="auto"/>
        </w:rPr>
      </w:pPr>
      <w:r>
        <w:rPr>
          <w:rFonts w:ascii="Times New Roman" w:cs="Times New Roman" w:eastAsia="Times New Roman" w:hAnsi="Times New Roman"/>
          <w:sz w:val="18"/>
          <w:szCs w:val="18"/>
          <w:color w:val="auto"/>
        </w:rPr>
        <w:t>Total revenue from our U.S. and International operating segments for the three months ended March 31, 2022 and 2021, was $77.2 million and $41.3 million, respectively, for the U.S., and $6.5 million and $2.6 million, respectively, for International.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16" w:lineRule="exact"/>
        <w:rPr>
          <w:sz w:val="20"/>
          <w:szCs w:val="20"/>
          <w:color w:val="auto"/>
        </w:rPr>
      </w:pPr>
    </w:p>
    <w:p>
      <w:pPr>
        <w:ind w:right="240" w:firstLine="636"/>
        <w:spacing w:after="0" w:line="250" w:lineRule="auto"/>
        <w:rPr>
          <w:sz w:val="20"/>
          <w:szCs w:val="20"/>
          <w:color w:val="auto"/>
        </w:rPr>
      </w:pPr>
      <w:r>
        <w:rPr>
          <w:rFonts w:ascii="Times New Roman" w:cs="Times New Roman" w:eastAsia="Times New Roman" w:hAnsi="Times New Roman"/>
          <w:sz w:val="18"/>
          <w:szCs w:val="18"/>
          <w:color w:val="auto"/>
        </w:rPr>
        <w:t>Total cost of revenue increased $16.6 million, or 49%, from $34.1 million for the three months ended March 31, 2021 to $50.7 million for the three months ended March 31, 2022. This increase was primarily the result of an increase in marketplace cost of revenue and increase in supplier service costs of revenue due to our acquisition of Thomas. Total cost of revenue from marketplace and supplier services for the three months ended March 31, 2022 was $46.7 million and $4.0 million, respectively.</w:t>
      </w:r>
    </w:p>
    <w:p>
      <w:pPr>
        <w:spacing w:after="0" w:line="177" w:lineRule="exact"/>
        <w:rPr>
          <w:sz w:val="20"/>
          <w:szCs w:val="20"/>
          <w:color w:val="auto"/>
        </w:rPr>
      </w:pPr>
    </w:p>
    <w:p>
      <w:pPr>
        <w:ind w:right="360" w:firstLine="636"/>
        <w:spacing w:after="0" w:line="258" w:lineRule="auto"/>
        <w:rPr>
          <w:sz w:val="20"/>
          <w:szCs w:val="20"/>
          <w:color w:val="auto"/>
        </w:rPr>
      </w:pPr>
      <w:r>
        <w:rPr>
          <w:rFonts w:ascii="Times New Roman" w:cs="Times New Roman" w:eastAsia="Times New Roman" w:hAnsi="Times New Roman"/>
          <w:sz w:val="18"/>
          <w:szCs w:val="18"/>
          <w:color w:val="auto"/>
        </w:rPr>
        <w:t>Marketplace cost of revenue was driven by increased payments to suppliers on our platform due to the growth in our buyer base and increased activity by existing accounts on our marketplace. Our supplier services cost of revenue increased primarily as a result of our acquisition of Thomas in December 2021.</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16" w:lineRule="exact"/>
        <w:rPr>
          <w:sz w:val="20"/>
          <w:szCs w:val="20"/>
          <w:color w:val="auto"/>
        </w:rPr>
      </w:pPr>
    </w:p>
    <w:p>
      <w:pPr>
        <w:ind w:right="60" w:firstLine="636"/>
        <w:spacing w:after="0" w:line="258" w:lineRule="auto"/>
        <w:rPr>
          <w:sz w:val="20"/>
          <w:szCs w:val="20"/>
          <w:color w:val="auto"/>
        </w:rPr>
      </w:pPr>
      <w:r>
        <w:rPr>
          <w:rFonts w:ascii="Times New Roman" w:cs="Times New Roman" w:eastAsia="Times New Roman" w:hAnsi="Times New Roman"/>
          <w:sz w:val="18"/>
          <w:szCs w:val="18"/>
          <w:color w:val="auto"/>
        </w:rPr>
        <w:t>Gross profit increased $23.1 million, or 235%, from $9.8 million for the three months ended March 31, 2021 to $32.9 million for the three months ended March 31, 2022. The increase in gross profit was primarily due to the acquisition of Thomas, increases in revenue from marketplace and improved gross margin as compared to the prior year period.</w:t>
      </w:r>
    </w:p>
    <w:p>
      <w:pPr>
        <w:spacing w:after="0" w:line="169" w:lineRule="exact"/>
        <w:rPr>
          <w:sz w:val="20"/>
          <w:szCs w:val="20"/>
          <w:color w:val="auto"/>
        </w:rPr>
      </w:pPr>
    </w:p>
    <w:p>
      <w:pPr>
        <w:ind w:right="180" w:firstLine="636"/>
        <w:spacing w:after="0" w:line="250" w:lineRule="auto"/>
        <w:rPr>
          <w:sz w:val="20"/>
          <w:szCs w:val="20"/>
          <w:color w:val="auto"/>
        </w:rPr>
      </w:pPr>
      <w:r>
        <w:rPr>
          <w:rFonts w:ascii="Times New Roman" w:cs="Times New Roman" w:eastAsia="Times New Roman" w:hAnsi="Times New Roman"/>
          <w:sz w:val="18"/>
          <w:szCs w:val="18"/>
          <w:color w:val="auto"/>
        </w:rPr>
        <w:t>Gross margin for marketplace was 27.4% for the three months ended March 31, 2022 which was a significant improvement over the prior year period in part due to our AI-driven platform. Pricing has become more efficient due to the increased number of orders, improving the data set and thus making our pricing decisions more accurate. Additionally, we continue to grow our active suppliers resulting in a lower cost of revenue. Gross margin for our supplier services was 79.3% for the three months ended March 31, 2022 primarily due to our acquisition of Thomas.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ind w:right="20" w:firstLine="636"/>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$11.7 million, or 155%, from $7.6 million for the three months ended March 31, 2021 to $19.3 million for the three months ended March 31, 2022, primarily as a result our acquisition of Thomas in December 2021, increases in marketing and advertising spend and additional sales employees. As a percent of total revenue, sales and marketing expenses increased to 23.0% for the three months ended March 31, 2022 from 17.2% for the three months ended March 31, 2021.</w:t>
      </w:r>
    </w:p>
    <w:p>
      <w:pPr>
        <w:spacing w:after="0" w:line="72" w:lineRule="exact"/>
        <w:rPr>
          <w:sz w:val="20"/>
          <w:szCs w:val="20"/>
          <w:color w:val="auto"/>
        </w:rPr>
      </w:pPr>
    </w:p>
    <w:p>
      <w:pPr>
        <w:jc w:val="both"/>
        <w:ind w:right="220" w:firstLine="63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and 2021, stock based compensation expense recorded in sales and marketing was $0.6 million and $53 thousand, respectively. Excluding stock based compensation, sales and marketing would be 22.3% and 17.1% of revenue for the three months ended March 31, 2022 and 2021,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right="300" w:firstLine="636"/>
        <w:spacing w:after="0" w:line="245" w:lineRule="auto"/>
        <w:rPr>
          <w:sz w:val="20"/>
          <w:szCs w:val="20"/>
          <w:color w:val="auto"/>
        </w:rPr>
      </w:pPr>
      <w:r>
        <w:rPr>
          <w:rFonts w:ascii="Times New Roman" w:cs="Times New Roman" w:eastAsia="Times New Roman" w:hAnsi="Times New Roman"/>
          <w:sz w:val="18"/>
          <w:szCs w:val="18"/>
          <w:color w:val="auto"/>
        </w:rPr>
        <w:t>Operations and support increased $8.0 million, or 185%, from $4.3 million for the three months ended March 31, 2021 to $12.4 million for the three months ended March 31, 2022, primarily as a result our acquisition of Thomas in December 2021, hiring of additional operations and support employees, and increased stock based compensation expense. As a percent of total revenue, operations and support expenses increased to 14.8% for the three months ended March 31, 2022 from 9.9% for the three months ended March 31, 2021.</w:t>
      </w:r>
    </w:p>
    <w:p>
      <w:pPr>
        <w:spacing w:after="0" w:line="86" w:lineRule="exact"/>
        <w:rPr>
          <w:sz w:val="20"/>
          <w:szCs w:val="20"/>
          <w:color w:val="auto"/>
        </w:rPr>
      </w:pPr>
    </w:p>
    <w:p>
      <w:pPr>
        <w:ind w:right="20" w:firstLine="636"/>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and 2021, stock based compensation expense recorded in operations and support was $1.4 million and $0.1 million, respectively. Excluding stock based compensation, operations and support would be 13.1% and 9.6% of revenue for the three months ended March 31, 2022 and 2021,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08"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Product development expense increased $3.6 million, or 99%, from $3.7 million for the three months ended March 31, 2021 to $7.3 million for the three months ended March 31, 2022, primarily as result of our acquisition Thomas in December 2021, hiring additional development employees, software and maintenance cost and increased stock based compensation expense. As a percent of total revenue, product development expenses increased to 8.7% for the three months ended March 31, 2022 from 8.3% for the three months ended March 30, 2021.</w:t>
      </w:r>
    </w:p>
    <w:p>
      <w:pPr>
        <w:spacing w:after="0" w:line="69" w:lineRule="exact"/>
        <w:rPr>
          <w:sz w:val="20"/>
          <w:szCs w:val="20"/>
          <w:color w:val="auto"/>
        </w:rPr>
      </w:pPr>
    </w:p>
    <w:p>
      <w:pPr>
        <w:ind w:right="140" w:firstLine="63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and 2021, stock based compensation expense recorded in product development was $0.9 million and $0.1 million, respectively. Excluding stock based compensation, product development would be 7.6% and 8.2% of revenue for the three months ended March 31, 2022 and 2021,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60" w:firstLine="636"/>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 increased $8.6 million, or 199%, from $4.3 million for the three months ended March 31, 2021 to $13.0 million for the three months ended March 31, 2022. The primary driver of the increase was due to our acquisition of Thomas in December 2021. We also incurred public company costs for insurance, legal and accounting. As a percent of total revenue, general and administrative expenses increased to 15.5% for the for the three months ended March 31, 2022 from 9.9% for the three months ended March 31, 2021.</w:t>
      </w:r>
    </w:p>
    <w:p>
      <w:pPr>
        <w:spacing w:after="0" w:line="86" w:lineRule="exact"/>
        <w:rPr>
          <w:sz w:val="20"/>
          <w:szCs w:val="20"/>
          <w:color w:val="auto"/>
        </w:rPr>
      </w:pPr>
    </w:p>
    <w:p>
      <w:pPr>
        <w:jc w:val="both"/>
        <w:ind w:right="40" w:firstLine="64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and 2021, stock based compensation expense recorded in general and administrative was $0.5 million and $0.3 million, respectively. Excluding stock based compensation, general and administrative would be 14.9% and 9.2% of revenue for the three months ended March 31, 2022 and 2021,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280" w:firstLine="636"/>
        <w:spacing w:after="0" w:line="282" w:lineRule="auto"/>
        <w:rPr>
          <w:sz w:val="20"/>
          <w:szCs w:val="20"/>
          <w:color w:val="auto"/>
        </w:rPr>
      </w:pPr>
      <w:r>
        <w:rPr>
          <w:rFonts w:ascii="Times New Roman" w:cs="Times New Roman" w:eastAsia="Times New Roman" w:hAnsi="Times New Roman"/>
          <w:sz w:val="18"/>
          <w:szCs w:val="18"/>
          <w:color w:val="auto"/>
        </w:rPr>
        <w:t>Interest expense increased by $0.4 million, or 133%, from $0.3 million for the three months ended March 31, 2021 to $0.8 million for the three months ended March 31, 2022, as a result of the interest on the 2027 convertible notes issued in February 2022.</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w:t>
      </w:r>
    </w:p>
    <w:p>
      <w:pPr>
        <w:spacing w:after="0" w:line="121" w:lineRule="exact"/>
        <w:rPr>
          <w:sz w:val="20"/>
          <w:szCs w:val="20"/>
          <w:color w:val="auto"/>
        </w:rPr>
      </w:pPr>
    </w:p>
    <w:p>
      <w:pPr>
        <w:ind w:right="20" w:firstLine="636"/>
        <w:spacing w:after="0" w:line="266" w:lineRule="auto"/>
        <w:rPr>
          <w:sz w:val="20"/>
          <w:szCs w:val="20"/>
          <w:color w:val="auto"/>
        </w:rPr>
      </w:pPr>
      <w:r>
        <w:rPr>
          <w:rFonts w:ascii="Times New Roman" w:cs="Times New Roman" w:eastAsia="Times New Roman" w:hAnsi="Times New Roman"/>
          <w:sz w:val="18"/>
          <w:szCs w:val="18"/>
          <w:color w:val="auto"/>
        </w:rPr>
        <w:t>Interest and dividend income increased to $96 thousand for the three months ended March 31, 2022, due to dividend income from our marketable securities</w:t>
      </w:r>
      <w:r>
        <w:rPr>
          <w:rFonts w:ascii="Times New Roman" w:cs="Times New Roman" w:eastAsia="Times New Roman" w:hAnsi="Times New Roman"/>
          <w:sz w:val="18"/>
          <w:szCs w:val="18"/>
          <w:color w:val="FF0000"/>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21" w:lineRule="exact"/>
        <w:rPr>
          <w:sz w:val="20"/>
          <w:szCs w:val="20"/>
          <w:color w:val="auto"/>
        </w:rPr>
      </w:pPr>
    </w:p>
    <w:p>
      <w:pPr>
        <w:ind w:right="260" w:firstLine="636"/>
        <w:spacing w:after="0" w:line="266" w:lineRule="auto"/>
        <w:rPr>
          <w:sz w:val="20"/>
          <w:szCs w:val="20"/>
          <w:color w:val="auto"/>
        </w:rPr>
      </w:pPr>
      <w:r>
        <w:rPr>
          <w:rFonts w:ascii="Times New Roman" w:cs="Times New Roman" w:eastAsia="Times New Roman" w:hAnsi="Times New Roman"/>
          <w:sz w:val="18"/>
          <w:szCs w:val="18"/>
          <w:color w:val="auto"/>
        </w:rPr>
        <w:t>Other expenses increased by $0.8 million, or 689%, from $0.1 million for the three months ended March 31, 2021 to $1.0 million for the three months ended March 31, 2022, as a result of a $0.9 million of unrealized loss on marketable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Benefit for income taxes increased by $0.6 million due to an income tax benefit resulting from our acquisition of Thomas.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Considerations</w:t>
      </w:r>
    </w:p>
    <w:p>
      <w:pPr>
        <w:spacing w:after="0" w:line="108" w:lineRule="exact"/>
        <w:rPr>
          <w:sz w:val="20"/>
          <w:szCs w:val="20"/>
          <w:color w:val="auto"/>
        </w:rPr>
      </w:pPr>
    </w:p>
    <w:p>
      <w:pPr>
        <w:ind w:firstLine="636"/>
        <w:spacing w:after="0" w:line="258" w:lineRule="auto"/>
        <w:rPr>
          <w:sz w:val="20"/>
          <w:szCs w:val="20"/>
          <w:color w:val="auto"/>
        </w:rPr>
      </w:pPr>
      <w:r>
        <w:rPr>
          <w:rFonts w:ascii="Times New Roman" w:cs="Times New Roman" w:eastAsia="Times New Roman" w:hAnsi="Times New Roman"/>
          <w:sz w:val="18"/>
          <w:szCs w:val="18"/>
          <w:color w:val="auto"/>
        </w:rPr>
        <w:t>Total segment loss from our U.S. operating segment for the three months ended March 31, 2022 and 2021, was $16.3 million and $8.2 million, respectively. Total segment loss from our International operating segment for the three months ended March 31, 2022 and 2021, was $3.7 million and $2.3 million, respectively.</w:t>
      </w: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28" w:right="43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ind w:right="60" w:firstLine="644"/>
        <w:spacing w:after="0" w:line="246"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equity securities and borrowings under our convertible notes. As of March 31, 2022, our cash and cash equivalents and marketable securities totaled $368.7 million, compared with $116.7 million as of December 31, 2021. We believe our existing cash and cash equivalents and marketable securities will be sufficient to support our working capital and capital expenditure requirements for at least the next twelve months.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87"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2027</w:t>
      </w:r>
    </w:p>
    <w:p>
      <w:pPr>
        <w:spacing w:after="0" w:line="108" w:lineRule="exact"/>
        <w:rPr>
          <w:sz w:val="20"/>
          <w:szCs w:val="20"/>
          <w:color w:val="auto"/>
        </w:rPr>
      </w:pPr>
    </w:p>
    <w:p>
      <w:pPr>
        <w:ind w:firstLine="644"/>
        <w:spacing w:after="0" w:line="247" w:lineRule="auto"/>
        <w:rPr>
          <w:sz w:val="20"/>
          <w:szCs w:val="20"/>
          <w:color w:val="auto"/>
        </w:rPr>
      </w:pPr>
      <w:r>
        <w:rPr>
          <w:rFonts w:ascii="Times New Roman" w:cs="Times New Roman" w:eastAsia="Times New Roman" w:hAnsi="Times New Roman"/>
          <w:sz w:val="18"/>
          <w:szCs w:val="18"/>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72"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The 2027 Notes are unsecured obligations which bear regular interest at 1% per annum and for which the principal balance will not accrete. The 2027 Notes will mature on February 1, 2027 unless repurchased, redeemed, or converted in accordance with their terms prior to such date.</w:t>
      </w:r>
    </w:p>
    <w:p>
      <w:pPr>
        <w:spacing w:after="0" w:line="40"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69"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61" w:lineRule="exact"/>
        <w:rPr>
          <w:sz w:val="20"/>
          <w:szCs w:val="20"/>
          <w:color w:val="auto"/>
        </w:rPr>
      </w:pPr>
    </w:p>
    <w:p>
      <w:pPr>
        <w:ind w:right="500" w:firstLine="644"/>
        <w:spacing w:after="0" w:line="266"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68" w:lineRule="exact"/>
        <w:rPr>
          <w:sz w:val="20"/>
          <w:szCs w:val="20"/>
          <w:color w:val="auto"/>
        </w:rPr>
      </w:pPr>
    </w:p>
    <w:p>
      <w:pPr>
        <w:jc w:val="both"/>
        <w:ind w:left="102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82"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04" w:lineRule="exact"/>
        <w:rPr>
          <w:sz w:val="20"/>
          <w:szCs w:val="20"/>
          <w:color w:val="auto"/>
        </w:rPr>
      </w:pPr>
    </w:p>
    <w:p>
      <w:pPr>
        <w:ind w:right="700" w:firstLine="644"/>
        <w:spacing w:after="0" w:line="266"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68" w:lineRule="exact"/>
        <w:rPr>
          <w:sz w:val="20"/>
          <w:szCs w:val="20"/>
          <w:color w:val="auto"/>
        </w:rPr>
      </w:pPr>
    </w:p>
    <w:p>
      <w:pPr>
        <w:ind w:right="100" w:firstLine="644"/>
        <w:spacing w:after="0" w:line="245" w:lineRule="auto"/>
        <w:rPr>
          <w:sz w:val="20"/>
          <w:szCs w:val="20"/>
          <w:color w:val="auto"/>
        </w:rPr>
      </w:pPr>
      <w:r>
        <w:rPr>
          <w:rFonts w:ascii="Times New Roman" w:cs="Times New Roman" w:eastAsia="Times New Roman" w:hAnsi="Times New Roman"/>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86" w:lineRule="exact"/>
        <w:rPr>
          <w:sz w:val="20"/>
          <w:szCs w:val="20"/>
          <w:color w:val="auto"/>
        </w:rPr>
      </w:pPr>
    </w:p>
    <w:p>
      <w:pPr>
        <w:ind w:right="620" w:firstLine="644"/>
        <w:spacing w:after="0" w:line="266"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the 2027 Notes have a carrying value of $278.5 million with an effective annual interest rate of 1.6%.</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20" w:firstLine="636"/>
        <w:spacing w:after="0" w:line="266" w:lineRule="auto"/>
        <w:rPr>
          <w:sz w:val="20"/>
          <w:szCs w:val="20"/>
          <w:color w:val="auto"/>
        </w:rPr>
      </w:pPr>
      <w:r>
        <w:rPr>
          <w:rFonts w:ascii="Times New Roman" w:cs="Times New Roman" w:eastAsia="Times New Roman" w:hAnsi="Times New Roman"/>
          <w:sz w:val="18"/>
          <w:szCs w:val="18"/>
          <w:color w:val="auto"/>
        </w:rPr>
        <w:t>The following table presents a summary of our cash flows from operating, investing, and financing activities for the three months ended March 31, 2022 and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6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7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(24,259 )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(9,942 )</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Pr>
          <w:p>
            <w:pPr>
              <w:spacing w:after="0"/>
              <w:rPr>
                <w:sz w:val="18"/>
                <w:szCs w:val="18"/>
                <w:color w:val="auto"/>
              </w:rPr>
            </w:pP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(282,465 )</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(1,244 )</w:t>
            </w: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279,460</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FF0FC"/>
          </w:tcPr>
          <w:p>
            <w:pPr>
              <w:spacing w:after="0"/>
              <w:rPr>
                <w:sz w:val="18"/>
                <w:szCs w:val="18"/>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140" w:firstLine="644"/>
        <w:spacing w:after="0" w:line="244" w:lineRule="auto"/>
        <w:rPr>
          <w:sz w:val="20"/>
          <w:szCs w:val="20"/>
          <w:color w:val="auto"/>
        </w:rPr>
      </w:pPr>
      <w:r>
        <w:rPr>
          <w:rFonts w:ascii="Times New Roman" w:cs="Times New Roman" w:eastAsia="Times New Roman" w:hAnsi="Times New Roman"/>
          <w:sz w:val="18"/>
          <w:szCs w:val="18"/>
          <w:color w:val="auto"/>
        </w:rPr>
        <w:t>For the three months ended March 31, 2022, net cash used in operating activities was $24.3 million, primarily due to a net loss of $(20.0) million adjusted for non-cash charges of $8.1 million and a net decrease in our operating assets and liabilities of $(12.4) million. The non-cash adjustments primarily relate to stock-based compensation of $3.5 million, depreciation and amortization of $1.8 million, $0.9 unrealized loss on marketable securities, and $1.8 million of reduction to our right of use lease assets. The net decrease in operating assets and liabilities is primarily driven by an increase in accounts receivable of $6.1 million, a $1.4 million increase in deferred sales commissions, a decrease in accounts payable of $2.8 million and accrued expenses of $2.8 million, primarily due to growth of our business and the timing of payments related to the acquisition of Thomas and the renewal of annual software licenses that are amortized over the life of the contract. These decreases are partially offset by an increase in contract liabilities of $2.1 million</w:t>
      </w:r>
      <w:r>
        <w:rPr>
          <w:rFonts w:ascii="Times New Roman" w:cs="Times New Roman" w:eastAsia="Times New Roman" w:hAnsi="Times New Roman"/>
          <w:sz w:val="21"/>
          <w:szCs w:val="21"/>
          <w:color w:val="auto"/>
        </w:rPr>
        <w:t>.</w:t>
      </w:r>
    </w:p>
    <w:p>
      <w:pPr>
        <w:spacing w:after="0" w:line="90" w:lineRule="exact"/>
        <w:rPr>
          <w:sz w:val="20"/>
          <w:szCs w:val="20"/>
          <w:color w:val="auto"/>
        </w:rPr>
      </w:pPr>
    </w:p>
    <w:p>
      <w:pPr>
        <w:ind w:firstLine="644"/>
        <w:spacing w:after="0" w:line="246" w:lineRule="auto"/>
        <w:rPr>
          <w:sz w:val="20"/>
          <w:szCs w:val="20"/>
          <w:color w:val="auto"/>
        </w:rPr>
      </w:pPr>
      <w:r>
        <w:rPr>
          <w:rFonts w:ascii="Times New Roman" w:cs="Times New Roman" w:eastAsia="Times New Roman" w:hAnsi="Times New Roman"/>
          <w:sz w:val="18"/>
          <w:szCs w:val="18"/>
          <w:color w:val="auto"/>
        </w:rPr>
        <w:t>For the three months ended March 31, 2021, net cash used in operating activities was $9.9 million, primarily due to a net loss of $(10.5) million adjusted for non-cash charges of $1.6 million and a net decrease in our operating assets and liabilities of $(1.0) million. The non-cash adjustments primarily relate to stock-based compensation of $0.5 million and depreciation and amortization of $0.7 million. The net decrease in operating assets and liabilities is primarily driven by an increase in accounts receivable of $5.5 million and prepaid expenses of $0.9 million. These increases are partially offset by increases in accounts payable of $1.9 million, accrued expenses of $1.6 million and $1.6 million of contract liabilities, primarily due to the growth of our business.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140" w:firstLine="644"/>
        <w:spacing w:after="0" w:line="313" w:lineRule="auto"/>
        <w:rPr>
          <w:sz w:val="20"/>
          <w:szCs w:val="20"/>
          <w:color w:val="auto"/>
        </w:rPr>
      </w:pPr>
      <w:r>
        <w:rPr>
          <w:rFonts w:ascii="Times New Roman" w:cs="Times New Roman" w:eastAsia="Times New Roman" w:hAnsi="Times New Roman"/>
          <w:sz w:val="18"/>
          <w:szCs w:val="18"/>
          <w:color w:val="auto"/>
        </w:rPr>
        <w:t>Cash used by investing activities was $282.5 million during the three months ended March 31, 2022, primarily due to the purchase of marketable securities of $280.1 million and $2.5 million for purchases of property and equipment (which includes internal-use software development costs).</w:t>
      </w:r>
    </w:p>
    <w:p>
      <w:pPr>
        <w:spacing w:after="0" w:line="27"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Cash used by investing activities was $1.2 million during the three months ended March 31, 2021, primarily due to investments in property and equipment (which includes software development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300" w:firstLine="636"/>
        <w:spacing w:after="0" w:line="266" w:lineRule="auto"/>
        <w:rPr>
          <w:sz w:val="20"/>
          <w:szCs w:val="20"/>
          <w:color w:val="auto"/>
        </w:rPr>
      </w:pPr>
      <w:r>
        <w:rPr>
          <w:rFonts w:ascii="Times New Roman" w:cs="Times New Roman" w:eastAsia="Times New Roman" w:hAnsi="Times New Roman"/>
          <w:sz w:val="17"/>
          <w:szCs w:val="17"/>
          <w:color w:val="auto"/>
        </w:rPr>
        <w:t>Cash provided by financing activities was $279.5 million during the three months ended March 31, 2022, reflecting $287.5 million of proceeds from the issuance of the 2027 convertible senior notes. These inflows were offset by $9.3 million of convertible note costs incurred in connection with</w:t>
      </w:r>
    </w:p>
    <w:p>
      <w:pPr>
        <w:spacing w:after="0"/>
        <w:rPr>
          <w:sz w:val="20"/>
          <w:szCs w:val="20"/>
          <w:color w:val="auto"/>
        </w:rPr>
      </w:pPr>
      <w:r>
        <w:rPr>
          <w:rFonts w:ascii="Times New Roman" w:cs="Times New Roman" w:eastAsia="Times New Roman" w:hAnsi="Times New Roman"/>
          <w:sz w:val="18"/>
          <w:szCs w:val="18"/>
          <w:color w:val="auto"/>
        </w:rPr>
        <w:t>these notes</w:t>
      </w:r>
      <w:r>
        <w:rPr>
          <w:rFonts w:ascii="Times New Roman" w:cs="Times New Roman" w:eastAsia="Times New Roman" w:hAnsi="Times New Roman"/>
          <w:sz w:val="21"/>
          <w:szCs w:val="21"/>
          <w:color w:val="auto"/>
        </w:rPr>
        <w:t>.</w:t>
      </w:r>
    </w:p>
    <w:p>
      <w:pPr>
        <w:spacing w:after="0" w:line="95"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$0.8 million during the three months ended March 31, 2021, reflecting $0.8 million of proceeds from the exercise of stock options.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ind w:right="40" w:firstLine="644"/>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w:t>
      </w:r>
      <w:hyperlink r:id="rId225">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well as Note 2 – Basis of Presentation and Summary of Significant Accounting Policies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-280670</wp:posOffset>
            </wp:positionV>
            <wp:extent cx="13582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20" w:firstLine="644"/>
        <w:spacing w:after="0" w:line="244"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87" w:lineRule="exact"/>
        <w:rPr>
          <w:sz w:val="20"/>
          <w:szCs w:val="20"/>
          <w:color w:val="auto"/>
        </w:rPr>
      </w:pPr>
    </w:p>
    <w:p>
      <w:pPr>
        <w:ind w:right="20" w:firstLine="644"/>
        <w:spacing w:after="0" w:line="245" w:lineRule="auto"/>
        <w:rPr>
          <w:sz w:val="20"/>
          <w:szCs w:val="20"/>
          <w:color w:val="auto"/>
        </w:rPr>
      </w:pPr>
      <w:r>
        <w:rPr>
          <w:rFonts w:ascii="Times New Roman" w:cs="Times New Roman" w:eastAsia="Times New Roman" w:hAnsi="Times New Roman"/>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380" w:firstLine="636"/>
        <w:spacing w:after="0" w:line="250" w:lineRule="auto"/>
        <w:rPr>
          <w:sz w:val="20"/>
          <w:szCs w:val="20"/>
          <w:color w:val="auto"/>
        </w:rPr>
      </w:pPr>
      <w:r>
        <w:rPr>
          <w:rFonts w:ascii="Times New Roman" w:cs="Times New Roman" w:eastAsia="Times New Roman" w:hAnsi="Times New Roman"/>
          <w:sz w:val="18"/>
          <w:szCs w:val="18"/>
          <w:color w:val="auto"/>
        </w:rPr>
        <w:t>Our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could be impacted by changes in exchange rates.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08" w:lineRule="exact"/>
        <w:rPr>
          <w:sz w:val="20"/>
          <w:szCs w:val="20"/>
          <w:color w:val="auto"/>
        </w:rPr>
      </w:pPr>
    </w:p>
    <w:p>
      <w:pPr>
        <w:ind w:right="100" w:firstLine="636"/>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such as those caused by the conflict in Ukraine, we may not be able to fully offset such higher costs through price increases. Our inability or failure to do so could harm our business, results of operations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right="80" w:firstLine="636"/>
        <w:spacing w:after="0" w:line="246"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100" w:firstLine="63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March 31, 2022 that have materially affected, or are reasonably likely to materially affect, our internal control over financial reporting.</w:t>
      </w:r>
    </w:p>
    <w:p>
      <w:pPr>
        <w:spacing w:after="0" w:line="40" w:lineRule="exact"/>
        <w:rPr>
          <w:sz w:val="20"/>
          <w:szCs w:val="20"/>
          <w:color w:val="auto"/>
        </w:rPr>
      </w:pPr>
    </w:p>
    <w:p>
      <w:pPr>
        <w:ind w:right="40" w:firstLine="636"/>
        <w:spacing w:after="0" w:line="246"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340" w:firstLine="644"/>
        <w:spacing w:after="0" w:line="230" w:lineRule="exact"/>
        <w:rPr>
          <w:sz w:val="20"/>
          <w:szCs w:val="20"/>
          <w:color w:val="auto"/>
        </w:rPr>
      </w:pPr>
      <w:r>
        <w:rPr>
          <w:rFonts w:ascii="Times New Roman" w:cs="Times New Roman" w:eastAsia="Times New Roman" w:hAnsi="Times New Roman"/>
          <w:sz w:val="18"/>
          <w:szCs w:val="18"/>
          <w:i w:val="1"/>
          <w:iCs w:val="1"/>
          <w:color w:val="auto"/>
        </w:rPr>
        <w:t>There have been no material changes to our risk factors as previously disclosed in Item 1A. contained in Part I of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the year ended December 31, 2021.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right="40" w:firstLine="636"/>
        <w:spacing w:after="0" w:line="246" w:lineRule="auto"/>
        <w:rPr>
          <w:sz w:val="20"/>
          <w:szCs w:val="20"/>
          <w:color w:val="auto"/>
        </w:rPr>
      </w:pPr>
      <w:r>
        <w:rPr>
          <w:rFonts w:ascii="Times New Roman" w:cs="Times New Roman" w:eastAsia="Times New Roman" w:hAnsi="Times New Roman"/>
          <w:sz w:val="18"/>
          <w:szCs w:val="18"/>
          <w:color w:val="auto"/>
        </w:rPr>
        <w:t>The Company offered and sold $287.5 million of aggregate principal amount of 1.00% Convertible Senior Note due 2027 (the "Notes") to the initial purchasers in reliance on the exemption from registration provided by Section 4(a)(2) of the Securities Act of 1933, as amended (the “Securities Act”), and for resale by the initial purchasers to persons reasonably believed to be qualified institutional buyers pursuant to the exemption from registration provided by Section 4(a)(2) and Rule 144A under the Securities Act. The Company relied on these exemptions from registration based in part on representations made by the initial purchasers in the purchase agreement dated February 1, 2022 by and among the Company and the initial purchasers.</w:t>
      </w:r>
    </w:p>
    <w:p>
      <w:pPr>
        <w:spacing w:after="0" w:line="87" w:lineRule="exact"/>
        <w:rPr>
          <w:sz w:val="20"/>
          <w:szCs w:val="20"/>
          <w:color w:val="auto"/>
        </w:rPr>
      </w:pPr>
    </w:p>
    <w:p>
      <w:pPr>
        <w:ind w:right="220" w:firstLine="636"/>
        <w:spacing w:after="0" w:line="266" w:lineRule="auto"/>
        <w:rPr>
          <w:sz w:val="20"/>
          <w:szCs w:val="20"/>
          <w:color w:val="auto"/>
        </w:rPr>
      </w:pPr>
      <w:r>
        <w:rPr>
          <w:rFonts w:ascii="Times New Roman" w:cs="Times New Roman" w:eastAsia="Times New Roman" w:hAnsi="Times New Roman"/>
          <w:sz w:val="18"/>
          <w:szCs w:val="18"/>
          <w:color w:val="auto"/>
        </w:rPr>
        <w:t>The Notes and the shares of Common Stock issuable upon conversion of the Notes, if any, have not been registered under the Securities Act and may not be offered or sold in the United States absent registration or an applicable exemption from registration requirements.</w:t>
      </w:r>
    </w:p>
    <w:p>
      <w:pPr>
        <w:spacing w:after="0" w:line="54"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18"/>
          <w:szCs w:val="18"/>
          <w:color w:val="auto"/>
        </w:rPr>
        <w:t>To the extent that any shares of Class A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Class A common stock. Initially, a maximum of 6,532,603 shares of the Company’s Class A common stock may be issued upon conversion of the Notes based on the initial maximum conversion rate of 22.7221 shares of Class A common stock per $1,000 principal amount of Notes, which is subject to customary anti-dilution adjustment provisions.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 applicable.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p>
      <w:pPr>
        <w:ind w:right="580" w:firstLine="644"/>
        <w:spacing w:after="0" w:line="266"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gridSpan w:val="9"/>
            <w:vMerge w:val="restart"/>
          </w:tcPr>
          <w:p>
            <w:pPr>
              <w:ind w:left="3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16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11"/>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Amended and Restated Certificate of Incorporation of Xometry, Inc., (incorporated herein by reference to Exhibit 3.1 to the Company’s</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Current Report on Form 8-K (File No. 001-40546), filed with the SEC on July 2, 2021).</w:t>
              </w:r>
            </w:hyperlink>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320" w:type="dxa"/>
            <w:vAlign w:val="bottom"/>
            <w:tcBorders>
              <w:top w:val="single" w:sz="8" w:color="0000FF"/>
            </w:tcBorders>
            <w:gridSpan w:val="4"/>
          </w:tcPr>
          <w:p>
            <w:pPr>
              <w:spacing w:after="0" w:line="182"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Amended and Restated Bylaws of Xometry, Inc., (incorporated herein by reference to</w:t>
              </w:r>
            </w:hyperlink>
          </w:p>
        </w:tc>
        <w:tc>
          <w:tcPr>
            <w:tcW w:w="3760" w:type="dxa"/>
            <w:vAlign w:val="bottom"/>
            <w:gridSpan w:val="7"/>
          </w:tcPr>
          <w:p>
            <w:pPr>
              <w:spacing w:after="0" w:line="182"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Exhibit 3.2 to the Company’s Current Report on</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Form 8-K (File No. 001-40546), filed with the SEC on July 2, 2021).</w:t>
              </w:r>
            </w:hyperlink>
          </w:p>
        </w:tc>
        <w:tc>
          <w:tcPr>
            <w:tcW w:w="4740" w:type="dxa"/>
            <w:vAlign w:val="bottom"/>
            <w:tcBorders>
              <w:top w:val="single" w:sz="8" w:color="0000FF"/>
            </w:tcBorders>
            <w:gridSpan w:val="4"/>
          </w:tcPr>
          <w:p>
            <w:pPr>
              <w:spacing w:after="0"/>
              <w:rPr>
                <w:sz w:val="14"/>
                <w:szCs w:val="14"/>
                <w:color w:val="auto"/>
              </w:rPr>
            </w:pPr>
          </w:p>
        </w:tc>
        <w:tc>
          <w:tcPr>
            <w:tcW w:w="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80" w:type="dxa"/>
            <w:vAlign w:val="bottom"/>
            <w:tcBorders>
              <w:top w:val="single" w:sz="8" w:color="0000FF"/>
            </w:tcBorders>
            <w:gridSpan w:val="3"/>
          </w:tcPr>
          <w:p>
            <w:pPr>
              <w:spacing w:after="0"/>
              <w:rPr>
                <w:sz w:val="14"/>
                <w:szCs w:val="14"/>
                <w:color w:val="auto"/>
              </w:rPr>
            </w:pPr>
          </w:p>
        </w:tc>
        <w:tc>
          <w:tcPr>
            <w:tcW w:w="3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20" w:type="dxa"/>
            <w:vAlign w:val="bottom"/>
            <w:tcBorders>
              <w:top w:val="single" w:sz="8" w:color="0000FF"/>
            </w:tcBorders>
            <w:gridSpan w:val="2"/>
          </w:tcPr>
          <w:p>
            <w:pPr>
              <w:spacing w:after="0"/>
              <w:rPr>
                <w:sz w:val="14"/>
                <w:szCs w:val="14"/>
                <w:color w:val="auto"/>
              </w:rPr>
            </w:pPr>
          </w:p>
        </w:tc>
        <w:tc>
          <w:tcPr>
            <w:tcW w:w="4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4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Certification</w:t>
            </w:r>
          </w:p>
        </w:tc>
        <w:tc>
          <w:tcPr>
            <w:tcW w:w="9160" w:type="dxa"/>
            <w:vAlign w:val="bottom"/>
            <w:gridSpan w:val="9"/>
          </w:tcPr>
          <w:p>
            <w:pPr>
              <w:ind w:left="2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2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w w:val="95"/>
              </w:rPr>
              <w:t>Inline XBRL</w:t>
            </w:r>
          </w:p>
        </w:tc>
        <w:tc>
          <w:tcPr>
            <w:tcW w:w="9160" w:type="dxa"/>
            <w:vAlign w:val="bottom"/>
            <w:gridSpan w:val="9"/>
          </w:tcPr>
          <w:p>
            <w:pPr>
              <w:ind w:left="60"/>
              <w:spacing w:after="0" w:line="177"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300" w:firstLine="21"/>
        <w:spacing w:after="0" w:line="450" w:lineRule="auto"/>
        <w:tabs>
          <w:tab w:leader="none" w:pos="11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420" w:hanging="512"/>
        <w:spacing w:after="0" w:line="250" w:lineRule="auto"/>
        <w:tabs>
          <w:tab w:leader="none" w:pos="4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9512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8" w:name="page39"/>
    <w:bookmarkEnd w:id="38"/>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39"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XOMETRY, INC.</w:t>
      </w:r>
    </w:p>
    <w:p>
      <w:pPr>
        <w:spacing w:after="0" w:line="198"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78"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James Rallo</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Randolph Altschuler, certify that:</w:t>
      </w:r>
    </w:p>
    <w:p>
      <w:pPr>
        <w:spacing w:after="0" w:line="21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right="80" w:hanging="479"/>
        <w:spacing w:after="0" w:line="250"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479"/>
        <w:spacing w:after="0" w:line="250"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160" w:hanging="479"/>
        <w:spacing w:after="0" w:line="258"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Rallo, certify that:</w:t>
      </w:r>
    </w:p>
    <w:p>
      <w:pPr>
        <w:spacing w:after="0" w:line="21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right="80" w:hanging="479"/>
        <w:spacing w:after="0" w:line="250"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479"/>
        <w:spacing w:after="0" w:line="250"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160" w:hanging="479"/>
        <w:spacing w:after="0" w:line="258"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Rallo</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900" w:hanging="35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740" w:hanging="479"/>
        <w:spacing w:after="0" w:line="266"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900" w:hanging="35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740" w:hanging="479"/>
        <w:spacing w:after="0" w:line="266"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Rallo</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7"/>
    </w:lvl>
  </w:abstractNum>
  <w:abstractNum w:abstractNumId="6">
    <w:nsid w:val="66EF438D"/>
    <w:multiLevelType w:val="hybridMultilevel"/>
    <w:lvl w:ilvl="0">
      <w:lvlJc w:val="left"/>
      <w:lvlText w:val="(%1)"/>
      <w:numFmt w:val="decimal"/>
      <w:start w:val="13"/>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25" Type="http://schemas.openxmlformats.org/officeDocument/2006/relationships/hyperlink" Target="https://www.sec.gov/ix?doc=/Archives/edgar/data/1657573/000095017022004158/xmtr-20211231.htm" TargetMode="External"/><Relationship Id="rId230" Type="http://schemas.openxmlformats.org/officeDocument/2006/relationships/hyperlink" Target="https://www.sec.gov/Archives/edgar/data/0001657573/000119312521207643/d184650dex31.htm" TargetMode="External"/><Relationship Id="rId231" Type="http://schemas.openxmlformats.org/officeDocument/2006/relationships/hyperlink" Target="https://www.sec.gov/Archives/edgar/data/0001657573/000119312521207643/d1846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2022-05-12T08:05:12Z</dcterms:created>
  <dcterms:modified xsi:type="dcterms:W3CDTF">2022-05-12T08:05:12Z</dcterms:modified>
</cp:coreProperties>
</file>