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June 25, 2021.</w:t>
      </w:r>
    </w:p>
    <w:p>
      <w:pPr>
        <w:spacing w:after="0" w:line="104"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333-256769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69138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107950</wp:posOffset>
            </wp:positionV>
            <wp:extent cx="69138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2728595</wp:posOffset>
            </wp:positionH>
            <wp:positionV relativeFrom="paragraph">
              <wp:posOffset>126365</wp:posOffset>
            </wp:positionV>
            <wp:extent cx="1457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2</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2728595</wp:posOffset>
            </wp:positionH>
            <wp:positionV relativeFrom="paragraph">
              <wp:posOffset>123825</wp:posOffset>
            </wp:positionV>
            <wp:extent cx="1457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Xometry,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2728595</wp:posOffset>
            </wp:positionH>
            <wp:positionV relativeFrom="paragraph">
              <wp:posOffset>107950</wp:posOffset>
            </wp:positionV>
            <wp:extent cx="1457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49" w:lineRule="exact"/>
        <w:rPr>
          <w:sz w:val="24"/>
          <w:szCs w:val="24"/>
          <w:color w:val="auto"/>
        </w:rPr>
      </w:pPr>
    </w:p>
    <w:tbl>
      <w:tblPr>
        <w:tblLayout w:type="fixed"/>
        <w:tblInd w:w="1040" w:type="dxa"/>
        <w:tblCellMar>
          <w:top w:w="0" w:type="dxa"/>
          <w:left w:w="0" w:type="dxa"/>
          <w:bottom w:w="0" w:type="dxa"/>
          <w:right w:w="0" w:type="dxa"/>
        </w:tblCellMar>
      </w:tblPr>
      <w:tr>
        <w:trPr>
          <w:trHeight w:val="149"/>
        </w:trPr>
        <w:tc>
          <w:tcPr>
            <w:tcW w:w="2680" w:type="dxa"/>
            <w:vAlign w:val="bottom"/>
          </w:tcPr>
          <w:p>
            <w:pPr>
              <w:jc w:val="center"/>
              <w:ind w:right="996"/>
              <w:spacing w:after="0"/>
              <w:rPr>
                <w:sz w:val="20"/>
                <w:szCs w:val="20"/>
                <w:color w:val="auto"/>
              </w:rPr>
            </w:pPr>
            <w:r>
              <w:rPr>
                <w:rFonts w:ascii="Arial" w:cs="Arial" w:eastAsia="Arial" w:hAnsi="Arial"/>
                <w:sz w:val="13"/>
                <w:szCs w:val="13"/>
                <w:b w:val="1"/>
                <w:bCs w:val="1"/>
                <w:color w:val="auto"/>
                <w:w w:val="94"/>
              </w:rPr>
              <w:t>Delaware</w:t>
            </w:r>
          </w:p>
        </w:tc>
        <w:tc>
          <w:tcPr>
            <w:tcW w:w="3720" w:type="dxa"/>
            <w:vAlign w:val="bottom"/>
          </w:tcPr>
          <w:p>
            <w:pPr>
              <w:jc w:val="center"/>
              <w:spacing w:after="0"/>
              <w:rPr>
                <w:sz w:val="20"/>
                <w:szCs w:val="20"/>
                <w:color w:val="auto"/>
              </w:rPr>
            </w:pPr>
            <w:r>
              <w:rPr>
                <w:rFonts w:ascii="Arial" w:cs="Arial" w:eastAsia="Arial" w:hAnsi="Arial"/>
                <w:sz w:val="13"/>
                <w:szCs w:val="13"/>
                <w:b w:val="1"/>
                <w:bCs w:val="1"/>
                <w:color w:val="auto"/>
                <w:w w:val="96"/>
              </w:rPr>
              <w:t>7389</w:t>
            </w:r>
          </w:p>
        </w:tc>
        <w:tc>
          <w:tcPr>
            <w:tcW w:w="2320" w:type="dxa"/>
            <w:vAlign w:val="bottom"/>
          </w:tcPr>
          <w:p>
            <w:pPr>
              <w:jc w:val="center"/>
              <w:ind w:left="1016"/>
              <w:spacing w:after="0"/>
              <w:rPr>
                <w:sz w:val="20"/>
                <w:szCs w:val="20"/>
                <w:color w:val="auto"/>
              </w:rPr>
            </w:pPr>
            <w:r>
              <w:rPr>
                <w:rFonts w:ascii="Arial" w:cs="Arial" w:eastAsia="Arial" w:hAnsi="Arial"/>
                <w:sz w:val="13"/>
                <w:szCs w:val="13"/>
                <w:b w:val="1"/>
                <w:bCs w:val="1"/>
                <w:color w:val="auto"/>
                <w:w w:val="92"/>
              </w:rPr>
              <w:t>32-0415449</w:t>
            </w:r>
          </w:p>
        </w:tc>
      </w:tr>
      <w:tr>
        <w:trPr>
          <w:trHeight w:val="133"/>
        </w:trPr>
        <w:tc>
          <w:tcPr>
            <w:tcW w:w="2680" w:type="dxa"/>
            <w:vAlign w:val="bottom"/>
          </w:tcPr>
          <w:p>
            <w:pPr>
              <w:jc w:val="center"/>
              <w:ind w:right="996"/>
              <w:spacing w:after="0" w:line="134" w:lineRule="exact"/>
              <w:rPr>
                <w:sz w:val="20"/>
                <w:szCs w:val="20"/>
                <w:color w:val="auto"/>
              </w:rPr>
            </w:pPr>
            <w:r>
              <w:rPr>
                <w:rFonts w:ascii="Arial" w:cs="Arial" w:eastAsia="Arial" w:hAnsi="Arial"/>
                <w:sz w:val="12"/>
                <w:szCs w:val="12"/>
                <w:b w:val="1"/>
                <w:bCs w:val="1"/>
                <w:color w:val="auto"/>
                <w:w w:val="93"/>
              </w:rPr>
              <w:t>(State or other jurisdiction of</w:t>
            </w:r>
          </w:p>
        </w:tc>
        <w:tc>
          <w:tcPr>
            <w:tcW w:w="3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7"/>
              </w:rPr>
              <w:t>(Primary Standard Industrial</w:t>
            </w:r>
          </w:p>
        </w:tc>
        <w:tc>
          <w:tcPr>
            <w:tcW w:w="2320" w:type="dxa"/>
            <w:vAlign w:val="bottom"/>
          </w:tcPr>
          <w:p>
            <w:pPr>
              <w:jc w:val="center"/>
              <w:ind w:left="1036"/>
              <w:spacing w:after="0" w:line="134" w:lineRule="exact"/>
              <w:rPr>
                <w:sz w:val="20"/>
                <w:szCs w:val="20"/>
                <w:color w:val="auto"/>
              </w:rPr>
            </w:pPr>
            <w:r>
              <w:rPr>
                <w:rFonts w:ascii="Arial" w:cs="Arial" w:eastAsia="Arial" w:hAnsi="Arial"/>
                <w:sz w:val="12"/>
                <w:szCs w:val="12"/>
                <w:b w:val="1"/>
                <w:bCs w:val="1"/>
                <w:color w:val="auto"/>
                <w:w w:val="97"/>
              </w:rPr>
              <w:t>(I.R.S. Employer</w:t>
            </w:r>
          </w:p>
        </w:tc>
      </w:tr>
      <w:tr>
        <w:trPr>
          <w:trHeight w:val="161"/>
        </w:trPr>
        <w:tc>
          <w:tcPr>
            <w:tcW w:w="2680" w:type="dxa"/>
            <w:vAlign w:val="bottom"/>
          </w:tcPr>
          <w:p>
            <w:pPr>
              <w:jc w:val="center"/>
              <w:ind w:right="996"/>
              <w:spacing w:after="0"/>
              <w:rPr>
                <w:sz w:val="20"/>
                <w:szCs w:val="20"/>
                <w:color w:val="auto"/>
              </w:rPr>
            </w:pPr>
            <w:r>
              <w:rPr>
                <w:rFonts w:ascii="Arial" w:cs="Arial" w:eastAsia="Arial" w:hAnsi="Arial"/>
                <w:sz w:val="12"/>
                <w:szCs w:val="12"/>
                <w:b w:val="1"/>
                <w:bCs w:val="1"/>
                <w:color w:val="auto"/>
                <w:w w:val="94"/>
              </w:rPr>
              <w:t>incorporation or organization)</w:t>
            </w:r>
          </w:p>
        </w:tc>
        <w:tc>
          <w:tcPr>
            <w:tcW w:w="3720" w:type="dxa"/>
            <w:vAlign w:val="bottom"/>
          </w:tcPr>
          <w:p>
            <w:pPr>
              <w:jc w:val="center"/>
              <w:spacing w:after="0"/>
              <w:rPr>
                <w:sz w:val="20"/>
                <w:szCs w:val="20"/>
                <w:color w:val="auto"/>
              </w:rPr>
            </w:pPr>
            <w:r>
              <w:rPr>
                <w:rFonts w:ascii="Arial" w:cs="Arial" w:eastAsia="Arial" w:hAnsi="Arial"/>
                <w:sz w:val="12"/>
                <w:szCs w:val="12"/>
                <w:b w:val="1"/>
                <w:bCs w:val="1"/>
                <w:color w:val="auto"/>
                <w:w w:val="93"/>
              </w:rPr>
              <w:t>Classification Code Number)</w:t>
            </w:r>
          </w:p>
        </w:tc>
        <w:tc>
          <w:tcPr>
            <w:tcW w:w="2320" w:type="dxa"/>
            <w:vAlign w:val="bottom"/>
          </w:tcPr>
          <w:p>
            <w:pPr>
              <w:jc w:val="center"/>
              <w:ind w:left="1016"/>
              <w:spacing w:after="0"/>
              <w:rPr>
                <w:sz w:val="20"/>
                <w:szCs w:val="20"/>
                <w:color w:val="auto"/>
              </w:rPr>
            </w:pPr>
            <w:r>
              <w:rPr>
                <w:rFonts w:ascii="Arial" w:cs="Arial" w:eastAsia="Arial" w:hAnsi="Arial"/>
                <w:sz w:val="12"/>
                <w:szCs w:val="12"/>
                <w:b w:val="1"/>
                <w:bCs w:val="1"/>
                <w:color w:val="auto"/>
                <w:w w:val="97"/>
              </w:rPr>
              <w:t>Identification Number)</w:t>
            </w:r>
          </w:p>
        </w:tc>
      </w:tr>
    </w:tbl>
    <w:p>
      <w:pPr>
        <w:spacing w:after="0" w:line="4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7529 Standish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Suite 200</w:t>
      </w:r>
    </w:p>
    <w:p>
      <w:pPr>
        <w:jc w:val="center"/>
        <w:spacing w:after="0" w:line="235" w:lineRule="auto"/>
        <w:rPr>
          <w:sz w:val="20"/>
          <w:szCs w:val="20"/>
          <w:color w:val="auto"/>
        </w:rPr>
      </w:pPr>
      <w:r>
        <w:rPr>
          <w:rFonts w:ascii="Arial" w:cs="Arial" w:eastAsia="Arial" w:hAnsi="Arial"/>
          <w:sz w:val="13"/>
          <w:szCs w:val="13"/>
          <w:b w:val="1"/>
          <w:bCs w:val="1"/>
          <w:color w:val="auto"/>
        </w:rPr>
        <w:t>Derwood, MD 20855</w:t>
      </w:r>
    </w:p>
    <w:p>
      <w:pPr>
        <w:jc w:val="center"/>
        <w:spacing w:after="0" w:line="227" w:lineRule="auto"/>
        <w:rPr>
          <w:sz w:val="20"/>
          <w:szCs w:val="20"/>
          <w:color w:val="auto"/>
        </w:rPr>
      </w:pPr>
      <w:r>
        <w:rPr>
          <w:rFonts w:ascii="Arial" w:cs="Arial" w:eastAsia="Arial" w:hAnsi="Arial"/>
          <w:sz w:val="13"/>
          <w:szCs w:val="13"/>
          <w:b w:val="1"/>
          <w:bCs w:val="1"/>
          <w:color w:val="auto"/>
        </w:rPr>
        <w:t>(240) 335-7914</w:t>
      </w:r>
    </w:p>
    <w:p>
      <w:pPr>
        <w:jc w:val="center"/>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2728595</wp:posOffset>
            </wp:positionH>
            <wp:positionV relativeFrom="paragraph">
              <wp:posOffset>109855</wp:posOffset>
            </wp:positionV>
            <wp:extent cx="1457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Randolph Altschuler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Chief Executive Officer</w:t>
      </w:r>
    </w:p>
    <w:p>
      <w:pPr>
        <w:jc w:val="center"/>
        <w:spacing w:after="0" w:line="235" w:lineRule="auto"/>
        <w:rPr>
          <w:sz w:val="20"/>
          <w:szCs w:val="20"/>
          <w:color w:val="auto"/>
        </w:rPr>
      </w:pPr>
      <w:r>
        <w:rPr>
          <w:rFonts w:ascii="Arial" w:cs="Arial" w:eastAsia="Arial" w:hAnsi="Arial"/>
          <w:sz w:val="13"/>
          <w:szCs w:val="13"/>
          <w:b w:val="1"/>
          <w:bCs w:val="1"/>
          <w:color w:val="auto"/>
        </w:rPr>
        <w:t>Xometry, Inc.</w:t>
      </w:r>
    </w:p>
    <w:p>
      <w:pPr>
        <w:jc w:val="center"/>
        <w:spacing w:after="0" w:line="236" w:lineRule="auto"/>
        <w:rPr>
          <w:sz w:val="20"/>
          <w:szCs w:val="20"/>
          <w:color w:val="auto"/>
        </w:rPr>
      </w:pPr>
      <w:r>
        <w:rPr>
          <w:rFonts w:ascii="Arial" w:cs="Arial" w:eastAsia="Arial" w:hAnsi="Arial"/>
          <w:sz w:val="13"/>
          <w:szCs w:val="13"/>
          <w:b w:val="1"/>
          <w:bCs w:val="1"/>
          <w:color w:val="auto"/>
        </w:rPr>
        <w:t>7529 Standish Place</w:t>
      </w:r>
    </w:p>
    <w:p>
      <w:pPr>
        <w:jc w:val="center"/>
        <w:spacing w:after="0" w:line="235" w:lineRule="auto"/>
        <w:rPr>
          <w:sz w:val="20"/>
          <w:szCs w:val="20"/>
          <w:color w:val="auto"/>
        </w:rPr>
      </w:pPr>
      <w:r>
        <w:rPr>
          <w:rFonts w:ascii="Arial" w:cs="Arial" w:eastAsia="Arial" w:hAnsi="Arial"/>
          <w:sz w:val="13"/>
          <w:szCs w:val="13"/>
          <w:b w:val="1"/>
          <w:bCs w:val="1"/>
          <w:color w:val="auto"/>
        </w:rPr>
        <w:t>Suite 200</w:t>
      </w:r>
    </w:p>
    <w:p>
      <w:pPr>
        <w:jc w:val="center"/>
        <w:spacing w:after="0" w:line="236" w:lineRule="auto"/>
        <w:rPr>
          <w:sz w:val="20"/>
          <w:szCs w:val="20"/>
          <w:color w:val="auto"/>
        </w:rPr>
      </w:pPr>
      <w:r>
        <w:rPr>
          <w:rFonts w:ascii="Arial" w:cs="Arial" w:eastAsia="Arial" w:hAnsi="Arial"/>
          <w:sz w:val="13"/>
          <w:szCs w:val="13"/>
          <w:b w:val="1"/>
          <w:bCs w:val="1"/>
          <w:color w:val="auto"/>
        </w:rPr>
        <w:t>Derwood, MD 20855</w:t>
      </w:r>
    </w:p>
    <w:p>
      <w:pPr>
        <w:jc w:val="center"/>
        <w:spacing w:after="0" w:line="227" w:lineRule="auto"/>
        <w:rPr>
          <w:sz w:val="20"/>
          <w:szCs w:val="20"/>
          <w:color w:val="auto"/>
        </w:rPr>
      </w:pPr>
      <w:r>
        <w:rPr>
          <w:rFonts w:ascii="Arial" w:cs="Arial" w:eastAsia="Arial" w:hAnsi="Arial"/>
          <w:sz w:val="13"/>
          <w:szCs w:val="13"/>
          <w:b w:val="1"/>
          <w:bCs w:val="1"/>
          <w:color w:val="auto"/>
        </w:rPr>
        <w:t>(240) 335-7914</w:t>
      </w:r>
    </w:p>
    <w:p>
      <w:pPr>
        <w:jc w:val="center"/>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2728595</wp:posOffset>
            </wp:positionH>
            <wp:positionV relativeFrom="paragraph">
              <wp:posOffset>118110</wp:posOffset>
            </wp:positionV>
            <wp:extent cx="1457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spacing w:after="0" w:line="56" w:lineRule="exact"/>
        <w:rPr>
          <w:sz w:val="24"/>
          <w:szCs w:val="24"/>
          <w:color w:val="auto"/>
        </w:rPr>
      </w:pPr>
    </w:p>
    <w:tbl>
      <w:tblPr>
        <w:tblLayout w:type="fixed"/>
        <w:tblInd w:w="1040" w:type="dxa"/>
        <w:tblCellMar>
          <w:top w:w="0" w:type="dxa"/>
          <w:left w:w="0" w:type="dxa"/>
          <w:bottom w:w="0" w:type="dxa"/>
          <w:right w:w="0" w:type="dxa"/>
        </w:tblCellMar>
      </w:tblPr>
      <w:tr>
        <w:trPr>
          <w:trHeight w:val="149"/>
        </w:trPr>
        <w:tc>
          <w:tcPr>
            <w:tcW w:w="2780" w:type="dxa"/>
            <w:vAlign w:val="bottom"/>
          </w:tcPr>
          <w:p>
            <w:pPr>
              <w:jc w:val="center"/>
              <w:ind w:right="1113"/>
              <w:spacing w:after="0"/>
              <w:rPr>
                <w:sz w:val="20"/>
                <w:szCs w:val="20"/>
                <w:color w:val="auto"/>
              </w:rPr>
            </w:pPr>
            <w:r>
              <w:rPr>
                <w:rFonts w:ascii="Arial" w:cs="Arial" w:eastAsia="Arial" w:hAnsi="Arial"/>
                <w:sz w:val="13"/>
                <w:szCs w:val="13"/>
                <w:b w:val="1"/>
                <w:bCs w:val="1"/>
                <w:color w:val="auto"/>
                <w:w w:val="95"/>
              </w:rPr>
              <w:t>Eric Blanchard</w:t>
            </w: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w w:val="89"/>
              </w:rPr>
              <w:t>James Rallo</w:t>
            </w:r>
          </w:p>
        </w:tc>
        <w:tc>
          <w:tcPr>
            <w:tcW w:w="2720" w:type="dxa"/>
            <w:vAlign w:val="bottom"/>
          </w:tcPr>
          <w:p>
            <w:pPr>
              <w:jc w:val="center"/>
              <w:ind w:left="1033"/>
              <w:spacing w:after="0"/>
              <w:rPr>
                <w:sz w:val="20"/>
                <w:szCs w:val="20"/>
                <w:color w:val="auto"/>
              </w:rPr>
            </w:pPr>
            <w:r>
              <w:rPr>
                <w:rFonts w:ascii="Arial" w:cs="Arial" w:eastAsia="Arial" w:hAnsi="Arial"/>
                <w:sz w:val="13"/>
                <w:szCs w:val="13"/>
                <w:b w:val="1"/>
                <w:bCs w:val="1"/>
                <w:color w:val="auto"/>
                <w:w w:val="92"/>
              </w:rPr>
              <w:t>Alan F. Denenberg</w:t>
            </w:r>
          </w:p>
        </w:tc>
      </w:tr>
      <w:tr>
        <w:trPr>
          <w:trHeight w:val="147"/>
        </w:trPr>
        <w:tc>
          <w:tcPr>
            <w:tcW w:w="2780" w:type="dxa"/>
            <w:vAlign w:val="bottom"/>
          </w:tcPr>
          <w:p>
            <w:pPr>
              <w:jc w:val="center"/>
              <w:ind w:right="1093"/>
              <w:spacing w:after="0" w:line="147" w:lineRule="exact"/>
              <w:rPr>
                <w:sz w:val="20"/>
                <w:szCs w:val="20"/>
                <w:color w:val="auto"/>
              </w:rPr>
            </w:pPr>
            <w:r>
              <w:rPr>
                <w:rFonts w:ascii="Arial" w:cs="Arial" w:eastAsia="Arial" w:hAnsi="Arial"/>
                <w:sz w:val="13"/>
                <w:szCs w:val="13"/>
                <w:b w:val="1"/>
                <w:bCs w:val="1"/>
                <w:color w:val="auto"/>
                <w:w w:val="92"/>
              </w:rPr>
              <w:t>David Peinsipp</w:t>
            </w:r>
          </w:p>
        </w:tc>
        <w:tc>
          <w:tcPr>
            <w:tcW w:w="342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7"/>
              </w:rPr>
              <w:t>Laurence Zuriff</w:t>
            </w:r>
          </w:p>
        </w:tc>
        <w:tc>
          <w:tcPr>
            <w:tcW w:w="2720" w:type="dxa"/>
            <w:vAlign w:val="bottom"/>
          </w:tcPr>
          <w:p>
            <w:pPr>
              <w:jc w:val="center"/>
              <w:ind w:left="1013"/>
              <w:spacing w:after="0" w:line="147" w:lineRule="exact"/>
              <w:rPr>
                <w:sz w:val="20"/>
                <w:szCs w:val="20"/>
                <w:color w:val="auto"/>
              </w:rPr>
            </w:pPr>
            <w:r>
              <w:rPr>
                <w:rFonts w:ascii="Arial" w:cs="Arial" w:eastAsia="Arial" w:hAnsi="Arial"/>
                <w:sz w:val="13"/>
                <w:szCs w:val="13"/>
                <w:b w:val="1"/>
                <w:bCs w:val="1"/>
                <w:color w:val="auto"/>
                <w:w w:val="90"/>
              </w:rPr>
              <w:t>Stephen Salmon</w:t>
            </w:r>
          </w:p>
        </w:tc>
      </w:tr>
      <w:tr>
        <w:trPr>
          <w:trHeight w:val="147"/>
        </w:trPr>
        <w:tc>
          <w:tcPr>
            <w:tcW w:w="2780" w:type="dxa"/>
            <w:vAlign w:val="bottom"/>
          </w:tcPr>
          <w:p>
            <w:pPr>
              <w:jc w:val="center"/>
              <w:ind w:right="1093"/>
              <w:spacing w:after="0" w:line="147" w:lineRule="exact"/>
              <w:rPr>
                <w:sz w:val="20"/>
                <w:szCs w:val="20"/>
                <w:color w:val="auto"/>
              </w:rPr>
            </w:pPr>
            <w:r>
              <w:rPr>
                <w:rFonts w:ascii="Arial" w:cs="Arial" w:eastAsia="Arial" w:hAnsi="Arial"/>
                <w:sz w:val="13"/>
                <w:szCs w:val="13"/>
                <w:b w:val="1"/>
                <w:bCs w:val="1"/>
                <w:color w:val="auto"/>
                <w:w w:val="96"/>
              </w:rPr>
              <w:t>Michael R. Lincoln</w:t>
            </w:r>
          </w:p>
        </w:tc>
        <w:tc>
          <w:tcPr>
            <w:tcW w:w="342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3"/>
              </w:rPr>
              <w:t>Kristie Scott</w:t>
            </w:r>
          </w:p>
        </w:tc>
        <w:tc>
          <w:tcPr>
            <w:tcW w:w="2720" w:type="dxa"/>
            <w:vAlign w:val="bottom"/>
          </w:tcPr>
          <w:p>
            <w:pPr>
              <w:jc w:val="center"/>
              <w:ind w:left="1013"/>
              <w:spacing w:after="0" w:line="147" w:lineRule="exact"/>
              <w:rPr>
                <w:sz w:val="20"/>
                <w:szCs w:val="20"/>
                <w:color w:val="auto"/>
              </w:rPr>
            </w:pPr>
            <w:r>
              <w:rPr>
                <w:rFonts w:ascii="Arial" w:cs="Arial" w:eastAsia="Arial" w:hAnsi="Arial"/>
                <w:sz w:val="13"/>
                <w:szCs w:val="13"/>
                <w:b w:val="1"/>
                <w:bCs w:val="1"/>
                <w:color w:val="auto"/>
                <w:w w:val="97"/>
              </w:rPr>
              <w:t>Davis Polk &amp; Wardwell LLP</w:t>
            </w:r>
          </w:p>
        </w:tc>
      </w:tr>
      <w:tr>
        <w:trPr>
          <w:trHeight w:val="147"/>
        </w:trPr>
        <w:tc>
          <w:tcPr>
            <w:tcW w:w="2780" w:type="dxa"/>
            <w:vAlign w:val="bottom"/>
          </w:tcPr>
          <w:p>
            <w:pPr>
              <w:jc w:val="center"/>
              <w:ind w:right="1093"/>
              <w:spacing w:after="0" w:line="147" w:lineRule="exact"/>
              <w:rPr>
                <w:sz w:val="20"/>
                <w:szCs w:val="20"/>
                <w:color w:val="auto"/>
              </w:rPr>
            </w:pPr>
            <w:r>
              <w:rPr>
                <w:rFonts w:ascii="Arial" w:cs="Arial" w:eastAsia="Arial" w:hAnsi="Arial"/>
                <w:sz w:val="13"/>
                <w:szCs w:val="13"/>
                <w:b w:val="1"/>
                <w:bCs w:val="1"/>
                <w:color w:val="auto"/>
                <w:w w:val="96"/>
              </w:rPr>
              <w:t>Derek O. Colla</w:t>
            </w:r>
          </w:p>
        </w:tc>
        <w:tc>
          <w:tcPr>
            <w:tcW w:w="342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5"/>
              </w:rPr>
              <w:t>Xometry, Inc.</w:t>
            </w:r>
          </w:p>
        </w:tc>
        <w:tc>
          <w:tcPr>
            <w:tcW w:w="2720" w:type="dxa"/>
            <w:vAlign w:val="bottom"/>
          </w:tcPr>
          <w:p>
            <w:pPr>
              <w:jc w:val="center"/>
              <w:ind w:left="1013"/>
              <w:spacing w:after="0" w:line="147" w:lineRule="exact"/>
              <w:rPr>
                <w:sz w:val="20"/>
                <w:szCs w:val="20"/>
                <w:color w:val="auto"/>
              </w:rPr>
            </w:pPr>
            <w:r>
              <w:rPr>
                <w:rFonts w:ascii="Arial" w:cs="Arial" w:eastAsia="Arial" w:hAnsi="Arial"/>
                <w:sz w:val="13"/>
                <w:szCs w:val="13"/>
                <w:b w:val="1"/>
                <w:bCs w:val="1"/>
                <w:color w:val="auto"/>
                <w:w w:val="94"/>
              </w:rPr>
              <w:t>1600 El Camino Real</w:t>
            </w:r>
          </w:p>
        </w:tc>
      </w:tr>
      <w:tr>
        <w:trPr>
          <w:trHeight w:val="147"/>
        </w:trPr>
        <w:tc>
          <w:tcPr>
            <w:tcW w:w="2780" w:type="dxa"/>
            <w:vAlign w:val="bottom"/>
          </w:tcPr>
          <w:p>
            <w:pPr>
              <w:jc w:val="center"/>
              <w:ind w:right="1093"/>
              <w:spacing w:after="0" w:line="147" w:lineRule="exact"/>
              <w:rPr>
                <w:sz w:val="20"/>
                <w:szCs w:val="20"/>
                <w:color w:val="auto"/>
              </w:rPr>
            </w:pPr>
            <w:r>
              <w:rPr>
                <w:rFonts w:ascii="Arial" w:cs="Arial" w:eastAsia="Arial" w:hAnsi="Arial"/>
                <w:sz w:val="13"/>
                <w:szCs w:val="13"/>
                <w:b w:val="1"/>
                <w:bCs w:val="1"/>
                <w:color w:val="auto"/>
                <w:w w:val="97"/>
              </w:rPr>
              <w:t>Cooley LLP</w:t>
            </w:r>
          </w:p>
        </w:tc>
        <w:tc>
          <w:tcPr>
            <w:tcW w:w="342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89"/>
              </w:rPr>
              <w:t>7529 Standish Place</w:t>
            </w:r>
          </w:p>
        </w:tc>
        <w:tc>
          <w:tcPr>
            <w:tcW w:w="2720" w:type="dxa"/>
            <w:vAlign w:val="bottom"/>
          </w:tcPr>
          <w:p>
            <w:pPr>
              <w:jc w:val="center"/>
              <w:ind w:left="1033"/>
              <w:spacing w:after="0" w:line="147" w:lineRule="exact"/>
              <w:rPr>
                <w:sz w:val="20"/>
                <w:szCs w:val="20"/>
                <w:color w:val="auto"/>
              </w:rPr>
            </w:pPr>
            <w:r>
              <w:rPr>
                <w:rFonts w:ascii="Arial" w:cs="Arial" w:eastAsia="Arial" w:hAnsi="Arial"/>
                <w:sz w:val="13"/>
                <w:szCs w:val="13"/>
                <w:b w:val="1"/>
                <w:bCs w:val="1"/>
                <w:color w:val="auto"/>
                <w:w w:val="96"/>
              </w:rPr>
              <w:t>Menlo Park, CA 94025</w:t>
            </w:r>
          </w:p>
        </w:tc>
      </w:tr>
      <w:tr>
        <w:trPr>
          <w:trHeight w:val="147"/>
        </w:trPr>
        <w:tc>
          <w:tcPr>
            <w:tcW w:w="2780" w:type="dxa"/>
            <w:vAlign w:val="bottom"/>
          </w:tcPr>
          <w:p>
            <w:pPr>
              <w:jc w:val="center"/>
              <w:ind w:right="1113"/>
              <w:spacing w:after="0" w:line="147" w:lineRule="exact"/>
              <w:rPr>
                <w:sz w:val="20"/>
                <w:szCs w:val="20"/>
                <w:color w:val="auto"/>
              </w:rPr>
            </w:pPr>
            <w:r>
              <w:rPr>
                <w:rFonts w:ascii="Arial" w:cs="Arial" w:eastAsia="Arial" w:hAnsi="Arial"/>
                <w:sz w:val="13"/>
                <w:szCs w:val="13"/>
                <w:b w:val="1"/>
                <w:bCs w:val="1"/>
                <w:color w:val="auto"/>
                <w:w w:val="93"/>
              </w:rPr>
              <w:t>1299 Pennsylvania Ave. NW</w:t>
            </w:r>
          </w:p>
        </w:tc>
        <w:tc>
          <w:tcPr>
            <w:tcW w:w="342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1"/>
              </w:rPr>
              <w:t>Suite 200</w:t>
            </w:r>
          </w:p>
        </w:tc>
        <w:tc>
          <w:tcPr>
            <w:tcW w:w="2720" w:type="dxa"/>
            <w:vAlign w:val="bottom"/>
          </w:tcPr>
          <w:p>
            <w:pPr>
              <w:jc w:val="center"/>
              <w:ind w:left="1013"/>
              <w:spacing w:after="0" w:line="147" w:lineRule="exact"/>
              <w:rPr>
                <w:sz w:val="20"/>
                <w:szCs w:val="20"/>
                <w:color w:val="auto"/>
              </w:rPr>
            </w:pPr>
            <w:r>
              <w:rPr>
                <w:rFonts w:ascii="Arial" w:cs="Arial" w:eastAsia="Arial" w:hAnsi="Arial"/>
                <w:sz w:val="13"/>
                <w:szCs w:val="13"/>
                <w:b w:val="1"/>
                <w:bCs w:val="1"/>
                <w:color w:val="auto"/>
                <w:w w:val="94"/>
              </w:rPr>
              <w:t>(650) 752-2000</w:t>
            </w:r>
          </w:p>
        </w:tc>
      </w:tr>
      <w:tr>
        <w:trPr>
          <w:trHeight w:val="147"/>
        </w:trPr>
        <w:tc>
          <w:tcPr>
            <w:tcW w:w="2780" w:type="dxa"/>
            <w:vAlign w:val="bottom"/>
          </w:tcPr>
          <w:p>
            <w:pPr>
              <w:jc w:val="center"/>
              <w:ind w:right="1113"/>
              <w:spacing w:after="0" w:line="147" w:lineRule="exact"/>
              <w:rPr>
                <w:sz w:val="20"/>
                <w:szCs w:val="20"/>
                <w:color w:val="auto"/>
              </w:rPr>
            </w:pPr>
            <w:r>
              <w:rPr>
                <w:rFonts w:ascii="Arial" w:cs="Arial" w:eastAsia="Arial" w:hAnsi="Arial"/>
                <w:sz w:val="13"/>
                <w:szCs w:val="13"/>
                <w:b w:val="1"/>
                <w:bCs w:val="1"/>
                <w:color w:val="auto"/>
                <w:w w:val="91"/>
              </w:rPr>
              <w:t>Suite 700</w:t>
            </w:r>
          </w:p>
        </w:tc>
        <w:tc>
          <w:tcPr>
            <w:tcW w:w="342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4"/>
              </w:rPr>
              <w:t>Derwood, MD 20855</w:t>
            </w:r>
          </w:p>
        </w:tc>
        <w:tc>
          <w:tcPr>
            <w:tcW w:w="2720" w:type="dxa"/>
            <w:vAlign w:val="bottom"/>
          </w:tcPr>
          <w:p>
            <w:pPr>
              <w:spacing w:after="0"/>
              <w:rPr>
                <w:sz w:val="12"/>
                <w:szCs w:val="12"/>
                <w:color w:val="auto"/>
              </w:rPr>
            </w:pPr>
          </w:p>
        </w:tc>
      </w:tr>
      <w:tr>
        <w:trPr>
          <w:trHeight w:val="147"/>
        </w:trPr>
        <w:tc>
          <w:tcPr>
            <w:tcW w:w="2780" w:type="dxa"/>
            <w:vAlign w:val="bottom"/>
          </w:tcPr>
          <w:p>
            <w:pPr>
              <w:jc w:val="center"/>
              <w:ind w:right="1093"/>
              <w:spacing w:after="0" w:line="147" w:lineRule="exact"/>
              <w:rPr>
                <w:sz w:val="20"/>
                <w:szCs w:val="20"/>
                <w:color w:val="auto"/>
              </w:rPr>
            </w:pPr>
            <w:r>
              <w:rPr>
                <w:rFonts w:ascii="Arial" w:cs="Arial" w:eastAsia="Arial" w:hAnsi="Arial"/>
                <w:sz w:val="13"/>
                <w:szCs w:val="13"/>
                <w:b w:val="1"/>
                <w:bCs w:val="1"/>
                <w:color w:val="auto"/>
                <w:w w:val="93"/>
              </w:rPr>
              <w:t>Washington, DC 20004-2400</w:t>
            </w:r>
          </w:p>
        </w:tc>
        <w:tc>
          <w:tcPr>
            <w:tcW w:w="342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4"/>
              </w:rPr>
              <w:t>(240) 335-7914</w:t>
            </w:r>
          </w:p>
        </w:tc>
        <w:tc>
          <w:tcPr>
            <w:tcW w:w="2720" w:type="dxa"/>
            <w:vAlign w:val="bottom"/>
          </w:tcPr>
          <w:p>
            <w:pPr>
              <w:spacing w:after="0"/>
              <w:rPr>
                <w:sz w:val="12"/>
                <w:szCs w:val="12"/>
                <w:color w:val="auto"/>
              </w:rPr>
            </w:pPr>
          </w:p>
        </w:tc>
      </w:tr>
      <w:tr>
        <w:trPr>
          <w:trHeight w:val="173"/>
        </w:trPr>
        <w:tc>
          <w:tcPr>
            <w:tcW w:w="2780" w:type="dxa"/>
            <w:vAlign w:val="bottom"/>
          </w:tcPr>
          <w:p>
            <w:pPr>
              <w:jc w:val="center"/>
              <w:ind w:right="1093"/>
              <w:spacing w:after="0"/>
              <w:rPr>
                <w:sz w:val="20"/>
                <w:szCs w:val="20"/>
                <w:color w:val="auto"/>
              </w:rPr>
            </w:pPr>
            <w:r>
              <w:rPr>
                <w:rFonts w:ascii="Arial" w:cs="Arial" w:eastAsia="Arial" w:hAnsi="Arial"/>
                <w:sz w:val="13"/>
                <w:szCs w:val="13"/>
                <w:b w:val="1"/>
                <w:bCs w:val="1"/>
                <w:color w:val="auto"/>
                <w:w w:val="92"/>
              </w:rPr>
              <w:t>(202) 842-7800</w:t>
            </w:r>
          </w:p>
        </w:tc>
        <w:tc>
          <w:tcPr>
            <w:tcW w:w="3420" w:type="dxa"/>
            <w:vAlign w:val="bottom"/>
          </w:tcPr>
          <w:p>
            <w:pPr>
              <w:spacing w:after="0"/>
              <w:rPr>
                <w:sz w:val="15"/>
                <w:szCs w:val="15"/>
                <w:color w:val="auto"/>
              </w:rPr>
            </w:pPr>
          </w:p>
        </w:tc>
        <w:tc>
          <w:tcPr>
            <w:tcW w:w="27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2728595</wp:posOffset>
            </wp:positionH>
            <wp:positionV relativeFrom="paragraph">
              <wp:posOffset>109855</wp:posOffset>
            </wp:positionV>
            <wp:extent cx="1457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soon as practicable after this registration statement becomes effective.</w:t>
      </w:r>
    </w:p>
    <w:p>
      <w:pPr>
        <w:spacing w:after="0" w:line="16" w:lineRule="exact"/>
        <w:rPr>
          <w:sz w:val="24"/>
          <w:szCs w:val="24"/>
          <w:color w:val="auto"/>
        </w:rPr>
      </w:pPr>
    </w:p>
    <w:p>
      <w:pPr>
        <w:jc w:val="center"/>
        <w:ind w:right="-179"/>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4" w:lineRule="exact"/>
        <w:rPr>
          <w:sz w:val="24"/>
          <w:szCs w:val="24"/>
          <w:color w:val="auto"/>
        </w:rPr>
      </w:pPr>
    </w:p>
    <w:p>
      <w:pPr>
        <w:ind w:right="240" w:firstLine="544"/>
        <w:spacing w:after="0" w:line="16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right="60" w:firstLine="544"/>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right="60" w:firstLine="544"/>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right="340" w:firstLine="544"/>
        <w:spacing w:after="0" w:line="26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6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420"/>
              <w:spacing w:after="0"/>
              <w:rPr>
                <w:sz w:val="20"/>
                <w:szCs w:val="20"/>
                <w:color w:val="auto"/>
              </w:rPr>
            </w:pPr>
            <w:r>
              <w:rPr>
                <w:rFonts w:ascii="Arial" w:cs="Arial" w:eastAsia="Arial" w:hAnsi="Arial"/>
                <w:sz w:val="13"/>
                <w:szCs w:val="13"/>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4"/>
        </w:trPr>
        <w:tc>
          <w:tcPr>
            <w:tcW w:w="1660" w:type="dxa"/>
            <w:vAlign w:val="bottom"/>
          </w:tcPr>
          <w:p>
            <w:pPr>
              <w:spacing w:after="0"/>
              <w:rPr>
                <w:sz w:val="20"/>
                <w:szCs w:val="20"/>
                <w:color w:val="auto"/>
              </w:rPr>
            </w:pPr>
            <w:r>
              <w:rPr>
                <w:rFonts w:ascii="Arial" w:cs="Arial" w:eastAsia="Arial" w:hAnsi="Arial"/>
                <w:sz w:val="13"/>
                <w:szCs w:val="13"/>
                <w:color w:val="auto"/>
              </w:rPr>
              <w:t>Non-accelerated filer</w:t>
            </w:r>
          </w:p>
        </w:tc>
        <w:tc>
          <w:tcPr>
            <w:tcW w:w="37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420"/>
              <w:spacing w:after="0"/>
              <w:rPr>
                <w:sz w:val="20"/>
                <w:szCs w:val="20"/>
                <w:color w:val="auto"/>
              </w:rPr>
            </w:pPr>
            <w:r>
              <w:rPr>
                <w:rFonts w:ascii="Arial" w:cs="Arial" w:eastAsia="Arial" w:hAnsi="Arial"/>
                <w:sz w:val="13"/>
                <w:szCs w:val="13"/>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8"/>
        </w:trPr>
        <w:tc>
          <w:tcPr>
            <w:tcW w:w="16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7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pacing w:after="0" w:line="12" w:lineRule="exact"/>
        <w:rPr>
          <w:sz w:val="24"/>
          <w:szCs w:val="24"/>
          <w:color w:val="auto"/>
        </w:rPr>
      </w:pPr>
    </w:p>
    <w:p>
      <w:pPr>
        <w:jc w:val="both"/>
        <w:ind w:right="100"/>
        <w:spacing w:after="0" w:line="15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2728595</wp:posOffset>
            </wp:positionH>
            <wp:positionV relativeFrom="paragraph">
              <wp:posOffset>95250</wp:posOffset>
            </wp:positionV>
            <wp:extent cx="1457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79" w:lineRule="exact"/>
        <w:rPr>
          <w:sz w:val="24"/>
          <w:szCs w:val="24"/>
          <w:color w:val="auto"/>
        </w:rPr>
      </w:pPr>
    </w:p>
    <w:p>
      <w:pPr>
        <w:jc w:val="both"/>
        <w:ind w:firstLine="544"/>
        <w:spacing w:after="0" w:line="252"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138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6913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ectPr>
          <w:pgSz w:w="11900" w:h="16838" w:orient="portrait"/>
          <w:cols w:equalWidth="0" w:num="1">
            <w:col w:w="10880"/>
          </w:cols>
          <w:pgMar w:left="500" w:top="233"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Xometry, Inc. is filing this Amendment No. 2 to its Registration Statement on Form S-1, as amended (Registration No. 333-256769) (the “Registration Statement”), for the sole purpose of filing certain exhibits to the Registration Statement, as indicated in Item 16 of Part II of the Registration Statement. Accordingly, Part I, the form of prospectus, has been omitted from this filing.</w:t>
      </w:r>
    </w:p>
    <w:p>
      <w:pPr>
        <w:sectPr>
          <w:pgSz w:w="11900" w:h="16838" w:orient="portrait"/>
          <w:cols w:equalWidth="0" w:num="1">
            <w:col w:w="10780"/>
          </w:cols>
          <w:pgMar w:left="500" w:top="268" w:right="6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II</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4" w:lineRule="exact"/>
        <w:rPr>
          <w:sz w:val="20"/>
          <w:szCs w:val="20"/>
          <w:color w:val="auto"/>
        </w:rPr>
      </w:pPr>
    </w:p>
    <w:p>
      <w:pPr>
        <w:ind w:right="620" w:firstLine="544"/>
        <w:spacing w:after="0" w:line="270" w:lineRule="auto"/>
        <w:rPr>
          <w:sz w:val="20"/>
          <w:szCs w:val="20"/>
          <w:color w:val="auto"/>
        </w:rPr>
      </w:pPr>
      <w:r>
        <w:rPr>
          <w:rFonts w:ascii="Arial" w:cs="Arial" w:eastAsia="Arial" w:hAnsi="Arial"/>
          <w:sz w:val="18"/>
          <w:szCs w:val="18"/>
          <w:color w:val="auto"/>
        </w:rPr>
        <w:t>Unless otherwise indicated, all references to “Xometry,” the “company,” “we,” “our,” “us” or similar terms refer to Xometry, Inc. and its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all expenses to be paid by us, other than underwriting discounts and commissions, in connection with this offering.</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All amounts shown are estimates except for the SEC registration fee, the FINRA filing fee and the exchange listing fee.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36,229</w:t>
            </w:r>
          </w:p>
        </w:tc>
      </w:tr>
      <w:tr>
        <w:trPr>
          <w:trHeight w:val="213"/>
        </w:trPr>
        <w:tc>
          <w:tcPr>
            <w:tcW w:w="6460" w:type="dxa"/>
            <w:vAlign w:val="bottom"/>
          </w:tcPr>
          <w:p>
            <w:pPr>
              <w:spacing w:after="0"/>
              <w:rPr>
                <w:sz w:val="20"/>
                <w:szCs w:val="20"/>
                <w:color w:val="auto"/>
              </w:rPr>
            </w:pPr>
            <w:r>
              <w:rPr>
                <w:rFonts w:ascii="Arial" w:cs="Arial" w:eastAsia="Arial" w:hAnsi="Arial"/>
                <w:sz w:val="18"/>
                <w:szCs w:val="18"/>
                <w:color w:val="auto"/>
              </w:rPr>
              <w:t>FINRA filing fee</w:t>
            </w: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50,309</w:t>
            </w:r>
          </w:p>
        </w:tc>
      </w:tr>
      <w:tr>
        <w:trPr>
          <w:trHeight w:val="213"/>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235,000</w:t>
            </w:r>
          </w:p>
        </w:tc>
      </w:tr>
      <w:tr>
        <w:trPr>
          <w:trHeight w:val="213"/>
        </w:trPr>
        <w:tc>
          <w:tcPr>
            <w:tcW w:w="64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295,000</w:t>
            </w:r>
          </w:p>
        </w:tc>
      </w:tr>
      <w:tr>
        <w:trPr>
          <w:trHeight w:val="213"/>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2,000,000</w:t>
            </w:r>
          </w:p>
        </w:tc>
      </w:tr>
      <w:tr>
        <w:trPr>
          <w:trHeight w:val="213"/>
        </w:trPr>
        <w:tc>
          <w:tcPr>
            <w:tcW w:w="64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1,000,000</w:t>
            </w:r>
          </w:p>
        </w:tc>
      </w:tr>
      <w:tr>
        <w:trPr>
          <w:trHeight w:val="213"/>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Custodian transfer agent and registrar fees</w:t>
            </w: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w:t>
            </w:r>
          </w:p>
        </w:tc>
      </w:tr>
      <w:tr>
        <w:trPr>
          <w:trHeight w:val="213"/>
        </w:trPr>
        <w:tc>
          <w:tcPr>
            <w:tcW w:w="6460" w:type="dxa"/>
            <w:vAlign w:val="bottom"/>
          </w:tcPr>
          <w:p>
            <w:pPr>
              <w:spacing w:after="0"/>
              <w:rPr>
                <w:sz w:val="20"/>
                <w:szCs w:val="20"/>
                <w:color w:val="auto"/>
              </w:rPr>
            </w:pPr>
            <w:r>
              <w:rPr>
                <w:rFonts w:ascii="Arial" w:cs="Arial" w:eastAsia="Arial" w:hAnsi="Arial"/>
                <w:sz w:val="18"/>
                <w:szCs w:val="18"/>
                <w:color w:val="auto"/>
              </w:rPr>
              <w:t>Miscellaneous</w:t>
            </w: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378,962</w:t>
            </w:r>
          </w:p>
        </w:tc>
      </w:tr>
      <w:tr>
        <w:trPr>
          <w:trHeight w:val="27"/>
        </w:trPr>
        <w:tc>
          <w:tcPr>
            <w:tcW w:w="6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4,000,000</w:t>
            </w:r>
          </w:p>
        </w:tc>
      </w:tr>
      <w:tr>
        <w:trPr>
          <w:trHeight w:val="20"/>
        </w:trPr>
        <w:tc>
          <w:tcPr>
            <w:tcW w:w="6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17" w:lineRule="exact"/>
        <w:rPr>
          <w:sz w:val="20"/>
          <w:szCs w:val="20"/>
          <w:color w:val="auto"/>
        </w:rPr>
      </w:pPr>
    </w:p>
    <w:p>
      <w:pPr>
        <w:ind w:right="80" w:firstLine="544"/>
        <w:spacing w:after="0" w:line="251"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completion of this offering permits indemnification of our directors, officers, employees and other agents to the maximum extent permitted by the Delaware General Corporation Law, and our amended and restated bylaws that will be in effect on the completion of this offering provide that we will indemnify our directors and officers and permit us to indemnify our employees and other agents, in each case to the maximum extent permitted by the Delaware General Corporation Law.</w:t>
      </w:r>
    </w:p>
    <w:p>
      <w:pPr>
        <w:spacing w:after="0" w:line="193" w:lineRule="exact"/>
        <w:rPr>
          <w:sz w:val="20"/>
          <w:szCs w:val="20"/>
          <w:color w:val="auto"/>
        </w:rPr>
      </w:pPr>
    </w:p>
    <w:p>
      <w:pPr>
        <w:ind w:right="40" w:firstLine="544"/>
        <w:spacing w:after="0" w:line="289" w:lineRule="auto"/>
        <w:rPr>
          <w:sz w:val="20"/>
          <w:szCs w:val="20"/>
          <w:color w:val="auto"/>
        </w:rPr>
      </w:pPr>
      <w:r>
        <w:rPr>
          <w:rFonts w:ascii="Arial" w:cs="Arial" w:eastAsia="Arial" w:hAnsi="Arial"/>
          <w:sz w:val="16"/>
          <w:szCs w:val="16"/>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Xometry, Inc., provided that such director or officer acted in good faith and in a manner that the director or officer reasonably believed to be in, or not opposed to, the best interest of Xometry, Inc. At present, there is no pending litigation or proceeding involving a director or officer of Xometry, Inc. regarding which indemnification is sought, nor is the registrant aware of any threatened litigation that may result in claims for indemnification.</w:t>
      </w:r>
    </w:p>
    <w:p>
      <w:pPr>
        <w:spacing w:after="0" w:line="165" w:lineRule="exact"/>
        <w:rPr>
          <w:sz w:val="20"/>
          <w:szCs w:val="20"/>
          <w:color w:val="auto"/>
        </w:rPr>
      </w:pPr>
    </w:p>
    <w:p>
      <w:pPr>
        <w:ind w:right="520" w:firstLine="544"/>
        <w:spacing w:after="0" w:line="300" w:lineRule="auto"/>
        <w:rPr>
          <w:sz w:val="20"/>
          <w:szCs w:val="20"/>
          <w:color w:val="auto"/>
        </w:rPr>
      </w:pPr>
      <w:r>
        <w:rPr>
          <w:rFonts w:ascii="Arial" w:cs="Arial" w:eastAsia="Arial" w:hAnsi="Arial"/>
          <w:sz w:val="17"/>
          <w:szCs w:val="17"/>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880"/>
          </w:cols>
          <w:pgMar w:left="500" w:top="268" w:right="519" w:bottom="1440" w:gutter="0" w:footer="0" w:header="0"/>
        </w:sectPr>
      </w:pPr>
    </w:p>
    <w:bookmarkStart w:id="3" w:name="page4"/>
    <w:bookmarkEnd w:id="3"/>
    <w:p>
      <w:pPr>
        <w:ind w:firstLine="544"/>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underwriters are obligated, under certain circumstances, under the underwriting agreement to be filed as Exhibit 1.1 hereto, to indemnify us and our officers and directors against liabilities under the Securities Act.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2018 through June 25, 2021:</w:t>
      </w:r>
    </w:p>
    <w:p>
      <w:pPr>
        <w:spacing w:after="0" w:line="127" w:lineRule="exact"/>
        <w:rPr>
          <w:sz w:val="20"/>
          <w:szCs w:val="20"/>
          <w:color w:val="auto"/>
        </w:rPr>
      </w:pPr>
    </w:p>
    <w:p>
      <w:pPr>
        <w:ind w:left="540" w:hanging="540"/>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Option issuances.</w:t>
      </w:r>
    </w:p>
    <w:p>
      <w:pPr>
        <w:spacing w:after="0" w:line="220" w:lineRule="exact"/>
        <w:rPr>
          <w:sz w:val="20"/>
          <w:szCs w:val="20"/>
          <w:color w:val="auto"/>
        </w:rPr>
      </w:pPr>
    </w:p>
    <w:p>
      <w:pPr>
        <w:jc w:val="both"/>
        <w:ind w:right="180" w:firstLine="544"/>
        <w:spacing w:after="0" w:line="258" w:lineRule="auto"/>
        <w:rPr>
          <w:sz w:val="20"/>
          <w:szCs w:val="20"/>
          <w:color w:val="auto"/>
        </w:rPr>
      </w:pPr>
      <w:r>
        <w:rPr>
          <w:rFonts w:ascii="Arial" w:cs="Arial" w:eastAsia="Arial" w:hAnsi="Arial"/>
          <w:sz w:val="18"/>
          <w:szCs w:val="18"/>
          <w:color w:val="auto"/>
        </w:rPr>
        <w:t>We have granted under our 2016 Plan options to purchase an aggregate of 5,205,952 shares of our common stock to a total of 593 employees, consultants and directors, having exercise prices ranging from $1.65 to $12.32 per share. 1,661,899 of such options granted under the 2016 Plan have been exercised at a weighted-average exercise price of approximately $1.39 per share.</w:t>
      </w:r>
    </w:p>
    <w:p>
      <w:pPr>
        <w:spacing w:after="0" w:line="93" w:lineRule="exact"/>
        <w:rPr>
          <w:sz w:val="20"/>
          <w:szCs w:val="20"/>
          <w:color w:val="auto"/>
        </w:rPr>
      </w:pPr>
    </w:p>
    <w:p>
      <w:pPr>
        <w:ind w:left="540" w:hanging="540"/>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Preferred Stock Issuances.</w:t>
      </w:r>
    </w:p>
    <w:p>
      <w:pPr>
        <w:spacing w:after="0" w:line="220" w:lineRule="exact"/>
        <w:rPr>
          <w:sz w:val="20"/>
          <w:szCs w:val="20"/>
          <w:color w:val="auto"/>
        </w:rPr>
      </w:pPr>
    </w:p>
    <w:p>
      <w:pPr>
        <w:ind w:right="20" w:firstLine="544"/>
        <w:spacing w:after="0" w:line="292" w:lineRule="auto"/>
        <w:rPr>
          <w:sz w:val="20"/>
          <w:szCs w:val="20"/>
          <w:color w:val="auto"/>
        </w:rPr>
      </w:pPr>
      <w:r>
        <w:rPr>
          <w:rFonts w:ascii="Arial" w:cs="Arial" w:eastAsia="Arial" w:hAnsi="Arial"/>
          <w:sz w:val="16"/>
          <w:szCs w:val="16"/>
          <w:color w:val="auto"/>
        </w:rPr>
        <w:t>In July 2020, we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approximately $52,653,589.65.</w:t>
      </w:r>
    </w:p>
    <w:p>
      <w:pPr>
        <w:spacing w:after="0" w:line="162" w:lineRule="exact"/>
        <w:rPr>
          <w:sz w:val="20"/>
          <w:szCs w:val="20"/>
          <w:color w:val="auto"/>
        </w:rPr>
      </w:pPr>
    </w:p>
    <w:p>
      <w:pPr>
        <w:ind w:right="100" w:firstLine="544"/>
        <w:spacing w:after="0" w:line="270" w:lineRule="auto"/>
        <w:rPr>
          <w:sz w:val="20"/>
          <w:szCs w:val="20"/>
          <w:color w:val="auto"/>
        </w:rPr>
      </w:pPr>
      <w:r>
        <w:rPr>
          <w:rFonts w:ascii="Arial" w:cs="Arial" w:eastAsia="Arial" w:hAnsi="Arial"/>
          <w:sz w:val="18"/>
          <w:szCs w:val="18"/>
          <w:color w:val="auto"/>
        </w:rPr>
        <w:t>In May 2019, we sold an aggregate of 5,494,064 shares of Series D Preferred Stock at a purchase price of $10.0108 per share, for an aggregate purchase price of approximately $54,999,975.96.</w:t>
      </w:r>
    </w:p>
    <w:p>
      <w:pPr>
        <w:spacing w:after="0" w:line="175" w:lineRule="exact"/>
        <w:rPr>
          <w:sz w:val="20"/>
          <w:szCs w:val="20"/>
          <w:color w:val="auto"/>
        </w:rPr>
      </w:pPr>
    </w:p>
    <w:p>
      <w:pPr>
        <w:ind w:firstLine="544"/>
        <w:spacing w:after="0" w:line="250"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Exhibits.</w:t>
      </w:r>
    </w:p>
    <w:p>
      <w:pPr>
        <w:spacing w:after="0" w:line="220" w:lineRule="exact"/>
        <w:rPr>
          <w:sz w:val="20"/>
          <w:szCs w:val="20"/>
          <w:color w:val="auto"/>
        </w:rPr>
      </w:pPr>
    </w:p>
    <w:p>
      <w:pPr>
        <w:ind w:right="220" w:firstLine="544"/>
        <w:spacing w:after="0" w:line="270" w:lineRule="auto"/>
        <w:rPr>
          <w:sz w:val="20"/>
          <w:szCs w:val="20"/>
          <w:color w:val="auto"/>
        </w:rPr>
      </w:pPr>
      <w:r>
        <w:rPr>
          <w:rFonts w:ascii="Arial" w:cs="Arial" w:eastAsia="Arial" w:hAnsi="Arial"/>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 Financial Statement Schedules.</w:t>
      </w:r>
    </w:p>
    <w:p>
      <w:pPr>
        <w:spacing w:after="0" w:line="220" w:lineRule="exact"/>
        <w:rPr>
          <w:sz w:val="20"/>
          <w:szCs w:val="20"/>
          <w:color w:val="auto"/>
        </w:rPr>
      </w:pPr>
    </w:p>
    <w:p>
      <w:pPr>
        <w:ind w:right="580" w:firstLine="544"/>
        <w:spacing w:after="0" w:line="270"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800"/>
          </w:cols>
          <w:pgMar w:left="500" w:top="272" w:right="5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17. Undertakings.</w:t>
      </w:r>
    </w:p>
    <w:p>
      <w:pPr>
        <w:spacing w:after="0" w:line="117" w:lineRule="exact"/>
        <w:rPr>
          <w:sz w:val="20"/>
          <w:szCs w:val="20"/>
          <w:color w:val="auto"/>
        </w:rPr>
      </w:pPr>
    </w:p>
    <w:p>
      <w:pPr>
        <w:ind w:firstLine="544"/>
        <w:spacing w:after="0" w:line="300"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2" w:lineRule="exact"/>
        <w:rPr>
          <w:sz w:val="20"/>
          <w:szCs w:val="20"/>
          <w:color w:val="auto"/>
        </w:rPr>
      </w:pPr>
    </w:p>
    <w:p>
      <w:pPr>
        <w:ind w:firstLine="544"/>
        <w:spacing w:after="0" w:line="250"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undersigned registrant hereby undertakes that:</w:t>
      </w:r>
    </w:p>
    <w:p>
      <w:pPr>
        <w:spacing w:after="0" w:line="113" w:lineRule="exact"/>
        <w:rPr>
          <w:sz w:val="20"/>
          <w:szCs w:val="20"/>
          <w:color w:val="auto"/>
        </w:rPr>
      </w:pPr>
    </w:p>
    <w:p>
      <w:pPr>
        <w:ind w:firstLine="545"/>
        <w:spacing w:after="0" w:line="281" w:lineRule="auto"/>
        <w:tabs>
          <w:tab w:leader="none" w:pos="796"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167" w:lineRule="exact"/>
        <w:rPr>
          <w:rFonts w:ascii="Arial" w:cs="Arial" w:eastAsia="Arial" w:hAnsi="Arial"/>
          <w:sz w:val="17"/>
          <w:szCs w:val="17"/>
          <w:color w:val="auto"/>
        </w:rPr>
      </w:pPr>
    </w:p>
    <w:p>
      <w:pPr>
        <w:ind w:firstLine="545"/>
        <w:spacing w:after="0" w:line="258" w:lineRule="auto"/>
        <w:tabs>
          <w:tab w:leader="none" w:pos="796"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840"/>
          </w:cols>
          <w:pgMar w:left="500" w:top="268" w:right="5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00" w:type="dxa"/>
            <w:vAlign w:val="bottom"/>
            <w:gridSpan w:val="17"/>
          </w:tcPr>
          <w:p>
            <w:pPr>
              <w:jc w:val="center"/>
              <w:ind w:right="4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6"/>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40" w:type="dxa"/>
            <w:vAlign w:val="bottom"/>
            <w:gridSpan w:val="16"/>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74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3"/>
                <w:szCs w:val="23"/>
                <w:color w:val="auto"/>
              </w:rPr>
            </w:pPr>
          </w:p>
        </w:tc>
        <w:tc>
          <w:tcPr>
            <w:tcW w:w="24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Form of Underwriting Agreement.</w:t>
              </w:r>
            </w:hyperlink>
          </w:p>
        </w:tc>
        <w:tc>
          <w:tcPr>
            <w:tcW w:w="2080" w:type="dxa"/>
            <w:vAlign w:val="bottom"/>
            <w:gridSpan w:val="5"/>
          </w:tcPr>
          <w:p>
            <w:pPr>
              <w:spacing w:after="0"/>
              <w:rPr>
                <w:sz w:val="23"/>
                <w:szCs w:val="23"/>
                <w:color w:val="auto"/>
              </w:rPr>
            </w:pPr>
          </w:p>
        </w:tc>
        <w:tc>
          <w:tcPr>
            <w:tcW w:w="720" w:type="dxa"/>
            <w:vAlign w:val="bottom"/>
            <w:tcBorders>
              <w:top w:val="single" w:sz="8" w:color="auto"/>
            </w:tcBorders>
            <w:gridSpan w:val="3"/>
          </w:tcPr>
          <w:p>
            <w:pPr>
              <w:spacing w:after="0"/>
              <w:rPr>
                <w:sz w:val="23"/>
                <w:szCs w:val="23"/>
                <w:color w:val="auto"/>
              </w:rPr>
            </w:pPr>
          </w:p>
        </w:tc>
        <w:tc>
          <w:tcPr>
            <w:tcW w:w="4420" w:type="dxa"/>
            <w:vAlign w:val="bottom"/>
            <w:gridSpan w:val="12"/>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Amended and Restated Certificate of Incorporation of Xometry, Inc., as currently in effect.</w:t>
              </w:r>
            </w:hyperlink>
          </w:p>
        </w:tc>
        <w:tc>
          <w:tcPr>
            <w:tcW w:w="3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9000" w:type="dxa"/>
            <w:vAlign w:val="bottom"/>
            <w:tcBorders>
              <w:bottom w:val="single" w:sz="8" w:color="0000EE"/>
            </w:tcBorders>
            <w:gridSpan w:val="23"/>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Form of Amended and Restated Certificate of Incorporation of Xometry, Inc., to be in effect on the completion of the offering.</w:t>
              </w:r>
            </w:hyperlink>
          </w:p>
        </w:tc>
        <w:tc>
          <w:tcPr>
            <w:tcW w:w="6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ind w:left="8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4"/>
                <w:szCs w:val="24"/>
                <w:color w:val="auto"/>
              </w:rPr>
            </w:pPr>
          </w:p>
        </w:tc>
        <w:tc>
          <w:tcPr>
            <w:tcW w:w="5040" w:type="dxa"/>
            <w:vAlign w:val="bottom"/>
            <w:tcBorders>
              <w:bottom w:val="single" w:sz="8" w:color="0000EE"/>
            </w:tcBorders>
            <w:gridSpan w:val="12"/>
          </w:tcPr>
          <w:p>
            <w:pPr>
              <w:spacing w:after="0"/>
              <w:rPr>
                <w:rFonts w:ascii="Arial" w:cs="Arial" w:eastAsia="Arial" w:hAnsi="Arial"/>
                <w:sz w:val="18"/>
                <w:szCs w:val="18"/>
                <w:color w:val="0000EE"/>
                <w:w w:val="89"/>
              </w:rPr>
            </w:pPr>
            <w:hyperlink r:id="rId25">
              <w:r>
                <w:rPr>
                  <w:rFonts w:ascii="Arial" w:cs="Arial" w:eastAsia="Arial" w:hAnsi="Arial"/>
                  <w:sz w:val="18"/>
                  <w:szCs w:val="18"/>
                  <w:color w:val="0000EE"/>
                  <w:w w:val="89"/>
                </w:rPr>
                <w:t>Amended and Restated Bylaws of Xometry, Inc., as currently in effect.</w:t>
              </w:r>
            </w:hyperlink>
          </w:p>
        </w:tc>
        <w:tc>
          <w:tcPr>
            <w:tcW w:w="46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ind w:left="80"/>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4"/>
                <w:szCs w:val="24"/>
                <w:color w:val="auto"/>
              </w:rPr>
            </w:pPr>
          </w:p>
        </w:tc>
        <w:tc>
          <w:tcPr>
            <w:tcW w:w="7580" w:type="dxa"/>
            <w:vAlign w:val="bottom"/>
            <w:tcBorders>
              <w:bottom w:val="single" w:sz="8" w:color="0000EE"/>
            </w:tcBorders>
            <w:gridSpan w:val="18"/>
          </w:tcPr>
          <w:p>
            <w:pPr>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Form of Amended and Restated Bylaws of Xometry, Inc., to be in effect on the completion of the offering.</w:t>
              </w:r>
            </w:hyperlink>
          </w:p>
        </w:tc>
        <w:tc>
          <w:tcPr>
            <w:tcW w:w="21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ind w:left="8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31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Form of Class A Common Stock Certificate.</w:t>
              </w:r>
            </w:hyperlink>
          </w:p>
        </w:tc>
        <w:tc>
          <w:tcPr>
            <w:tcW w:w="65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ind w:left="80"/>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17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Opinion of Cooley LLP.</w:t>
              </w:r>
            </w:hyperlink>
          </w:p>
        </w:tc>
        <w:tc>
          <w:tcPr>
            <w:tcW w:w="79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5760" w:type="dxa"/>
            <w:vAlign w:val="bottom"/>
            <w:tcBorders>
              <w:bottom w:val="single" w:sz="8" w:color="0000EE"/>
            </w:tcBorders>
            <w:gridSpan w:val="14"/>
          </w:tcPr>
          <w:p>
            <w:pPr>
              <w:spacing w:after="0"/>
              <w:rPr>
                <w:rFonts w:ascii="Arial" w:cs="Arial" w:eastAsia="Arial" w:hAnsi="Arial"/>
                <w:sz w:val="18"/>
                <w:szCs w:val="18"/>
                <w:color w:val="0000EE"/>
                <w:w w:val="88"/>
              </w:rPr>
            </w:pPr>
            <w:hyperlink r:id="rId27">
              <w:r>
                <w:rPr>
                  <w:rFonts w:ascii="Arial" w:cs="Arial" w:eastAsia="Arial" w:hAnsi="Arial"/>
                  <w:sz w:val="18"/>
                  <w:szCs w:val="18"/>
                  <w:color w:val="0000EE"/>
                  <w:w w:val="88"/>
                </w:rPr>
                <w:t>Seventh Amended and Restated Investor Rights Agreement, dated July 17, 2020.</w:t>
              </w:r>
            </w:hyperlink>
          </w:p>
        </w:tc>
        <w:tc>
          <w:tcPr>
            <w:tcW w:w="39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91"/>
              </w:rPr>
              <w:t>10.2+*</w:t>
            </w:r>
          </w:p>
        </w:tc>
        <w:tc>
          <w:tcPr>
            <w:tcW w:w="60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rPr>
            </w:pPr>
            <w:hyperlink r:id="rId28">
              <w:r>
                <w:rPr>
                  <w:rFonts w:ascii="Arial" w:cs="Arial" w:eastAsia="Arial" w:hAnsi="Arial"/>
                  <w:sz w:val="18"/>
                  <w:szCs w:val="18"/>
                  <w:color w:val="0000EE"/>
                </w:rPr>
                <w:t>Xometry, Inc. 2016 Equity Incentive Plan.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91"/>
              </w:rPr>
              <w:t>10.3+*</w:t>
            </w:r>
          </w:p>
        </w:tc>
        <w:tc>
          <w:tcPr>
            <w:tcW w:w="600" w:type="dxa"/>
            <w:vAlign w:val="bottom"/>
          </w:tcPr>
          <w:p>
            <w:pPr>
              <w:spacing w:after="0"/>
              <w:rPr>
                <w:sz w:val="24"/>
                <w:szCs w:val="24"/>
                <w:color w:val="auto"/>
              </w:rPr>
            </w:pPr>
          </w:p>
        </w:tc>
        <w:tc>
          <w:tcPr>
            <w:tcW w:w="4560" w:type="dxa"/>
            <w:vAlign w:val="bottom"/>
            <w:tcBorders>
              <w:bottom w:val="single" w:sz="8" w:color="0000EE"/>
            </w:tcBorders>
            <w:gridSpan w:val="11"/>
          </w:tcPr>
          <w:p>
            <w:pPr>
              <w:spacing w:after="0"/>
              <w:rPr>
                <w:rFonts w:ascii="Arial" w:cs="Arial" w:eastAsia="Arial" w:hAnsi="Arial"/>
                <w:sz w:val="18"/>
                <w:szCs w:val="18"/>
                <w:color w:val="0000EE"/>
                <w:w w:val="90"/>
              </w:rPr>
            </w:pPr>
            <w:hyperlink r:id="rId29">
              <w:r>
                <w:rPr>
                  <w:rFonts w:ascii="Arial" w:cs="Arial" w:eastAsia="Arial" w:hAnsi="Arial"/>
                  <w:sz w:val="18"/>
                  <w:szCs w:val="18"/>
                  <w:color w:val="0000EE"/>
                  <w:w w:val="90"/>
                </w:rPr>
                <w:t>Xometry, Inc. Amendment No. 1 to 2016 Equity Incentive Plan.</w:t>
              </w:r>
            </w:hyperlink>
          </w:p>
        </w:tc>
        <w:tc>
          <w:tcPr>
            <w:tcW w:w="51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91"/>
              </w:rPr>
              <w:t>10.4+*</w:t>
            </w:r>
          </w:p>
        </w:tc>
        <w:tc>
          <w:tcPr>
            <w:tcW w:w="600" w:type="dxa"/>
            <w:vAlign w:val="bottom"/>
          </w:tcPr>
          <w:p>
            <w:pPr>
              <w:spacing w:after="0"/>
              <w:rPr>
                <w:sz w:val="24"/>
                <w:szCs w:val="24"/>
                <w:color w:val="auto"/>
              </w:rPr>
            </w:pPr>
          </w:p>
        </w:tc>
        <w:tc>
          <w:tcPr>
            <w:tcW w:w="4560" w:type="dxa"/>
            <w:vAlign w:val="bottom"/>
            <w:tcBorders>
              <w:bottom w:val="single" w:sz="8" w:color="0000EE"/>
            </w:tcBorders>
            <w:gridSpan w:val="11"/>
          </w:tcPr>
          <w:p>
            <w:pPr>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Xometry, Inc. Amendment No. 2 to 2016 Equity Incentive Plan.</w:t>
              </w:r>
            </w:hyperlink>
          </w:p>
        </w:tc>
        <w:tc>
          <w:tcPr>
            <w:tcW w:w="51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91"/>
              </w:rPr>
              <w:t>10.5+*</w:t>
            </w:r>
          </w:p>
        </w:tc>
        <w:tc>
          <w:tcPr>
            <w:tcW w:w="600" w:type="dxa"/>
            <w:vAlign w:val="bottom"/>
          </w:tcPr>
          <w:p>
            <w:pPr>
              <w:spacing w:after="0"/>
              <w:rPr>
                <w:sz w:val="24"/>
                <w:szCs w:val="24"/>
                <w:color w:val="auto"/>
              </w:rPr>
            </w:pPr>
          </w:p>
        </w:tc>
        <w:tc>
          <w:tcPr>
            <w:tcW w:w="4560" w:type="dxa"/>
            <w:vAlign w:val="bottom"/>
            <w:tcBorders>
              <w:bottom w:val="single" w:sz="8" w:color="0000EE"/>
            </w:tcBorders>
            <w:gridSpan w:val="11"/>
          </w:tcPr>
          <w:p>
            <w:pPr>
              <w:spacing w:after="0"/>
              <w:rPr>
                <w:rFonts w:ascii="Arial" w:cs="Arial" w:eastAsia="Arial" w:hAnsi="Arial"/>
                <w:sz w:val="18"/>
                <w:szCs w:val="18"/>
                <w:color w:val="0000EE"/>
                <w:w w:val="90"/>
              </w:rPr>
            </w:pPr>
            <w:hyperlink r:id="rId31">
              <w:r>
                <w:rPr>
                  <w:rFonts w:ascii="Arial" w:cs="Arial" w:eastAsia="Arial" w:hAnsi="Arial"/>
                  <w:sz w:val="18"/>
                  <w:szCs w:val="18"/>
                  <w:color w:val="0000EE"/>
                  <w:w w:val="90"/>
                </w:rPr>
                <w:t>Xometry, Inc. Amendment No. 3 to 2016 Equity Incentive Plan.</w:t>
              </w:r>
            </w:hyperlink>
          </w:p>
        </w:tc>
        <w:tc>
          <w:tcPr>
            <w:tcW w:w="51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91"/>
              </w:rPr>
              <w:t>10.6+*</w:t>
            </w:r>
          </w:p>
        </w:tc>
        <w:tc>
          <w:tcPr>
            <w:tcW w:w="600" w:type="dxa"/>
            <w:vAlign w:val="bottom"/>
          </w:tcPr>
          <w:p>
            <w:pPr>
              <w:spacing w:after="0"/>
              <w:rPr>
                <w:sz w:val="24"/>
                <w:szCs w:val="24"/>
                <w:color w:val="auto"/>
              </w:rPr>
            </w:pPr>
          </w:p>
        </w:tc>
        <w:tc>
          <w:tcPr>
            <w:tcW w:w="4560" w:type="dxa"/>
            <w:vAlign w:val="bottom"/>
            <w:tcBorders>
              <w:bottom w:val="single" w:sz="8" w:color="0000EE"/>
            </w:tcBorders>
            <w:gridSpan w:val="11"/>
          </w:tcPr>
          <w:p>
            <w:pPr>
              <w:spacing w:after="0"/>
              <w:rPr>
                <w:rFonts w:ascii="Arial" w:cs="Arial" w:eastAsia="Arial" w:hAnsi="Arial"/>
                <w:sz w:val="18"/>
                <w:szCs w:val="18"/>
                <w:color w:val="0000EE"/>
                <w:w w:val="90"/>
              </w:rPr>
            </w:pPr>
            <w:hyperlink r:id="rId32">
              <w:r>
                <w:rPr>
                  <w:rFonts w:ascii="Arial" w:cs="Arial" w:eastAsia="Arial" w:hAnsi="Arial"/>
                  <w:sz w:val="18"/>
                  <w:szCs w:val="18"/>
                  <w:color w:val="0000EE"/>
                  <w:w w:val="90"/>
                </w:rPr>
                <w:t>Xometry, Inc. Amendment No. 4 to 2016 Equity Incentive Plan.</w:t>
              </w:r>
            </w:hyperlink>
          </w:p>
        </w:tc>
        <w:tc>
          <w:tcPr>
            <w:tcW w:w="51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91"/>
              </w:rPr>
              <w:t>10.7+*</w:t>
            </w:r>
          </w:p>
        </w:tc>
        <w:tc>
          <w:tcPr>
            <w:tcW w:w="600" w:type="dxa"/>
            <w:vAlign w:val="bottom"/>
          </w:tcPr>
          <w:p>
            <w:pPr>
              <w:spacing w:after="0"/>
              <w:rPr>
                <w:sz w:val="24"/>
                <w:szCs w:val="24"/>
                <w:color w:val="auto"/>
              </w:rPr>
            </w:pPr>
          </w:p>
        </w:tc>
        <w:tc>
          <w:tcPr>
            <w:tcW w:w="4560" w:type="dxa"/>
            <w:vAlign w:val="bottom"/>
            <w:tcBorders>
              <w:bottom w:val="single" w:sz="8" w:color="0000EE"/>
            </w:tcBorders>
            <w:gridSpan w:val="11"/>
          </w:tcPr>
          <w:p>
            <w:pPr>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Xometry, Inc. Amendment No. 5 to 2016 Equity Incentive Plan.</w:t>
              </w:r>
            </w:hyperlink>
          </w:p>
        </w:tc>
        <w:tc>
          <w:tcPr>
            <w:tcW w:w="51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91"/>
              </w:rPr>
              <w:t>10.8+*</w:t>
            </w:r>
          </w:p>
        </w:tc>
        <w:tc>
          <w:tcPr>
            <w:tcW w:w="60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w w:val="99"/>
              </w:rPr>
            </w:pPr>
            <w:hyperlink r:id="rId34">
              <w:r>
                <w:rPr>
                  <w:rFonts w:ascii="Arial" w:cs="Arial" w:eastAsia="Arial" w:hAnsi="Arial"/>
                  <w:sz w:val="18"/>
                  <w:szCs w:val="18"/>
                  <w:color w:val="0000EE"/>
                  <w:w w:val="99"/>
                </w:rPr>
                <w:t>Forms of grant notice, stock option agreement, and notice of exercise under the Xometry, Inc. 2016 Equity Incentive Plan.</w:t>
              </w:r>
            </w:hyperlink>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91"/>
              </w:rPr>
              <w:t>10.9+*</w:t>
            </w:r>
          </w:p>
        </w:tc>
        <w:tc>
          <w:tcPr>
            <w:tcW w:w="600" w:type="dxa"/>
            <w:vAlign w:val="bottom"/>
          </w:tcPr>
          <w:p>
            <w:pPr>
              <w:spacing w:after="0"/>
              <w:rPr>
                <w:sz w:val="24"/>
                <w:szCs w:val="24"/>
                <w:color w:val="auto"/>
              </w:rPr>
            </w:pPr>
          </w:p>
        </w:tc>
        <w:tc>
          <w:tcPr>
            <w:tcW w:w="8680" w:type="dxa"/>
            <w:vAlign w:val="bottom"/>
            <w:tcBorders>
              <w:top w:val="single" w:sz="8" w:color="0000EE"/>
            </w:tcBorders>
            <w:gridSpan w:val="22"/>
          </w:tcPr>
          <w:p>
            <w:pPr>
              <w:spacing w:after="0"/>
              <w:rPr>
                <w:rFonts w:ascii="Arial" w:cs="Arial" w:eastAsia="Arial" w:hAnsi="Arial"/>
                <w:sz w:val="18"/>
                <w:szCs w:val="18"/>
                <w:color w:val="0000EE"/>
              </w:rPr>
            </w:pPr>
            <w:hyperlink r:id="rId35">
              <w:r>
                <w:rPr>
                  <w:rFonts w:ascii="Arial" w:cs="Arial" w:eastAsia="Arial" w:hAnsi="Arial"/>
                  <w:sz w:val="18"/>
                  <w:szCs w:val="18"/>
                  <w:color w:val="0000EE"/>
                </w:rPr>
                <w:t>Xometry, Inc. 2021 Equity Incentive Plan.</w:t>
              </w:r>
            </w:hyperlink>
          </w:p>
        </w:tc>
        <w:tc>
          <w:tcPr>
            <w:tcW w:w="10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86"/>
              </w:rPr>
              <w:t>10.10+</w:t>
            </w:r>
          </w:p>
        </w:tc>
        <w:tc>
          <w:tcPr>
            <w:tcW w:w="60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Forms of grant notice, stock option agreement and notice of exercise under the Xometry, Inc. 2021 Equity Incentive Plan.</w:t>
              </w:r>
            </w:hyperlink>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86"/>
              </w:rPr>
              <w:t>10.11+</w:t>
            </w:r>
          </w:p>
        </w:tc>
        <w:tc>
          <w:tcPr>
            <w:tcW w:w="600" w:type="dxa"/>
            <w:vAlign w:val="bottom"/>
          </w:tcPr>
          <w:p>
            <w:pPr>
              <w:spacing w:after="0"/>
              <w:rPr>
                <w:sz w:val="24"/>
                <w:szCs w:val="24"/>
                <w:color w:val="auto"/>
              </w:rPr>
            </w:pPr>
          </w:p>
        </w:tc>
        <w:tc>
          <w:tcPr>
            <w:tcW w:w="8640" w:type="dxa"/>
            <w:vAlign w:val="bottom"/>
            <w:tcBorders>
              <w:top w:val="single" w:sz="8" w:color="0000EE"/>
            </w:tcBorders>
            <w:gridSpan w:val="21"/>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Forms of restricted stock unit grant notice and award agreement under the Xometry, Inc. 2021 Equity Incentive Plan.</w:t>
              </w:r>
            </w:hyperlink>
          </w:p>
        </w:tc>
        <w:tc>
          <w:tcPr>
            <w:tcW w:w="10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640" w:type="dxa"/>
            <w:vAlign w:val="bottom"/>
            <w:gridSpan w:val="7"/>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86"/>
              </w:rPr>
              <w:t>10.12+</w:t>
            </w:r>
          </w:p>
        </w:tc>
        <w:tc>
          <w:tcPr>
            <w:tcW w:w="600" w:type="dxa"/>
            <w:vAlign w:val="bottom"/>
          </w:tcPr>
          <w:p>
            <w:pPr>
              <w:spacing w:after="0"/>
              <w:rPr>
                <w:sz w:val="24"/>
                <w:szCs w:val="24"/>
                <w:color w:val="auto"/>
              </w:rPr>
            </w:pPr>
          </w:p>
        </w:tc>
        <w:tc>
          <w:tcPr>
            <w:tcW w:w="90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Amended and Restated Employment Agreement by and between Xometry, Inc. and Randolph Altschuler, to be in effect on the</w:t>
              </w:r>
            </w:hyperlink>
          </w:p>
        </w:tc>
        <w:tc>
          <w:tcPr>
            <w:tcW w:w="6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80" w:type="dxa"/>
            <w:vAlign w:val="bottom"/>
            <w:gridSpan w:val="25"/>
          </w:tcPr>
          <w:p>
            <w:pPr>
              <w:spacing w:after="0" w:line="194" w:lineRule="exact"/>
              <w:rPr>
                <w:rFonts w:ascii="Arial" w:cs="Arial" w:eastAsia="Arial" w:hAnsi="Arial"/>
                <w:sz w:val="18"/>
                <w:szCs w:val="18"/>
                <w:color w:val="0000EE"/>
              </w:rPr>
            </w:pPr>
            <w:hyperlink w:anchor="page62">
              <w:r>
                <w:rPr>
                  <w:rFonts w:ascii="Arial" w:cs="Arial" w:eastAsia="Arial" w:hAnsi="Arial"/>
                  <w:sz w:val="18"/>
                  <w:szCs w:val="18"/>
                  <w:color w:val="0000EE"/>
                </w:rPr>
                <w:t>completion of the offering.</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86"/>
              </w:rPr>
              <w:t>10.13+</w:t>
            </w:r>
          </w:p>
        </w:tc>
        <w:tc>
          <w:tcPr>
            <w:tcW w:w="600" w:type="dxa"/>
            <w:vAlign w:val="bottom"/>
          </w:tcPr>
          <w:p>
            <w:pPr>
              <w:spacing w:after="0"/>
              <w:rPr>
                <w:sz w:val="24"/>
                <w:szCs w:val="24"/>
                <w:color w:val="auto"/>
              </w:rPr>
            </w:pPr>
          </w:p>
        </w:tc>
        <w:tc>
          <w:tcPr>
            <w:tcW w:w="968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Amended and Restated Employment Agreement by and between Xometry, Inc. and James Rallo, to be in effect on the completion of the</w:t>
              </w:r>
            </w:hyperlink>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80" w:type="dxa"/>
            <w:vAlign w:val="bottom"/>
            <w:gridSpan w:val="25"/>
          </w:tcPr>
          <w:p>
            <w:pPr>
              <w:spacing w:after="0" w:line="194" w:lineRule="exact"/>
              <w:rPr>
                <w:rFonts w:ascii="Arial" w:cs="Arial" w:eastAsia="Arial" w:hAnsi="Arial"/>
                <w:sz w:val="18"/>
                <w:szCs w:val="18"/>
                <w:color w:val="0000EE"/>
              </w:rPr>
            </w:pPr>
            <w:hyperlink w:anchor="page77">
              <w:r>
                <w:rPr>
                  <w:rFonts w:ascii="Arial" w:cs="Arial" w:eastAsia="Arial" w:hAnsi="Arial"/>
                  <w:sz w:val="18"/>
                  <w:szCs w:val="18"/>
                  <w:color w:val="0000EE"/>
                </w:rPr>
                <w:t>offering.</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86"/>
              </w:rPr>
              <w:t>10.14+</w:t>
            </w:r>
          </w:p>
        </w:tc>
        <w:tc>
          <w:tcPr>
            <w:tcW w:w="600" w:type="dxa"/>
            <w:vAlign w:val="bottom"/>
          </w:tcPr>
          <w:p>
            <w:pPr>
              <w:spacing w:after="0"/>
              <w:rPr>
                <w:sz w:val="24"/>
                <w:szCs w:val="24"/>
                <w:color w:val="auto"/>
              </w:rPr>
            </w:pPr>
          </w:p>
        </w:tc>
        <w:tc>
          <w:tcPr>
            <w:tcW w:w="954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Amended and Restated Employment Agreement by and between Xometry, Inc. and Peter Goguen, to be in effect on the completion of</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Borders>
              <w:bottom w:val="single" w:sz="8" w:color="0000EE"/>
            </w:tcBorders>
            <w:gridSpan w:val="2"/>
          </w:tcPr>
          <w:p>
            <w:pPr>
              <w:spacing w:after="0" w:line="194"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the offering.</w:t>
              </w:r>
            </w:hyperlink>
          </w:p>
        </w:tc>
        <w:tc>
          <w:tcPr>
            <w:tcW w:w="880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100" w:type="dxa"/>
            <w:vAlign w:val="bottom"/>
            <w:gridSpan w:val="2"/>
          </w:tcPr>
          <w:p>
            <w:pPr>
              <w:spacing w:after="0"/>
              <w:rPr>
                <w:sz w:val="20"/>
                <w:szCs w:val="20"/>
                <w:color w:val="auto"/>
              </w:rPr>
            </w:pPr>
            <w:r>
              <w:rPr>
                <w:rFonts w:ascii="Arial" w:cs="Arial" w:eastAsia="Arial" w:hAnsi="Arial"/>
                <w:sz w:val="18"/>
                <w:szCs w:val="18"/>
                <w:color w:val="auto"/>
              </w:rPr>
              <w:t>10.15+*</w:t>
            </w:r>
          </w:p>
        </w:tc>
        <w:tc>
          <w:tcPr>
            <w:tcW w:w="9680" w:type="dxa"/>
            <w:vAlign w:val="bottom"/>
            <w:gridSpan w:val="25"/>
          </w:tcPr>
          <w:p>
            <w:pPr>
              <w:spacing w:after="0"/>
              <w:rPr>
                <w:rFonts w:ascii="Arial" w:cs="Arial" w:eastAsia="Arial" w:hAnsi="Arial"/>
                <w:sz w:val="18"/>
                <w:szCs w:val="18"/>
                <w:color w:val="0000EE"/>
              </w:rPr>
            </w:pPr>
            <w:hyperlink r:id="rId36">
              <w:r>
                <w:rPr>
                  <w:rFonts w:ascii="Arial" w:cs="Arial" w:eastAsia="Arial" w:hAnsi="Arial"/>
                  <w:sz w:val="18"/>
                  <w:szCs w:val="18"/>
                  <w:color w:val="0000EE"/>
                </w:rPr>
                <w:t>Form of Indemnification Agreement entered into by and between Xometry, Inc. and each director and executive officer.</w:t>
              </w:r>
            </w:hyperlink>
          </w:p>
        </w:tc>
        <w:tc>
          <w:tcPr>
            <w:tcW w:w="0" w:type="dxa"/>
            <w:vAlign w:val="bottom"/>
          </w:tcPr>
          <w:p>
            <w:pPr>
              <w:spacing w:after="0"/>
              <w:rPr>
                <w:sz w:val="1"/>
                <w:szCs w:val="1"/>
                <w:color w:val="auto"/>
              </w:rPr>
            </w:pPr>
          </w:p>
        </w:tc>
      </w:tr>
      <w:tr>
        <w:trPr>
          <w:trHeight w:val="300"/>
        </w:trPr>
        <w:tc>
          <w:tcPr>
            <w:tcW w:w="1100" w:type="dxa"/>
            <w:vAlign w:val="bottom"/>
            <w:gridSpan w:val="2"/>
          </w:tcPr>
          <w:p>
            <w:pPr>
              <w:spacing w:after="0"/>
              <w:rPr>
                <w:sz w:val="20"/>
                <w:szCs w:val="20"/>
                <w:color w:val="auto"/>
              </w:rPr>
            </w:pPr>
            <w:r>
              <w:rPr>
                <w:rFonts w:ascii="Arial" w:cs="Arial" w:eastAsia="Arial" w:hAnsi="Arial"/>
                <w:sz w:val="18"/>
                <w:szCs w:val="18"/>
                <w:color w:val="auto"/>
              </w:rPr>
              <w:t>10.16+*</w:t>
            </w:r>
          </w:p>
        </w:tc>
        <w:tc>
          <w:tcPr>
            <w:tcW w:w="8500" w:type="dxa"/>
            <w:vAlign w:val="bottom"/>
            <w:tcBorders>
              <w:top w:val="single" w:sz="8" w:color="0000EE"/>
            </w:tcBorders>
            <w:gridSpan w:val="20"/>
          </w:tcPr>
          <w:p>
            <w:pPr>
              <w:spacing w:after="0"/>
              <w:rPr>
                <w:rFonts w:ascii="Arial" w:cs="Arial" w:eastAsia="Arial" w:hAnsi="Arial"/>
                <w:sz w:val="18"/>
                <w:szCs w:val="18"/>
                <w:color w:val="0000EE"/>
              </w:rPr>
            </w:pPr>
            <w:hyperlink r:id="rId37">
              <w:r>
                <w:rPr>
                  <w:rFonts w:ascii="Arial" w:cs="Arial" w:eastAsia="Arial" w:hAnsi="Arial"/>
                  <w:sz w:val="18"/>
                  <w:szCs w:val="18"/>
                  <w:color w:val="0000EE"/>
                </w:rPr>
                <w:t>Nextline Manufacturing Corp. 2014 Stock Option Plan.</w:t>
              </w:r>
            </w:hyperlink>
          </w:p>
        </w:tc>
        <w:tc>
          <w:tcPr>
            <w:tcW w:w="1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600" w:type="dxa"/>
            <w:vAlign w:val="bottom"/>
            <w:gridSpan w:val="6"/>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100" w:type="dxa"/>
            <w:vAlign w:val="bottom"/>
            <w:gridSpan w:val="2"/>
          </w:tcPr>
          <w:p>
            <w:pPr>
              <w:spacing w:after="0"/>
              <w:rPr>
                <w:sz w:val="20"/>
                <w:szCs w:val="20"/>
                <w:color w:val="auto"/>
              </w:rPr>
            </w:pPr>
            <w:r>
              <w:rPr>
                <w:rFonts w:ascii="Arial" w:cs="Arial" w:eastAsia="Arial" w:hAnsi="Arial"/>
                <w:sz w:val="18"/>
                <w:szCs w:val="18"/>
                <w:color w:val="auto"/>
              </w:rPr>
              <w:t>10.17+*</w:t>
            </w:r>
          </w:p>
        </w:tc>
        <w:tc>
          <w:tcPr>
            <w:tcW w:w="6580" w:type="dxa"/>
            <w:vAlign w:val="bottom"/>
            <w:tcBorders>
              <w:bottom w:val="single" w:sz="8" w:color="0000EE"/>
            </w:tcBorders>
            <w:gridSpan w:val="16"/>
          </w:tcPr>
          <w:p>
            <w:pPr>
              <w:spacing w:after="0"/>
              <w:rPr>
                <w:rFonts w:ascii="Arial" w:cs="Arial" w:eastAsia="Arial" w:hAnsi="Arial"/>
                <w:sz w:val="18"/>
                <w:szCs w:val="18"/>
                <w:color w:val="0000EE"/>
                <w:w w:val="91"/>
              </w:rPr>
            </w:pPr>
            <w:hyperlink r:id="rId38">
              <w:r>
                <w:rPr>
                  <w:rFonts w:ascii="Arial" w:cs="Arial" w:eastAsia="Arial" w:hAnsi="Arial"/>
                  <w:sz w:val="18"/>
                  <w:szCs w:val="18"/>
                  <w:color w:val="0000EE"/>
                  <w:w w:val="91"/>
                </w:rPr>
                <w:t>Form of Stock Option Agreement to Nextline Manufacturing Corp. 2014 Stock Option Plan.</w:t>
              </w:r>
            </w:hyperlink>
          </w:p>
        </w:tc>
        <w:tc>
          <w:tcPr>
            <w:tcW w:w="31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w w:val="92"/>
              </w:rPr>
              <w:t>10.18*</w:t>
            </w:r>
          </w:p>
        </w:tc>
        <w:tc>
          <w:tcPr>
            <w:tcW w:w="600" w:type="dxa"/>
            <w:vAlign w:val="bottom"/>
          </w:tcPr>
          <w:p>
            <w:pPr>
              <w:spacing w:after="0"/>
              <w:rPr>
                <w:sz w:val="24"/>
                <w:szCs w:val="24"/>
                <w:color w:val="auto"/>
              </w:rPr>
            </w:pPr>
          </w:p>
        </w:tc>
        <w:tc>
          <w:tcPr>
            <w:tcW w:w="7320" w:type="dxa"/>
            <w:vAlign w:val="bottom"/>
            <w:tcBorders>
              <w:bottom w:val="single" w:sz="8" w:color="0000EE"/>
            </w:tcBorders>
            <w:gridSpan w:val="17"/>
          </w:tcPr>
          <w:p>
            <w:pPr>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Form of Exchange Agreement by and among Xometry, Inc., Randolph Altschuler and Laurence Zuriff.</w:t>
              </w:r>
            </w:hyperlink>
          </w:p>
        </w:tc>
        <w:tc>
          <w:tcPr>
            <w:tcW w:w="2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60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rPr>
            </w:pPr>
            <w:hyperlink r:id="rId40">
              <w:r>
                <w:rPr>
                  <w:rFonts w:ascii="Arial" w:cs="Arial" w:eastAsia="Arial" w:hAnsi="Arial"/>
                  <w:sz w:val="18"/>
                  <w:szCs w:val="18"/>
                  <w:color w:val="0000EE"/>
                </w:rPr>
                <w:t>List of Subsidiaries of Xometry, Inc.</w:t>
              </w:r>
            </w:hyperlink>
          </w:p>
        </w:tc>
        <w:tc>
          <w:tcPr>
            <w:tcW w:w="0" w:type="dxa"/>
            <w:vAlign w:val="bottom"/>
          </w:tcPr>
          <w:p>
            <w:pPr>
              <w:spacing w:after="0"/>
              <w:rPr>
                <w:sz w:val="1"/>
                <w:szCs w:val="1"/>
                <w:color w:val="auto"/>
              </w:rPr>
            </w:pPr>
          </w:p>
        </w:tc>
      </w:tr>
      <w:tr>
        <w:trPr>
          <w:trHeight w:val="379"/>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40" w:type="dxa"/>
            <w:vAlign w:val="bottom"/>
            <w:gridSpan w:val="16"/>
          </w:tcPr>
          <w:p>
            <w:pPr>
              <w:jc w:val="center"/>
              <w:ind w:right="4920"/>
              <w:spacing w:after="0"/>
              <w:rPr>
                <w:sz w:val="20"/>
                <w:szCs w:val="20"/>
                <w:color w:val="auto"/>
              </w:rPr>
            </w:pPr>
            <w:r>
              <w:rPr>
                <w:rFonts w:ascii="Arial" w:cs="Arial" w:eastAsia="Arial" w:hAnsi="Arial"/>
                <w:sz w:val="18"/>
                <w:szCs w:val="18"/>
                <w:color w:val="auto"/>
                <w:w w:val="99"/>
              </w:rPr>
              <w:t>II-4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80"/>
          </w:cols>
          <w:pgMar w:left="500" w:top="268" w:right="61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3"/>
                <w:szCs w:val="23"/>
                <w:color w:val="auto"/>
              </w:rPr>
            </w:pPr>
          </w:p>
        </w:tc>
        <w:tc>
          <w:tcPr>
            <w:tcW w:w="5220" w:type="dxa"/>
            <w:vAlign w:val="bottom"/>
            <w:gridSpan w:val="6"/>
          </w:tcPr>
          <w:p>
            <w:pPr>
              <w:spacing w:after="0"/>
              <w:rPr>
                <w:rFonts w:ascii="Arial" w:cs="Arial" w:eastAsia="Arial" w:hAnsi="Arial"/>
                <w:sz w:val="18"/>
                <w:szCs w:val="18"/>
                <w:color w:val="0000EE"/>
                <w:w w:val="92"/>
              </w:rPr>
            </w:pPr>
            <w:hyperlink r:id="rId42">
              <w:r>
                <w:rPr>
                  <w:rFonts w:ascii="Arial" w:cs="Arial" w:eastAsia="Arial" w:hAnsi="Arial"/>
                  <w:sz w:val="18"/>
                  <w:szCs w:val="18"/>
                  <w:color w:val="0000EE"/>
                  <w:w w:val="92"/>
                </w:rPr>
                <w:t>Consent of KPMG LLP, independent registered public accounting firm.</w:t>
              </w:r>
            </w:hyperlink>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24"/>
                <w:szCs w:val="24"/>
                <w:color w:val="auto"/>
              </w:rPr>
            </w:pPr>
          </w:p>
        </w:tc>
        <w:tc>
          <w:tcPr>
            <w:tcW w:w="5080" w:type="dxa"/>
            <w:vAlign w:val="bottom"/>
            <w:tcBorders>
              <w:top w:val="single" w:sz="8" w:color="0000EE"/>
            </w:tcBorders>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Consent of Cooley LLP (included in Exhibit 5.1).</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4"/>
                <w:szCs w:val="24"/>
                <w:color w:val="auto"/>
              </w:rPr>
            </w:pPr>
          </w:p>
        </w:tc>
        <w:tc>
          <w:tcPr>
            <w:tcW w:w="306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Power of Attorney (included on page II-6).</w:t>
              </w:r>
            </w:hyperlink>
          </w:p>
        </w:tc>
        <w:tc>
          <w:tcPr>
            <w:tcW w:w="460" w:type="dxa"/>
            <w:vAlign w:val="bottom"/>
            <w:tcBorders>
              <w:top w:val="single" w:sz="8" w:color="0000EE"/>
            </w:tcBorders>
            <w:gridSpan w:val="2"/>
          </w:tcPr>
          <w:p>
            <w:pPr>
              <w:spacing w:after="0"/>
              <w:rPr>
                <w:sz w:val="24"/>
                <w:szCs w:val="24"/>
                <w:color w:val="auto"/>
              </w:rPr>
            </w:pPr>
          </w:p>
        </w:tc>
        <w:tc>
          <w:tcPr>
            <w:tcW w:w="17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3380" w:type="dxa"/>
            <w:vAlign w:val="bottom"/>
            <w:tcBorders>
              <w:bottom w:val="single" w:sz="8" w:color="0000EE"/>
            </w:tcBorders>
            <w:gridSpan w:val="2"/>
          </w:tcPr>
          <w:p>
            <w:pPr>
              <w:spacing w:after="0"/>
              <w:rPr>
                <w:rFonts w:ascii="Arial" w:cs="Arial" w:eastAsia="Arial" w:hAnsi="Arial"/>
                <w:sz w:val="18"/>
                <w:szCs w:val="18"/>
                <w:color w:val="0000EE"/>
                <w:w w:val="88"/>
              </w:rPr>
            </w:pPr>
            <w:hyperlink r:id="rId44">
              <w:r>
                <w:rPr>
                  <w:rFonts w:ascii="Arial" w:cs="Arial" w:eastAsia="Arial" w:hAnsi="Arial"/>
                  <w:sz w:val="18"/>
                  <w:szCs w:val="18"/>
                  <w:color w:val="0000EE"/>
                  <w:w w:val="88"/>
                </w:rPr>
                <w:t>Consent of Ranjana Clark, as director nominee.</w:t>
              </w:r>
            </w:hyperlink>
          </w:p>
        </w:tc>
        <w:tc>
          <w:tcPr>
            <w:tcW w:w="18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101600</wp:posOffset>
            </wp:positionV>
            <wp:extent cx="762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79" w:lineRule="exact"/>
        <w:rPr>
          <w:sz w:val="20"/>
          <w:szCs w:val="20"/>
          <w:color w:val="auto"/>
        </w:rPr>
      </w:pPr>
    </w:p>
    <w:p>
      <w:pPr>
        <w:ind w:left="320" w:hanging="32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9" w:lineRule="exact"/>
        <w:rPr>
          <w:sz w:val="20"/>
          <w:szCs w:val="20"/>
          <w:color w:val="auto"/>
        </w:rPr>
      </w:pPr>
    </w:p>
    <w:p>
      <w:pPr>
        <w:ind w:left="320" w:hanging="320"/>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4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9959"/>
          </w:cols>
          <w:pgMar w:left="500" w:top="249"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80" w:firstLine="544"/>
        <w:spacing w:after="0" w:line="270"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Gaithersburg, State of Maryland, on June 25, 2021.</w:t>
      </w:r>
    </w:p>
    <w:p>
      <w:pPr>
        <w:spacing w:after="0" w:line="19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XOMETRY, INC.</w:t>
      </w:r>
    </w:p>
    <w:p>
      <w:pPr>
        <w:spacing w:after="0" w:line="224" w:lineRule="exact"/>
        <w:rPr>
          <w:sz w:val="20"/>
          <w:szCs w:val="20"/>
          <w:color w:val="auto"/>
        </w:rPr>
      </w:pPr>
    </w:p>
    <w:tbl>
      <w:tblPr>
        <w:tblLayout w:type="fixed"/>
        <w:tblInd w:w="6540" w:type="dxa"/>
        <w:tblCellMar>
          <w:top w:w="0" w:type="dxa"/>
          <w:left w:w="0" w:type="dxa"/>
          <w:bottom w:w="0" w:type="dxa"/>
          <w:right w:w="0" w:type="dxa"/>
        </w:tblCellMar>
      </w:tblPr>
      <w:tr>
        <w:trPr>
          <w:trHeight w:val="22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Randolph Altschuler</w:t>
            </w:r>
          </w:p>
        </w:tc>
      </w:tr>
      <w:tr>
        <w:trPr>
          <w:trHeight w:val="194"/>
        </w:trPr>
        <w:tc>
          <w:tcPr>
            <w:tcW w:w="520" w:type="dxa"/>
            <w:vAlign w:val="bottom"/>
          </w:tcPr>
          <w:p>
            <w:pPr>
              <w:spacing w:after="0" w:line="194" w:lineRule="exact"/>
              <w:rPr>
                <w:sz w:val="20"/>
                <w:szCs w:val="20"/>
                <w:color w:val="auto"/>
              </w:rPr>
            </w:pPr>
            <w:r>
              <w:rPr>
                <w:rFonts w:ascii="Arial" w:cs="Arial" w:eastAsia="Arial" w:hAnsi="Arial"/>
                <w:sz w:val="18"/>
                <w:szCs w:val="18"/>
                <w:color w:val="auto"/>
                <w:w w:val="94"/>
              </w:rPr>
              <w:t>Name:</w:t>
            </w:r>
          </w:p>
        </w:tc>
        <w:tc>
          <w:tcPr>
            <w:tcW w:w="3820" w:type="dxa"/>
            <w:vAlign w:val="bottom"/>
          </w:tcPr>
          <w:p>
            <w:pPr>
              <w:ind w:left="60"/>
              <w:spacing w:after="0" w:line="194" w:lineRule="exact"/>
              <w:rPr>
                <w:sz w:val="20"/>
                <w:szCs w:val="20"/>
                <w:color w:val="auto"/>
              </w:rPr>
            </w:pPr>
            <w:r>
              <w:rPr>
                <w:rFonts w:ascii="Arial" w:cs="Arial" w:eastAsia="Arial" w:hAnsi="Arial"/>
                <w:sz w:val="18"/>
                <w:szCs w:val="18"/>
                <w:color w:val="auto"/>
              </w:rPr>
              <w:t>Randolph Altschuler</w:t>
            </w:r>
          </w:p>
        </w:tc>
      </w:tr>
      <w:tr>
        <w:trPr>
          <w:trHeight w:val="22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60"/>
              <w:spacing w:after="0"/>
              <w:rPr>
                <w:sz w:val="20"/>
                <w:szCs w:val="20"/>
                <w:color w:val="auto"/>
              </w:rPr>
            </w:pPr>
            <w:r>
              <w:rPr>
                <w:rFonts w:ascii="Arial" w:cs="Arial" w:eastAsia="Arial" w:hAnsi="Arial"/>
                <w:sz w:val="18"/>
                <w:szCs w:val="18"/>
                <w:color w:val="auto"/>
                <w:w w:val="95"/>
              </w:rPr>
              <w:t>Co-Founder, Chief Executive Officer and Director</w:t>
            </w:r>
          </w:p>
        </w:tc>
      </w:tr>
    </w:tbl>
    <w:p>
      <w:pPr>
        <w:spacing w:after="0" w:line="200" w:lineRule="exact"/>
        <w:rPr>
          <w:sz w:val="20"/>
          <w:szCs w:val="20"/>
          <w:color w:val="auto"/>
        </w:rPr>
      </w:pPr>
    </w:p>
    <w:p>
      <w:pPr>
        <w:ind w:right="100" w:firstLine="544"/>
        <w:spacing w:after="0" w:line="270"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Signature</w:t>
            </w:r>
          </w:p>
        </w:tc>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7"/>
              </w:rPr>
              <w:t>Title</w:t>
            </w:r>
          </w:p>
        </w:tc>
        <w:tc>
          <w:tcPr>
            <w:tcW w:w="164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9"/>
        </w:trPr>
        <w:tc>
          <w:tcPr>
            <w:tcW w:w="3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Randolph Altschuler</w:t>
            </w: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Chief Executive Officer, Co-Founder and 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25, 2021</w:t>
            </w:r>
          </w:p>
        </w:tc>
      </w:tr>
      <w:tr>
        <w:trPr>
          <w:trHeight w:val="221"/>
        </w:trPr>
        <w:tc>
          <w:tcPr>
            <w:tcW w:w="3840" w:type="dxa"/>
            <w:vAlign w:val="bottom"/>
            <w:gridSpan w:val="3"/>
          </w:tcPr>
          <w:p>
            <w:pPr>
              <w:spacing w:after="0"/>
              <w:rPr>
                <w:sz w:val="20"/>
                <w:szCs w:val="20"/>
                <w:color w:val="auto"/>
              </w:rPr>
            </w:pPr>
            <w:r>
              <w:rPr>
                <w:rFonts w:ascii="Arial" w:cs="Arial" w:eastAsia="Arial" w:hAnsi="Arial"/>
                <w:sz w:val="18"/>
                <w:szCs w:val="18"/>
                <w:color w:val="auto"/>
              </w:rPr>
              <w:t>Randolph Altschuler</w:t>
            </w:r>
          </w:p>
        </w:tc>
        <w:tc>
          <w:tcPr>
            <w:tcW w:w="500" w:type="dxa"/>
            <w:vAlign w:val="bottom"/>
          </w:tcPr>
          <w:p>
            <w:pPr>
              <w:spacing w:after="0"/>
              <w:rPr>
                <w:sz w:val="19"/>
                <w:szCs w:val="19"/>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(Principal Executive Officer)</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3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Rallo</w:t>
            </w: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Chief Financial Officer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25, 2021</w:t>
            </w:r>
          </w:p>
        </w:tc>
      </w:tr>
      <w:tr>
        <w:trPr>
          <w:trHeight w:val="221"/>
        </w:trPr>
        <w:tc>
          <w:tcPr>
            <w:tcW w:w="3840" w:type="dxa"/>
            <w:vAlign w:val="bottom"/>
            <w:gridSpan w:val="3"/>
          </w:tcPr>
          <w:p>
            <w:pPr>
              <w:spacing w:after="0"/>
              <w:rPr>
                <w:sz w:val="20"/>
                <w:szCs w:val="20"/>
                <w:color w:val="auto"/>
              </w:rPr>
            </w:pPr>
            <w:r>
              <w:rPr>
                <w:rFonts w:ascii="Arial" w:cs="Arial" w:eastAsia="Arial" w:hAnsi="Arial"/>
                <w:sz w:val="18"/>
                <w:szCs w:val="18"/>
                <w:color w:val="auto"/>
              </w:rPr>
              <w:t>James Rallo</w:t>
            </w:r>
          </w:p>
        </w:tc>
        <w:tc>
          <w:tcPr>
            <w:tcW w:w="500" w:type="dxa"/>
            <w:vAlign w:val="bottom"/>
          </w:tcPr>
          <w:p>
            <w:pPr>
              <w:spacing w:after="0"/>
              <w:rPr>
                <w:sz w:val="19"/>
                <w:szCs w:val="19"/>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(Principal Accounting Officer)</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Chief Strategy Officer, Co-Founder and 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25, 2021</w:t>
            </w:r>
          </w:p>
        </w:tc>
      </w:tr>
      <w:tr>
        <w:trPr>
          <w:trHeight w:val="220"/>
        </w:trPr>
        <w:tc>
          <w:tcPr>
            <w:tcW w:w="3840" w:type="dxa"/>
            <w:vAlign w:val="bottom"/>
            <w:gridSpan w:val="3"/>
          </w:tcPr>
          <w:p>
            <w:pPr>
              <w:spacing w:after="0"/>
              <w:rPr>
                <w:sz w:val="20"/>
                <w:szCs w:val="20"/>
                <w:color w:val="auto"/>
              </w:rPr>
            </w:pPr>
            <w:r>
              <w:rPr>
                <w:rFonts w:ascii="Arial" w:cs="Arial" w:eastAsia="Arial" w:hAnsi="Arial"/>
                <w:sz w:val="18"/>
                <w:szCs w:val="18"/>
                <w:color w:val="auto"/>
              </w:rPr>
              <w:t>Laurence Zuriff</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Chairman and 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25, 2021</w:t>
            </w:r>
          </w:p>
        </w:tc>
      </w:tr>
      <w:tr>
        <w:trPr>
          <w:trHeight w:val="220"/>
        </w:trPr>
        <w:tc>
          <w:tcPr>
            <w:tcW w:w="3840" w:type="dxa"/>
            <w:vAlign w:val="bottom"/>
            <w:gridSpan w:val="3"/>
          </w:tcPr>
          <w:p>
            <w:pPr>
              <w:spacing w:after="0"/>
              <w:rPr>
                <w:sz w:val="20"/>
                <w:szCs w:val="20"/>
                <w:color w:val="auto"/>
              </w:rPr>
            </w:pPr>
            <w:r>
              <w:rPr>
                <w:rFonts w:ascii="Arial" w:cs="Arial" w:eastAsia="Arial" w:hAnsi="Arial"/>
                <w:sz w:val="18"/>
                <w:szCs w:val="18"/>
                <w:color w:val="auto"/>
              </w:rPr>
              <w:t>George Hornig</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25, 2021</w:t>
            </w:r>
          </w:p>
        </w:tc>
      </w:tr>
      <w:tr>
        <w:trPr>
          <w:trHeight w:val="220"/>
        </w:trPr>
        <w:tc>
          <w:tcPr>
            <w:tcW w:w="3840" w:type="dxa"/>
            <w:vAlign w:val="bottom"/>
            <w:gridSpan w:val="3"/>
          </w:tcPr>
          <w:p>
            <w:pPr>
              <w:spacing w:after="0"/>
              <w:rPr>
                <w:sz w:val="20"/>
                <w:szCs w:val="20"/>
                <w:color w:val="auto"/>
              </w:rPr>
            </w:pPr>
            <w:r>
              <w:rPr>
                <w:rFonts w:ascii="Arial" w:cs="Arial" w:eastAsia="Arial" w:hAnsi="Arial"/>
                <w:sz w:val="18"/>
                <w:szCs w:val="18"/>
                <w:color w:val="auto"/>
              </w:rPr>
              <w:t>Emily Rollins</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25, 2021</w:t>
            </w:r>
          </w:p>
        </w:tc>
      </w:tr>
      <w:tr>
        <w:trPr>
          <w:trHeight w:val="220"/>
        </w:trPr>
        <w:tc>
          <w:tcPr>
            <w:tcW w:w="3840" w:type="dxa"/>
            <w:vAlign w:val="bottom"/>
            <w:gridSpan w:val="3"/>
          </w:tcPr>
          <w:p>
            <w:pPr>
              <w:spacing w:after="0"/>
              <w:rPr>
                <w:sz w:val="20"/>
                <w:szCs w:val="20"/>
                <w:color w:val="auto"/>
              </w:rPr>
            </w:pPr>
            <w:r>
              <w:rPr>
                <w:rFonts w:ascii="Arial" w:cs="Arial" w:eastAsia="Arial" w:hAnsi="Arial"/>
                <w:sz w:val="18"/>
                <w:szCs w:val="18"/>
                <w:color w:val="auto"/>
              </w:rPr>
              <w:t>Deborah Bial</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25, 2021</w:t>
            </w:r>
          </w:p>
        </w:tc>
      </w:tr>
      <w:tr>
        <w:trPr>
          <w:trHeight w:val="220"/>
        </w:trPr>
        <w:tc>
          <w:tcPr>
            <w:tcW w:w="3840" w:type="dxa"/>
            <w:vAlign w:val="bottom"/>
            <w:gridSpan w:val="3"/>
          </w:tcPr>
          <w:p>
            <w:pPr>
              <w:spacing w:after="0"/>
              <w:rPr>
                <w:sz w:val="20"/>
                <w:szCs w:val="20"/>
                <w:color w:val="auto"/>
              </w:rPr>
            </w:pPr>
            <w:r>
              <w:rPr>
                <w:rFonts w:ascii="Arial" w:cs="Arial" w:eastAsia="Arial" w:hAnsi="Arial"/>
                <w:sz w:val="18"/>
                <w:szCs w:val="18"/>
                <w:color w:val="auto"/>
              </w:rPr>
              <w:t>Craig Driscoll</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25, 2021</w:t>
            </w:r>
          </w:p>
        </w:tc>
      </w:tr>
      <w:tr>
        <w:trPr>
          <w:trHeight w:val="220"/>
        </w:trPr>
        <w:tc>
          <w:tcPr>
            <w:tcW w:w="3840" w:type="dxa"/>
            <w:vAlign w:val="bottom"/>
            <w:gridSpan w:val="3"/>
          </w:tcPr>
          <w:p>
            <w:pPr>
              <w:spacing w:after="0"/>
              <w:rPr>
                <w:sz w:val="20"/>
                <w:szCs w:val="20"/>
                <w:color w:val="auto"/>
              </w:rPr>
            </w:pPr>
            <w:r>
              <w:rPr>
                <w:rFonts w:ascii="Arial" w:cs="Arial" w:eastAsia="Arial" w:hAnsi="Arial"/>
                <w:sz w:val="18"/>
                <w:szCs w:val="18"/>
                <w:color w:val="auto"/>
              </w:rPr>
              <w:t>Fabio Rosati</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25, 2021</w:t>
            </w:r>
          </w:p>
        </w:tc>
      </w:tr>
      <w:tr>
        <w:trPr>
          <w:trHeight w:val="220"/>
        </w:trPr>
        <w:tc>
          <w:tcPr>
            <w:tcW w:w="3840" w:type="dxa"/>
            <w:vAlign w:val="bottom"/>
            <w:gridSpan w:val="3"/>
          </w:tcPr>
          <w:p>
            <w:pPr>
              <w:spacing w:after="0"/>
              <w:rPr>
                <w:sz w:val="20"/>
                <w:szCs w:val="20"/>
                <w:color w:val="auto"/>
              </w:rPr>
            </w:pPr>
            <w:r>
              <w:rPr>
                <w:rFonts w:ascii="Arial" w:cs="Arial" w:eastAsia="Arial" w:hAnsi="Arial"/>
                <w:sz w:val="18"/>
                <w:szCs w:val="18"/>
                <w:color w:val="auto"/>
              </w:rPr>
              <w:t>Katharine Weymouth</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53"/>
        </w:trPr>
        <w:tc>
          <w:tcPr>
            <w:tcW w:w="3840" w:type="dxa"/>
            <w:vAlign w:val="bottom"/>
            <w:gridSpan w:val="3"/>
          </w:tcPr>
          <w:p>
            <w:pPr>
              <w:spacing w:after="0"/>
              <w:rPr>
                <w:sz w:val="20"/>
                <w:szCs w:val="20"/>
                <w:color w:val="auto"/>
              </w:rPr>
            </w:pPr>
            <w:r>
              <w:rPr>
                <w:rFonts w:ascii="Arial" w:cs="Arial" w:eastAsia="Arial" w:hAnsi="Arial"/>
                <w:sz w:val="18"/>
                <w:szCs w:val="18"/>
                <w:color w:val="auto"/>
              </w:rPr>
              <w:t>*By:  Randolph Altschuler</w:t>
            </w: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0"/>
        </w:trPr>
        <w:tc>
          <w:tcPr>
            <w:tcW w:w="480" w:type="dxa"/>
            <w:vAlign w:val="bottom"/>
          </w:tcPr>
          <w:p>
            <w:pPr>
              <w:spacing w:after="0"/>
              <w:rPr>
                <w:sz w:val="19"/>
                <w:szCs w:val="19"/>
                <w:color w:val="auto"/>
              </w:rPr>
            </w:pPr>
          </w:p>
        </w:tc>
        <w:tc>
          <w:tcPr>
            <w:tcW w:w="3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Attorney-in-Fact</w:t>
            </w:r>
          </w:p>
        </w:tc>
        <w:tc>
          <w:tcPr>
            <w:tcW w:w="500" w:type="dxa"/>
            <w:vAlign w:val="bottom"/>
            <w:tcBorders>
              <w:top w:val="single" w:sz="8" w:color="auto"/>
            </w:tcBorders>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59"/>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ind w:left="980"/>
              <w:spacing w:after="0"/>
              <w:rPr>
                <w:sz w:val="20"/>
                <w:szCs w:val="20"/>
                <w:color w:val="auto"/>
              </w:rPr>
            </w:pPr>
            <w:r>
              <w:rPr>
                <w:rFonts w:ascii="Arial" w:cs="Arial" w:eastAsia="Arial" w:hAnsi="Arial"/>
                <w:sz w:val="18"/>
                <w:szCs w:val="18"/>
                <w:color w:val="auto"/>
              </w:rPr>
              <w:t>II-6</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880"/>
          </w:cols>
          <w:pgMar w:left="500" w:top="268" w:right="5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236220</wp:posOffset>
            </wp:positionV>
            <wp:extent cx="1457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4"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 2021</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representatives (the “Representatives”) of the several Underwriters</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named in Schedule I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ind w:firstLine="435"/>
        <w:spacing w:after="0" w:line="296" w:lineRule="auto"/>
        <w:rPr>
          <w:sz w:val="20"/>
          <w:szCs w:val="20"/>
          <w:color w:val="auto"/>
        </w:rPr>
      </w:pPr>
      <w:r>
        <w:rPr>
          <w:rFonts w:ascii="Arial" w:cs="Arial" w:eastAsia="Arial" w:hAnsi="Arial"/>
          <w:sz w:val="16"/>
          <w:szCs w:val="16"/>
          <w:color w:val="auto"/>
        </w:rPr>
        <w:t>Xometry, Inc. a Delaware corporation (the “Company”), proposes, subject to the terms and conditions stated in this agreement (this “Agreement”), to issue and sell to the Underwriters named in Schedule I hereto (the “Underwriters”) an aggregate of [●] shares (the “Firm Shares”) and, at the election of the Underwriters, up to [●] additional shares (the “Optional Shares”) of Class A common stock, par value $0.000001 (“Stock”) of the Company. The Firm Shares and the Optional Shares that the Underwriters elect to purchase pursuant to Section 2 hereof are herein collectively called the “Shares”.</w:t>
      </w:r>
    </w:p>
    <w:p>
      <w:pPr>
        <w:spacing w:after="0" w:line="160" w:lineRule="exact"/>
        <w:rPr>
          <w:sz w:val="20"/>
          <w:szCs w:val="20"/>
          <w:color w:val="auto"/>
        </w:rPr>
      </w:pPr>
    </w:p>
    <w:p>
      <w:pPr>
        <w:ind w:left="740" w:hanging="305"/>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113" w:lineRule="exact"/>
        <w:rPr>
          <w:rFonts w:ascii="Arial" w:cs="Arial" w:eastAsia="Arial" w:hAnsi="Arial"/>
          <w:sz w:val="18"/>
          <w:szCs w:val="18"/>
          <w:color w:val="auto"/>
        </w:rPr>
      </w:pPr>
    </w:p>
    <w:p>
      <w:pPr>
        <w:ind w:left="440" w:right="120" w:firstLine="414"/>
        <w:spacing w:after="0" w:line="284" w:lineRule="auto"/>
        <w:tabs>
          <w:tab w:leader="none" w:pos="1194" w:val="left"/>
        </w:tabs>
        <w:numPr>
          <w:ilvl w:val="1"/>
          <w:numId w:val="6"/>
        </w:numPr>
        <w:rPr>
          <w:rFonts w:ascii="Arial" w:cs="Arial" w:eastAsia="Arial" w:hAnsi="Arial"/>
          <w:sz w:val="16"/>
          <w:szCs w:val="16"/>
          <w:color w:val="auto"/>
        </w:rPr>
      </w:pPr>
      <w:r>
        <w:rPr>
          <w:rFonts w:ascii="Arial" w:cs="Arial" w:eastAsia="Arial" w:hAnsi="Arial"/>
          <w:sz w:val="16"/>
          <w:szCs w:val="16"/>
          <w:color w:val="auto"/>
        </w:rPr>
        <w:t>A registration statement on Form S–1 (File No. 333-256769) (the “Initial Registration Statement”) in respect of the Shares has been filed with the Securities and Exchange Commission (the “Commission”); the Initial Registration Statement and any post-effective amendment thereto, each in the form heretofore delivered to the Representatives,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under the Act is hereinafter called a “Preliminary Prospectus”; the various parts of the Initial Registration Statement and the Rule 462(b) Registration Statement, if any, including all exhibits thereto and including the information contained in the form of final</w:t>
      </w:r>
    </w:p>
    <w:p>
      <w:pPr>
        <w:sectPr>
          <w:pgSz w:w="11900" w:h="16838" w:orient="portrait"/>
          <w:cols w:equalWidth="0" w:num="1">
            <w:col w:w="10880"/>
          </w:cols>
          <w:pgMar w:left="500" w:top="121" w:right="519" w:bottom="1440" w:gutter="0" w:footer="0" w:header="0"/>
        </w:sectPr>
      </w:pPr>
    </w:p>
    <w:bookmarkStart w:id="9" w:name="page10"/>
    <w:bookmarkEnd w:id="9"/>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1(a)(iii)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64" w:lineRule="exact"/>
        <w:rPr>
          <w:sz w:val="20"/>
          <w:szCs w:val="20"/>
          <w:color w:val="auto"/>
        </w:rPr>
      </w:pPr>
    </w:p>
    <w:p>
      <w:pPr>
        <w:ind w:firstLine="414"/>
        <w:spacing w:after="0" w:line="289" w:lineRule="auto"/>
        <w:tabs>
          <w:tab w:leader="none" w:pos="813" w:val="left"/>
        </w:tabs>
        <w:numPr>
          <w:ilvl w:val="0"/>
          <w:numId w:val="7"/>
        </w:numPr>
        <w:rPr>
          <w:rFonts w:ascii="Arial" w:cs="Arial" w:eastAsia="Arial" w:hAnsi="Arial"/>
          <w:sz w:val="16"/>
          <w:szCs w:val="16"/>
          <w:color w:val="auto"/>
        </w:rPr>
      </w:pPr>
      <w:r>
        <w:rPr>
          <w:rFonts w:ascii="Arial" w:cs="Arial" w:eastAsia="Arial" w:hAnsi="Arial"/>
          <w:sz w:val="16"/>
          <w:szCs w:val="16"/>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w:t>
      </w:r>
      <w:r>
        <w:rPr>
          <w:rFonts w:ascii="Arial" w:cs="Arial" w:eastAsia="Arial" w:hAnsi="Arial"/>
          <w:sz w:val="16"/>
          <w:szCs w:val="16"/>
          <w:b w:val="1"/>
          <w:bCs w:val="1"/>
          <w:color w:val="auto"/>
        </w:rPr>
        <w:t>;</w:t>
      </w:r>
    </w:p>
    <w:p>
      <w:pPr>
        <w:spacing w:after="0" w:line="58" w:lineRule="exact"/>
        <w:rPr>
          <w:rFonts w:ascii="Arial" w:cs="Arial" w:eastAsia="Arial" w:hAnsi="Arial"/>
          <w:sz w:val="16"/>
          <w:szCs w:val="16"/>
          <w:color w:val="auto"/>
        </w:rPr>
      </w:pPr>
    </w:p>
    <w:p>
      <w:pPr>
        <w:ind w:right="40" w:firstLine="414"/>
        <w:spacing w:after="0" w:line="265" w:lineRule="auto"/>
        <w:tabs>
          <w:tab w:leader="none" w:pos="863"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purposes of this Agreement, the “Applicable Time” is [●] 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80" w:lineRule="exact"/>
        <w:rPr>
          <w:rFonts w:ascii="Arial" w:cs="Arial" w:eastAsia="Arial" w:hAnsi="Arial"/>
          <w:sz w:val="17"/>
          <w:szCs w:val="17"/>
          <w:color w:val="auto"/>
        </w:rPr>
      </w:pPr>
    </w:p>
    <w:p>
      <w:pPr>
        <w:ind w:right="20" w:firstLine="414"/>
        <w:spacing w:after="0" w:line="300" w:lineRule="auto"/>
        <w:tabs>
          <w:tab w:leader="none" w:pos="853"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documents were filed with the Commission since the Commission’s close of business on the business day immediately prior to the date of this Agreement and prior to the execution of this Agreement, except as set forth on Schedule II(b) hereto;</w:t>
      </w:r>
    </w:p>
    <w:p>
      <w:pPr>
        <w:spacing w:after="0" w:line="45" w:lineRule="exact"/>
        <w:rPr>
          <w:rFonts w:ascii="Arial" w:cs="Arial" w:eastAsia="Arial" w:hAnsi="Arial"/>
          <w:sz w:val="17"/>
          <w:szCs w:val="17"/>
          <w:color w:val="auto"/>
        </w:rPr>
      </w:pPr>
    </w:p>
    <w:p>
      <w:pPr>
        <w:ind w:right="220" w:firstLine="414"/>
        <w:spacing w:after="0" w:line="333"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Registration Statement conforms, and the Prospectus and any further amendments or supplements to the Registration Statement and the Prospectus will conform, in all material respects to the applicable requirements of the Act and the rules and regulations of</w:t>
      </w:r>
    </w:p>
    <w:p>
      <w:pPr>
        <w:sectPr>
          <w:pgSz w:w="11900" w:h="16838" w:orient="portrait"/>
          <w:cols w:equalWidth="0" w:num="1">
            <w:col w:w="10420"/>
          </w:cols>
          <w:pgMar w:left="940" w:top="272" w:right="539" w:bottom="1440" w:gutter="0" w:footer="0" w:header="0"/>
        </w:sectPr>
      </w:pPr>
    </w:p>
    <w:bookmarkStart w:id="10" w:name="page11"/>
    <w:bookmarkEnd w:id="10"/>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83" w:lineRule="exact"/>
        <w:rPr>
          <w:sz w:val="20"/>
          <w:szCs w:val="20"/>
          <w:color w:val="auto"/>
        </w:rPr>
      </w:pPr>
    </w:p>
    <w:p>
      <w:pPr>
        <w:ind w:right="20" w:firstLine="414"/>
        <w:spacing w:after="0" w:line="282" w:lineRule="auto"/>
        <w:tabs>
          <w:tab w:leader="none" w:pos="853" w:val="left"/>
        </w:tabs>
        <w:numPr>
          <w:ilvl w:val="0"/>
          <w:numId w:val="8"/>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warrants or settlement of any restricted stock units (including any “net” or “cashless” exercises or settlements) or the award, if any, of stock options or restricted stock units or other awards, in each case, in the ordinary course of business pursuant to the Company’s equity plans that are described in the Pricing Prospectus and the Prospectus or (ii) the issuance, if any, of stock upon conversion of Company securities as described in the Pricing Prospectus and the Prospectus) or long-term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63" w:lineRule="exact"/>
        <w:rPr>
          <w:rFonts w:ascii="Arial" w:cs="Arial" w:eastAsia="Arial" w:hAnsi="Arial"/>
          <w:sz w:val="16"/>
          <w:szCs w:val="16"/>
          <w:color w:val="auto"/>
        </w:rPr>
      </w:pPr>
    </w:p>
    <w:p>
      <w:pPr>
        <w:ind w:firstLine="414"/>
        <w:spacing w:after="0" w:line="284" w:lineRule="auto"/>
        <w:tabs>
          <w:tab w:leader="none" w:pos="89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in fee simple to all real property and good and marketable title to all personal property owned by them (other than with respect to Intellectual Property, title to which is addressed exclusively in subsection (xxvii)), in each case free and clear of all liens, encumbrances and defects except such as are described in the Pricing Prospectus or such as do not materially affect the value of such property and do not materially interfere with the use made and proposed to be made of such property by the Company and, if applicable, its subsidiaries; and any real property and buildings held under lease by the Company and its subsidiaries are held by them, to the Company’s knowledge, under valid, subsisting and enforceable leases (subject to the effects of (i) bankruptcy, insolvency, fraudulent conveyance, fraudulent transfer, reorganization, moratorium or other similar laws relating to or affecting the rights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 with such exceptions as are not material and do not materially interfere with the use made of such property and buildings by the Company and its subsidiaries;</w:t>
      </w:r>
    </w:p>
    <w:p>
      <w:pPr>
        <w:sectPr>
          <w:pgSz w:w="11900" w:h="16838" w:orient="portrait"/>
          <w:cols w:equalWidth="0" w:num="1">
            <w:col w:w="10440"/>
          </w:cols>
          <w:pgMar w:left="940" w:top="272" w:right="519" w:bottom="1440" w:gutter="0" w:footer="0" w:header="0"/>
        </w:sectPr>
      </w:pPr>
    </w:p>
    <w:bookmarkStart w:id="11" w:name="page12"/>
    <w:bookmarkEnd w:id="11"/>
    <w:p>
      <w:pPr>
        <w:ind w:left="-414" w:right="60" w:firstLine="414"/>
        <w:spacing w:after="0" w:line="284" w:lineRule="auto"/>
        <w:tabs>
          <w:tab w:leader="none" w:pos="535"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has been (i) duly organized and is validly existing and in good standing under the laws of the State of Delaware, with corporate power and authority to own its properties and conduct its business as described in the Pricing Prospectus, and (ii) duly qualified as a foreign corporation for the transaction of business and is in good standing (to the extent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significant subsidiary, if any (as such term is defined in Rule 1-02 of Regulation S-X promulgated under the Act) of the Company (each, a “</w:t>
      </w:r>
      <w:r>
        <w:rPr>
          <w:rFonts w:ascii="Arial" w:cs="Arial" w:eastAsia="Arial" w:hAnsi="Arial"/>
          <w:sz w:val="16"/>
          <w:szCs w:val="16"/>
          <w:b w:val="1"/>
          <w:bCs w:val="1"/>
          <w:color w:val="auto"/>
        </w:rPr>
        <w:t>significant subsidiary</w:t>
      </w:r>
      <w:r>
        <w:rPr>
          <w:rFonts w:ascii="Arial" w:cs="Arial" w:eastAsia="Arial" w:hAnsi="Arial"/>
          <w:sz w:val="16"/>
          <w:szCs w:val="16"/>
          <w:color w:val="auto"/>
        </w:rPr>
        <w:t>”) has been duly incorporated or organized and is validly existing as a corporation or other business organization in good standing under the laws of its jurisdiction of incorporation, formation or organization, and each other jurisdiction in which it owns or leases properties or conducts any business, as applicable (to the extent such concept exists), except where the failure to be so qualified or in good standing would not, individually or in the aggregate, reasonably be expected to have a Material Adverse Effect;</w:t>
      </w:r>
    </w:p>
    <w:p>
      <w:pPr>
        <w:spacing w:after="0" w:line="64" w:lineRule="exact"/>
        <w:rPr>
          <w:rFonts w:ascii="Arial" w:cs="Arial" w:eastAsia="Arial" w:hAnsi="Arial"/>
          <w:sz w:val="16"/>
          <w:szCs w:val="16"/>
          <w:color w:val="auto"/>
        </w:rPr>
      </w:pPr>
    </w:p>
    <w:p>
      <w:pPr>
        <w:ind w:left="-414" w:right="100" w:firstLine="414"/>
        <w:spacing w:after="0" w:line="289" w:lineRule="auto"/>
        <w:tabs>
          <w:tab w:leader="none" w:pos="43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Stock contained in the Pricing Disclosure Package and the Prospectus; and all of the issued shares of capital stock of each corporate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w:t>
      </w:r>
    </w:p>
    <w:p>
      <w:pPr>
        <w:spacing w:after="0" w:line="58" w:lineRule="exact"/>
        <w:rPr>
          <w:rFonts w:ascii="Arial" w:cs="Arial" w:eastAsia="Arial" w:hAnsi="Arial"/>
          <w:sz w:val="16"/>
          <w:szCs w:val="16"/>
          <w:color w:val="auto"/>
        </w:rPr>
      </w:pPr>
    </w:p>
    <w:p>
      <w:pPr>
        <w:ind w:left="-414" w:firstLine="414"/>
        <w:spacing w:after="0" w:line="253" w:lineRule="auto"/>
        <w:tabs>
          <w:tab w:leader="none" w:pos="38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except rights that have been complied with or waived in writing as of the date of this Agreement;</w:t>
      </w:r>
    </w:p>
    <w:p>
      <w:pPr>
        <w:spacing w:after="0" w:line="83" w:lineRule="exact"/>
        <w:rPr>
          <w:rFonts w:ascii="Arial" w:cs="Arial" w:eastAsia="Arial" w:hAnsi="Arial"/>
          <w:sz w:val="18"/>
          <w:szCs w:val="18"/>
          <w:color w:val="auto"/>
        </w:rPr>
      </w:pPr>
    </w:p>
    <w:p>
      <w:pPr>
        <w:ind w:left="-414" w:right="60" w:firstLine="414"/>
        <w:spacing w:after="0" w:line="250" w:lineRule="auto"/>
        <w:tabs>
          <w:tab w:leader="none" w:pos="4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issue and sale of the Shares to be sold by the Company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or (C), for such defaults, breaches, or violations that would not, individually or in the aggregate, reasonably be expected</w:t>
      </w:r>
    </w:p>
    <w:p>
      <w:pPr>
        <w:sectPr>
          <w:pgSz w:w="11900" w:h="16838" w:orient="portrait"/>
          <w:cols w:equalWidth="0" w:num="1">
            <w:col w:w="10026"/>
          </w:cols>
          <w:pgMar w:left="1354" w:top="272" w:right="519" w:bottom="1440" w:gutter="0" w:footer="0" w:header="0"/>
        </w:sectPr>
      </w:pPr>
    </w:p>
    <w:bookmarkStart w:id="12" w:name="page13"/>
    <w:bookmarkEnd w:id="1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have a Material Adverse Effect; and no consent, approval, authorization, order, registration or qualification of or with any such court or governmental agency or body is required for the issue of the Shares to be sold by the Company and the sale of the Shares or the consummation by the Company of the transactions contemplated by this Agreement, except such as have been obtained under the Act, the approval by the Financial Industry Regulatory Authority (“FINRA”) of the underwriting terms and arrangements, the approval for listing of the Shares on The Nasdaq Stock Market LLC (the “Exchange”) and such consents, approvals, authorizations, registrations or qualifications as may be required under state securities or Blue Sky laws in connection with the purchase and distribution of the Shares by the Underwriters;</w:t>
      </w:r>
    </w:p>
    <w:p>
      <w:pPr>
        <w:spacing w:after="0" w:line="58" w:lineRule="exact"/>
        <w:rPr>
          <w:sz w:val="20"/>
          <w:szCs w:val="20"/>
          <w:color w:val="auto"/>
        </w:rPr>
      </w:pPr>
    </w:p>
    <w:p>
      <w:pPr>
        <w:ind w:right="80" w:firstLine="414"/>
        <w:spacing w:after="0" w:line="289" w:lineRule="auto"/>
        <w:tabs>
          <w:tab w:leader="none" w:pos="902"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reasonably be expected to have a Material Adverse Effect;</w:t>
      </w:r>
    </w:p>
    <w:p>
      <w:pPr>
        <w:spacing w:after="0" w:line="58" w:lineRule="exact"/>
        <w:rPr>
          <w:rFonts w:ascii="Arial" w:cs="Arial" w:eastAsia="Arial" w:hAnsi="Arial"/>
          <w:sz w:val="16"/>
          <w:szCs w:val="16"/>
          <w:color w:val="auto"/>
        </w:rPr>
      </w:pPr>
    </w:p>
    <w:p>
      <w:pPr>
        <w:ind w:right="100" w:firstLine="414"/>
        <w:spacing w:after="0" w:line="292" w:lineRule="auto"/>
        <w:tabs>
          <w:tab w:leader="none" w:pos="9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statements set forth in the Pricing Prospectus and the Prospectus under the caption “Description of Capital Stock”, insofar as they purport to constitute a summary of the terms of the Stock, under the caption “ Material U.S. Federal Income Tax Consequences to Non-U.S. Holders of our Class A Common Stock”, and under the caption “Underwriting”, insofar as they purport to describe the provisions of the laws and documents referred to therein, are accurate, complete and fair in all material respects; provided, however, that this representation and warranty shall not apply to any statements or omissions made in reliance upon and in conformity with the Underwriter Information;</w:t>
      </w:r>
    </w:p>
    <w:p>
      <w:pPr>
        <w:spacing w:after="0" w:line="54" w:lineRule="exact"/>
        <w:rPr>
          <w:rFonts w:ascii="Arial" w:cs="Arial" w:eastAsia="Arial" w:hAnsi="Arial"/>
          <w:sz w:val="16"/>
          <w:szCs w:val="16"/>
          <w:color w:val="auto"/>
        </w:rPr>
      </w:pPr>
    </w:p>
    <w:p>
      <w:pPr>
        <w:ind w:right="20" w:firstLine="414"/>
        <w:spacing w:after="0" w:line="252" w:lineRule="auto"/>
        <w:tabs>
          <w:tab w:leader="none" w:pos="9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than as set forth in the Pricing Prospectus, there are no legal, governmental proceedings (“Actions”) pending to which the Company or any of its subsidiaries or, to the Company’s knowledge, any officer or director of the Company is a party or of which any property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w:t>
      </w:r>
    </w:p>
    <w:p>
      <w:pPr>
        <w:spacing w:after="0" w:line="83" w:lineRule="exact"/>
        <w:rPr>
          <w:rFonts w:ascii="Arial" w:cs="Arial" w:eastAsia="Arial" w:hAnsi="Arial"/>
          <w:sz w:val="18"/>
          <w:szCs w:val="18"/>
          <w:color w:val="auto"/>
        </w:rPr>
      </w:pPr>
    </w:p>
    <w:p>
      <w:pPr>
        <w:ind w:right="340" w:firstLine="414"/>
        <w:spacing w:after="0" w:line="258" w:lineRule="auto"/>
        <w:tabs>
          <w:tab w:leader="none" w:pos="8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not and, immediately after giving effect to the offering and sale of the Shares and the application of the proceeds thereof, will not be an “investment company”, as such term is defined in the Investment Company Act of 1940, as amended (the “Investment Company Act”);</w:t>
      </w:r>
    </w:p>
    <w:p>
      <w:pPr>
        <w:spacing w:after="0" w:line="79" w:lineRule="exact"/>
        <w:rPr>
          <w:rFonts w:ascii="Arial" w:cs="Arial" w:eastAsia="Arial" w:hAnsi="Arial"/>
          <w:sz w:val="18"/>
          <w:szCs w:val="18"/>
          <w:color w:val="auto"/>
        </w:rPr>
      </w:pPr>
    </w:p>
    <w:p>
      <w:pPr>
        <w:ind w:right="220" w:firstLine="414"/>
        <w:spacing w:after="0" w:line="281" w:lineRule="auto"/>
        <w:tabs>
          <w:tab w:leader="none" w:pos="9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ectPr>
          <w:pgSz w:w="11900" w:h="16838" w:orient="portrait"/>
          <w:cols w:equalWidth="0" w:num="1">
            <w:col w:w="10440"/>
          </w:cols>
          <w:pgMar w:left="940" w:top="272" w:right="519" w:bottom="1440" w:gutter="0" w:footer="0" w:header="0"/>
        </w:sectPr>
      </w:pPr>
    </w:p>
    <w:bookmarkStart w:id="13" w:name="page14"/>
    <w:bookmarkEnd w:id="13"/>
    <w:p>
      <w:pPr>
        <w:ind w:left="5" w:right="100" w:firstLine="414"/>
        <w:spacing w:after="0" w:line="270" w:lineRule="auto"/>
        <w:tabs>
          <w:tab w:leader="none" w:pos="996"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KPMG LLP, who has certified certain financial statements of the Company and its subsidiaries, are independent public accountants as required by the Act and the rules and regulations of the Commission thereunder;</w:t>
      </w:r>
    </w:p>
    <w:p>
      <w:pPr>
        <w:spacing w:after="0" w:line="67" w:lineRule="exact"/>
        <w:rPr>
          <w:rFonts w:ascii="Arial" w:cs="Arial" w:eastAsia="Arial" w:hAnsi="Arial"/>
          <w:sz w:val="18"/>
          <w:szCs w:val="18"/>
          <w:color w:val="auto"/>
        </w:rPr>
      </w:pPr>
    </w:p>
    <w:p>
      <w:pPr>
        <w:ind w:left="5" w:firstLine="414"/>
        <w:spacing w:after="0" w:line="281" w:lineRule="auto"/>
        <w:tabs>
          <w:tab w:leader="none" w:pos="1042"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Securities Exchange Act of 1934, as amended (the “Exchange Act”)) that (i) complies with the requirements of the Exchange Act applicable to the Company, (ii) has been designed by the Company’s principal executive officer and principal financial officer, or under their supervision</w:t>
      </w:r>
      <w:r>
        <w:rPr>
          <w:rFonts w:ascii="Arial" w:cs="Arial" w:eastAsia="Arial" w:hAnsi="Arial"/>
          <w:sz w:val="16"/>
          <w:szCs w:val="16"/>
          <w:b w:val="1"/>
          <w:bCs w:val="1"/>
          <w:color w:val="auto"/>
        </w:rPr>
        <w:t>,</w:t>
      </w:r>
      <w:r>
        <w:rPr>
          <w:rFonts w:ascii="Arial" w:cs="Arial" w:eastAsia="Arial" w:hAnsi="Arial"/>
          <w:sz w:val="16"/>
          <w:szCs w:val="16"/>
          <w:color w:val="auto"/>
        </w:rPr>
        <w:t xml:space="preserve"> to provide reasonable assurance regarding the reliability of financial reporting and the preparation of financial statements for external purposes in accordance with U.S. generally accepted accounting principles (“GAAP”) and (iii) is sufficient to provide reasonable assurance that</w:t>
      </w:r>
    </w:p>
    <w:p>
      <w:pPr>
        <w:spacing w:after="0" w:line="3" w:lineRule="exact"/>
        <w:rPr>
          <w:rFonts w:ascii="Arial" w:cs="Arial" w:eastAsia="Arial" w:hAnsi="Arial"/>
          <w:sz w:val="16"/>
          <w:szCs w:val="16"/>
          <w:color w:val="auto"/>
        </w:rPr>
      </w:pPr>
    </w:p>
    <w:p>
      <w:pPr>
        <w:ind w:left="5" w:hanging="5"/>
        <w:spacing w:after="0" w:line="265" w:lineRule="auto"/>
        <w:tabs>
          <w:tab w:leader="none" w:pos="2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Sarbanes-Oxley Act of 2002, as amended and the rules and regulations promulgated in connection therewith (the “Sarbanes-Oxley Act”) as of an earlier date than it would otherwise be required to so comply under applicable law);</w:t>
      </w:r>
    </w:p>
    <w:p>
      <w:pPr>
        <w:spacing w:after="0" w:line="74" w:lineRule="exact"/>
        <w:rPr>
          <w:rFonts w:ascii="Arial" w:cs="Arial" w:eastAsia="Arial" w:hAnsi="Arial"/>
          <w:sz w:val="17"/>
          <w:szCs w:val="17"/>
          <w:color w:val="auto"/>
        </w:rPr>
      </w:pPr>
    </w:p>
    <w:p>
      <w:pPr>
        <w:ind w:left="5" w:right="120" w:firstLine="414"/>
        <w:spacing w:after="0" w:line="258" w:lineRule="auto"/>
        <w:tabs>
          <w:tab w:leader="none" w:pos="9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79" w:lineRule="exact"/>
        <w:rPr>
          <w:rFonts w:ascii="Arial" w:cs="Arial" w:eastAsia="Arial" w:hAnsi="Arial"/>
          <w:sz w:val="18"/>
          <w:szCs w:val="18"/>
          <w:color w:val="auto"/>
        </w:rPr>
      </w:pPr>
    </w:p>
    <w:p>
      <w:pPr>
        <w:ind w:left="5" w:right="120" w:firstLine="414"/>
        <w:spacing w:after="0" w:line="296" w:lineRule="auto"/>
        <w:tabs>
          <w:tab w:leader="none" w:pos="894"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that comply with the requirements of the Exchange Act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53" w:lineRule="exact"/>
        <w:rPr>
          <w:rFonts w:ascii="Arial" w:cs="Arial" w:eastAsia="Arial" w:hAnsi="Arial"/>
          <w:sz w:val="16"/>
          <w:szCs w:val="16"/>
          <w:color w:val="auto"/>
        </w:rPr>
      </w:pPr>
    </w:p>
    <w:p>
      <w:pPr>
        <w:ind w:left="945" w:hanging="526"/>
        <w:spacing w:after="0"/>
        <w:tabs>
          <w:tab w:leader="none" w:pos="9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3" w:lineRule="exact"/>
        <w:rPr>
          <w:rFonts w:ascii="Arial" w:cs="Arial" w:eastAsia="Arial" w:hAnsi="Arial"/>
          <w:sz w:val="18"/>
          <w:szCs w:val="18"/>
          <w:color w:val="auto"/>
        </w:rPr>
      </w:pPr>
    </w:p>
    <w:p>
      <w:pPr>
        <w:ind w:left="5" w:firstLine="414"/>
        <w:spacing w:after="0" w:line="284" w:lineRule="auto"/>
        <w:tabs>
          <w:tab w:leader="none" w:pos="996" w:val="left"/>
        </w:tabs>
        <w:numPr>
          <w:ilvl w:val="1"/>
          <w:numId w:val="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employee, agent,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U.S. Foreign Corrupt Practices Act of 1977, as amended, the Bribery Act 2010 of the United Kingdom, to the extent applicable, or any other applicable anti-corruption, anti-bribery or related law, statute or regulation (collectively, “Anti-Corruption Laws”); the Company and its subsidiaries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Anti-Corruption Laws;</w:t>
      </w:r>
    </w:p>
    <w:p>
      <w:pPr>
        <w:sectPr>
          <w:pgSz w:w="11900" w:h="16838" w:orient="portrait"/>
          <w:cols w:equalWidth="0" w:num="1">
            <w:col w:w="10425"/>
          </w:cols>
          <w:pgMar w:left="935" w:top="272" w:right="539" w:bottom="1440" w:gutter="0" w:footer="0" w:header="0"/>
        </w:sectPr>
      </w:pPr>
    </w:p>
    <w:bookmarkStart w:id="14" w:name="page15"/>
    <w:bookmarkEnd w:id="14"/>
    <w:p>
      <w:pPr>
        <w:ind w:left="-414" w:firstLine="414"/>
        <w:spacing w:after="0" w:line="268" w:lineRule="auto"/>
        <w:tabs>
          <w:tab w:leader="none" w:pos="624"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73" w:lineRule="exact"/>
        <w:rPr>
          <w:rFonts w:ascii="Arial" w:cs="Arial" w:eastAsia="Arial" w:hAnsi="Arial"/>
          <w:sz w:val="17"/>
          <w:szCs w:val="17"/>
          <w:color w:val="auto"/>
        </w:rPr>
      </w:pPr>
    </w:p>
    <w:p>
      <w:pPr>
        <w:ind w:left="-414" w:right="20" w:firstLine="414"/>
        <w:spacing w:after="0" w:line="282" w:lineRule="auto"/>
        <w:tabs>
          <w:tab w:leader="none" w:pos="617"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(ii) located, organized, or resident in a country or territory that is the subject or target of Sanctions broadly prohibiting dealings with such country or territory (currently, Crimea, Cuba, Iran, North Korea and Syria) (each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prohibiting such funding or (ii) in any other manner that will result in a violation by any person (including any person participating in the transaction, whether as underwriter, advisor, investor or otherwise) of Sanctions; neither the Company nor any of its subsidiaries is engaged in, or has, at any time in the past five years, engaged in, any dealings or transactions with or involving any individual or entity that was or is, as applicable, at the time of such dealing or transaction, the subject or target of Sanctions prohibiting such dealing or transaction or with any Sanctioned Jurisdiction; the Company and its subsidiaries have instituted, and maintain, policies and procedures designed to promote and achieve continued compliance with Sanctions;</w:t>
      </w:r>
    </w:p>
    <w:p>
      <w:pPr>
        <w:spacing w:after="0" w:line="66" w:lineRule="exact"/>
        <w:rPr>
          <w:rFonts w:ascii="Arial" w:cs="Arial" w:eastAsia="Arial" w:hAnsi="Arial"/>
          <w:sz w:val="16"/>
          <w:szCs w:val="16"/>
          <w:color w:val="auto"/>
        </w:rPr>
      </w:pPr>
    </w:p>
    <w:p>
      <w:pPr>
        <w:ind w:left="-414" w:right="20" w:firstLine="414"/>
        <w:spacing w:after="0" w:line="252" w:lineRule="auto"/>
        <w:tabs>
          <w:tab w:leader="none" w:pos="5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GAAP applied on a consistent basis throughout the periods involved. The supporting schedules, if any, present fairly in accordance with GAAP the information required to be stated therein. The summary financial information included in the Registration Statement,</w:t>
      </w:r>
    </w:p>
    <w:p>
      <w:pPr>
        <w:sectPr>
          <w:pgSz w:w="11900" w:h="16838" w:orient="portrait"/>
          <w:cols w:equalWidth="0" w:num="1">
            <w:col w:w="10026"/>
          </w:cols>
          <w:pgMar w:left="1354" w:top="272" w:right="519" w:bottom="1440" w:gutter="0" w:footer="0" w:header="0"/>
        </w:sectPr>
      </w:pPr>
    </w:p>
    <w:bookmarkStart w:id="15" w:name="page16"/>
    <w:bookmarkEnd w:id="1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58" w:lineRule="exact"/>
        <w:rPr>
          <w:sz w:val="20"/>
          <w:szCs w:val="20"/>
          <w:color w:val="auto"/>
        </w:rPr>
      </w:pPr>
    </w:p>
    <w:p>
      <w:pPr>
        <w:ind w:right="20" w:firstLine="414"/>
        <w:spacing w:after="0" w:line="281" w:lineRule="auto"/>
        <w:tabs>
          <w:tab w:leader="none" w:pos="10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as disclosed in the Pricing Prospectus and Prospectus, and except as would not reasonably be expected to have a Material Adverse Effect, the Company and each of its subsidiaries (i) own, otherwise possess, or to the Company’s knowledge, can obtain on reasonable terms, adequate rights to use all patents, trademarks, service marks, trade names, domain names and other source identifiers, social media identifiers and accounts, inventions, copyrights and copyrightable works, licenses, know-how, software, systems, technology and all other intellectual property (including trade secrets and other unpatented and/or unpatentable proprietary or confidential information, systems or procedures, and including all registrations and applications for, and goodwill associated with, any of the foregoing) (collectively, “Intellectual Property Rights”) necessary for, used in or held for use in the conduct of their respective businesses, in each case, free and clear of all material liens, encumbrances, defects or other restrictions, and all such Intellectual Property Rights are valid, subsisting and enforceable, (ii) through the conduct of their respective businesses, to the Company’s knowledge do not infringe, misappropriate, conflict with or otherwise violate, and have not infringed, misappropriated, conflicted with or otherwise violated, the valid claims of any Intellectual Property Rights of others, and (iii) have not received any written notice of, and there is no pending or, to the Company’s knowledge, threatened action, suit, proceeding or claim, asserting infringement, misappropriation, conflict with or other violation of any Intellectual Property Rights of others or challenging the Company’s or any of its subsidiaries’ rights in or to, or the enforceability, validity or scope of, any of the Company Intellectual Property. The Company and each of its subsidiaries have taken commercially reasonable measures to protect their rights in confidential information and trade secrets. The Company and each of its subsidiaries have complied in all material respects with all agreements governing the protection of confidential information provided to them by any other party. The employees, consultants and contractors of the Company and each of its subsidiaries have each signed a confidentiality and invention assignment agreement that presently assign all rights, title, and interest in and to any Intellectual Property Rights developed in the scope of their employment to the Company or its applicable subsidiary. Contractors and consultants involved in the development of Intellectual Property Rights have each signed an agreement that presently assigns, to the Company or its applicable subsidiary, all of their rights, title, and interest in and to any Intellectual Property Rights;</w:t>
      </w:r>
    </w:p>
    <w:p>
      <w:pPr>
        <w:spacing w:after="0" w:line="68" w:lineRule="exact"/>
        <w:rPr>
          <w:rFonts w:ascii="Arial" w:cs="Arial" w:eastAsia="Arial" w:hAnsi="Arial"/>
          <w:sz w:val="16"/>
          <w:szCs w:val="16"/>
          <w:color w:val="auto"/>
        </w:rPr>
      </w:pPr>
    </w:p>
    <w:p>
      <w:pPr>
        <w:ind w:right="160" w:firstLine="414"/>
        <w:spacing w:after="0" w:line="252"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(“Open Source Software”) in compliance with all license terms applicable to such Open Source Software, except where the failure to comply would not reasonably be expected to have a Material Adverse Effect on the Company and its subsidiaries, taken as a whole, (ii) neither the Company nor any of its subsidiaries use or distribute or have used or distributed any Open Source Software in any</w:t>
      </w:r>
    </w:p>
    <w:p>
      <w:pPr>
        <w:sectPr>
          <w:pgSz w:w="11900" w:h="16838" w:orient="portrait"/>
          <w:cols w:equalWidth="0" w:num="1">
            <w:col w:w="10400"/>
          </w:cols>
          <w:pgMar w:left="940" w:top="272" w:right="559" w:bottom="1440" w:gutter="0" w:footer="0" w:header="0"/>
        </w:sectPr>
      </w:pPr>
    </w:p>
    <w:bookmarkStart w:id="16" w:name="page17"/>
    <w:bookmarkEnd w:id="16"/>
    <w:p>
      <w:pPr>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manner that, to the knowledge of the Company, requires or has required (A) the Company or its subsidiaries to permit reverse-engineering of any software code or other technology owned by the Company or its subsidiaries or (B) any software code or other technology owned by the Company or its subsidiaries to be disclosed or distributed in source code form, licensed for the purpose of making derivative works or redistributed at no charge, and (iii) neither the Company nor any of its subsidiaries has deposited into escrow the source code of any of its software and no such source code has been released to any third party, or is entitled to be released to any third party, by any escrow agent;</w:t>
      </w:r>
    </w:p>
    <w:p>
      <w:pPr>
        <w:spacing w:after="0" w:line="55" w:lineRule="exact"/>
        <w:rPr>
          <w:sz w:val="20"/>
          <w:szCs w:val="20"/>
          <w:color w:val="auto"/>
        </w:rPr>
      </w:pPr>
    </w:p>
    <w:p>
      <w:pPr>
        <w:ind w:firstLine="414"/>
        <w:spacing w:after="0" w:line="264" w:lineRule="auto"/>
        <w:tabs>
          <w:tab w:leader="none" w:pos="1129"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to the knowledge of the Company; (ii) the Company and its subsidiaries have implemented and maintained reasonable controls, policies, procedures, and safeguards designed to maintain and protect their material confidential information and the integrity, continuous operation, redundancy and security of all IT Systems and data (including all personal, personally identifiable, sensitive, confidential or regulated data and such data of their respective customers, employees, suppliers, vendors and any third-party data maintained by or on behalf of them (“Personal Data”)) collected, processed, stored, transmitted or otherwise used in connection with their businesses, and there have been no breaches, violations, outages, unauthorized uses of or accesses to, or other compromises of same, except for those that have been remedied without material cost or liability or the duty to notify any other person, nor any incidents under internal review or investigations relating to the same; (iii)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collection, processing, storage, transmission and other use, privacy and security of IT Systems and Personal Data and to the protection of such IT Systems and Personal Data from unauthorized use, access, misappropriation or modification;</w:t>
      </w:r>
    </w:p>
    <w:p>
      <w:pPr>
        <w:spacing w:after="0" w:line="83" w:lineRule="exact"/>
        <w:rPr>
          <w:rFonts w:ascii="Arial" w:cs="Arial" w:eastAsia="Arial" w:hAnsi="Arial"/>
          <w:sz w:val="17"/>
          <w:szCs w:val="17"/>
          <w:color w:val="auto"/>
        </w:rPr>
      </w:pPr>
    </w:p>
    <w:p>
      <w:pPr>
        <w:ind w:right="100" w:firstLine="414"/>
        <w:spacing w:after="0" w:line="284" w:lineRule="auto"/>
        <w:tabs>
          <w:tab w:leader="none" w:pos="10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The Company and its subsidiaries have complied, and are presently in compliance, in all material respects, with all internal and external privacy policies, contractual obligations, industry standards, applicable laws, statutes, judgments, orders, rules and regulations of any court or arbitrator or other governmental or regulatory authority and any legal obligations regarding the collection, use, transfer, import, export, storage, protection, disposal and disclosure by the Company and its subsidiaries of Personal Data (“Data Security Obligations”); (ii) neither the Company nor any of its subsidiaries has received any notification of or complaint regarding, and are aware of any other facts that, individually or in the aggregate, would reasonably indicate non-compliance with any Data Security Obligation; and (iii) there is no pending, or to the knowledge of the Company, threatened, action, suit or proceeding by or before any court or governmental agency, authority or body pending or threatened alleging non-compliance with any Data Security Obligation. The Company and its subsidiaries have at all times taken steps reasonably necessary in accordance with industry standard practices (including, without limitation, implementing and monitoring compliance with adequate measures with respect to technical and physical security) to protect such information against loss and against unauthorized access, use, modification, disclosure or other misuse, except in each case to the extent that the failure to do so would not reasonably be expected to have a material</w:t>
      </w:r>
    </w:p>
    <w:p>
      <w:pPr>
        <w:sectPr>
          <w:pgSz w:w="11900" w:h="16838" w:orient="portrait"/>
          <w:cols w:equalWidth="0" w:num="1">
            <w:col w:w="10440"/>
          </w:cols>
          <w:pgMar w:left="940" w:top="272" w:right="519" w:bottom="1440" w:gutter="0" w:footer="0" w:header="0"/>
        </w:sectPr>
      </w:pPr>
    </w:p>
    <w:bookmarkStart w:id="17" w:name="page18"/>
    <w:bookmarkEnd w:id="17"/>
    <w:p>
      <w:pPr>
        <w:jc w:val="both"/>
        <w:ind w:right="2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adverse effect on the Company and its subsidiaries, taken as a whole. To the knowledge of the Company, except as disclosed in the Registration Statement or the Prospectus or as would not individually or in the aggregate have a material adverse effect on the Company and its subsidiaries, taken as a whole, there has been no unauthorized access to such information.</w:t>
      </w:r>
    </w:p>
    <w:p>
      <w:pPr>
        <w:spacing w:after="0" w:line="80" w:lineRule="exact"/>
        <w:rPr>
          <w:sz w:val="20"/>
          <w:szCs w:val="20"/>
          <w:color w:val="auto"/>
        </w:rPr>
      </w:pPr>
    </w:p>
    <w:p>
      <w:pPr>
        <w:ind w:right="280" w:firstLine="414"/>
        <w:spacing w:after="0" w:line="258" w:lineRule="auto"/>
        <w:tabs>
          <w:tab w:leader="none" w:pos="9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w:t>
      </w:r>
    </w:p>
    <w:p>
      <w:pPr>
        <w:spacing w:after="0" w:line="79" w:lineRule="exact"/>
        <w:rPr>
          <w:rFonts w:ascii="Arial" w:cs="Arial" w:eastAsia="Arial" w:hAnsi="Arial"/>
          <w:sz w:val="18"/>
          <w:szCs w:val="18"/>
          <w:color w:val="auto"/>
        </w:rPr>
      </w:pPr>
    </w:p>
    <w:p>
      <w:pPr>
        <w:ind w:firstLine="414"/>
        <w:spacing w:after="0" w:line="269" w:lineRule="auto"/>
        <w:tabs>
          <w:tab w:leader="none" w:pos="1031" w:val="left"/>
        </w:tabs>
        <w:numPr>
          <w:ilvl w:val="0"/>
          <w:numId w:val="16"/>
        </w:numPr>
        <w:rPr>
          <w:rFonts w:ascii="Arial" w:cs="Arial" w:eastAsia="Arial" w:hAnsi="Arial"/>
          <w:sz w:val="17"/>
          <w:szCs w:val="17"/>
          <w:color w:val="auto"/>
        </w:rPr>
      </w:pPr>
      <w:r>
        <w:rPr>
          <w:rFonts w:ascii="Arial" w:cs="Arial" w:eastAsia="Arial" w:hAnsi="Arial"/>
          <w:sz w:val="17"/>
          <w:szCs w:val="17"/>
          <w:color w:val="auto"/>
        </w:rPr>
        <w:t>Since the date as of which applicable information is given in the Pricing Prospectus and Prospectus, and except as may otherwise be disclosed in the Pricing Prospectus and Prospectus, the Company has not (i) issued or granted any securities, other than pursuant to employee benefit plans, stock option plans or other employee compensation plans or pursuant to the exercise of outstanding options or warrants or settlement of other outstanding rights granted thereunder, (ii) incurred any liability or obligation, direct or contingent, other than liabilities and obligations which were incurred in the ordinary course of business, (iii) entered into any material transaction not in the ordinary course of business or (iv) declared or paid any dividends on its capital stock;</w:t>
      </w:r>
    </w:p>
    <w:p>
      <w:pPr>
        <w:spacing w:after="0" w:line="73" w:lineRule="exact"/>
        <w:rPr>
          <w:rFonts w:ascii="Arial" w:cs="Arial" w:eastAsia="Arial" w:hAnsi="Arial"/>
          <w:sz w:val="17"/>
          <w:szCs w:val="17"/>
          <w:color w:val="auto"/>
        </w:rPr>
      </w:pPr>
    </w:p>
    <w:p>
      <w:pPr>
        <w:ind w:right="240" w:firstLine="414"/>
        <w:spacing w:after="0" w:line="25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the Company believes, after reasonable inquiry, are reliable and accurate in all material respects;</w:t>
      </w:r>
    </w:p>
    <w:p>
      <w:pPr>
        <w:spacing w:after="0" w:line="79" w:lineRule="exact"/>
        <w:rPr>
          <w:rFonts w:ascii="Arial" w:cs="Arial" w:eastAsia="Arial" w:hAnsi="Arial"/>
          <w:sz w:val="18"/>
          <w:szCs w:val="18"/>
          <w:color w:val="auto"/>
        </w:rPr>
      </w:pPr>
    </w:p>
    <w:p>
      <w:pPr>
        <w:ind w:left="1120" w:hanging="706"/>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60" w:firstLine="414"/>
        <w:spacing w:after="0" w:line="258" w:lineRule="auto"/>
        <w:tabs>
          <w:tab w:leader="none" w:pos="11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Company nor any of its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w:t>
      </w:r>
    </w:p>
    <w:p>
      <w:pPr>
        <w:spacing w:after="0" w:line="79" w:lineRule="exact"/>
        <w:rPr>
          <w:rFonts w:ascii="Arial" w:cs="Arial" w:eastAsia="Arial" w:hAnsi="Arial"/>
          <w:sz w:val="18"/>
          <w:szCs w:val="18"/>
          <w:color w:val="auto"/>
        </w:rPr>
      </w:pPr>
    </w:p>
    <w:p>
      <w:pPr>
        <w:ind w:right="20" w:firstLine="414"/>
        <w:spacing w:after="0" w:line="268" w:lineRule="auto"/>
        <w:tabs>
          <w:tab w:leader="none" w:pos="106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and each of its subsidiaries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reasonably be expected to have a Material Adverse Effect. Neither the Company nor any of its subsidiaries has received notice of any proceedings related to the revocation or modification of any such Permits that, individually or in the aggregate, if the subject of an unfavorable decision, ruling or finding, would reasonably expected to have a Material Adverse Effect;</w:t>
      </w:r>
    </w:p>
    <w:p>
      <w:pPr>
        <w:spacing w:after="0" w:line="73" w:lineRule="exact"/>
        <w:rPr>
          <w:rFonts w:ascii="Arial" w:cs="Arial" w:eastAsia="Arial" w:hAnsi="Arial"/>
          <w:sz w:val="17"/>
          <w:szCs w:val="17"/>
          <w:color w:val="auto"/>
        </w:rPr>
      </w:pPr>
    </w:p>
    <w:p>
      <w:pPr>
        <w:jc w:val="both"/>
        <w:ind w:right="100" w:firstLine="414"/>
        <w:spacing w:after="0" w:line="255" w:lineRule="auto"/>
        <w:tabs>
          <w:tab w:leader="none" w:pos="11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and its subsidiaries, taken as a whole, are insured by insurers of recognized financial responsibility against such losses and risks and in such amounts as are, in the Company’s reasonable judgment, prudent and customary in the businesses in which they are engaged and as required by law; and the Company has no reason to believe that it will not be able to renew its existing insurance coverage as and when such coverage expires or to obtains similar coverage from similar insurers;</w:t>
      </w:r>
    </w:p>
    <w:p>
      <w:pPr>
        <w:sectPr>
          <w:pgSz w:w="11900" w:h="16838" w:orient="portrait"/>
          <w:cols w:equalWidth="0" w:num="1">
            <w:col w:w="10440"/>
          </w:cols>
          <w:pgMar w:left="940" w:top="272" w:right="519" w:bottom="1440" w:gutter="0" w:footer="0" w:header="0"/>
        </w:sectPr>
      </w:pPr>
    </w:p>
    <w:bookmarkStart w:id="18" w:name="page19"/>
    <w:bookmarkEnd w:id="18"/>
    <w:p>
      <w:pPr>
        <w:ind w:left="5" w:right="20" w:firstLine="414"/>
        <w:spacing w:after="0" w:line="270" w:lineRule="auto"/>
        <w:tabs>
          <w:tab w:leader="none" w:pos="1170"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There are no contracts or other documents of a character required to be described in the Registration Statement or to be filed as an exhibit to the Registration Statement that are not described or filed as required;</w:t>
      </w:r>
    </w:p>
    <w:p>
      <w:pPr>
        <w:spacing w:after="0" w:line="67" w:lineRule="exact"/>
        <w:rPr>
          <w:rFonts w:ascii="Arial" w:cs="Arial" w:eastAsia="Arial" w:hAnsi="Arial"/>
          <w:sz w:val="18"/>
          <w:szCs w:val="18"/>
          <w:color w:val="auto"/>
        </w:rPr>
      </w:pPr>
    </w:p>
    <w:p>
      <w:pPr>
        <w:jc w:val="both"/>
        <w:ind w:left="5" w:right="100" w:firstLine="414"/>
        <w:spacing w:after="0" w:line="258" w:lineRule="auto"/>
        <w:tabs>
          <w:tab w:leader="none" w:pos="12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and its subsidiaries have no off-balance sheet arrangements (as defined in Regulation S-K Item 303(a)(4)(ii)) that may have a material current or future effect on the Company’s financial condition, changes in financial condition, results of operations, liquidity, capital expenditures or capital resources;</w:t>
      </w:r>
    </w:p>
    <w:p>
      <w:pPr>
        <w:spacing w:after="0" w:line="79" w:lineRule="exact"/>
        <w:rPr>
          <w:rFonts w:ascii="Arial" w:cs="Arial" w:eastAsia="Arial" w:hAnsi="Arial"/>
          <w:sz w:val="18"/>
          <w:szCs w:val="18"/>
          <w:color w:val="auto"/>
        </w:rPr>
      </w:pPr>
    </w:p>
    <w:p>
      <w:pPr>
        <w:ind w:left="5" w:right="60" w:firstLine="414"/>
        <w:spacing w:after="0" w:line="282" w:lineRule="auto"/>
        <w:tabs>
          <w:tab w:leader="none" w:pos="1124" w:val="left"/>
        </w:tabs>
        <w:numPr>
          <w:ilvl w:val="1"/>
          <w:numId w:val="17"/>
        </w:numPr>
        <w:rPr>
          <w:rFonts w:ascii="Arial" w:cs="Arial" w:eastAsia="Arial" w:hAnsi="Arial"/>
          <w:sz w:val="16"/>
          <w:szCs w:val="16"/>
          <w:color w:val="auto"/>
        </w:rPr>
      </w:pPr>
      <w:r>
        <w:rPr>
          <w:rFonts w:ascii="Arial" w:cs="Arial" w:eastAsia="Arial" w:hAnsi="Arial"/>
          <w:sz w:val="16"/>
          <w:szCs w:val="16"/>
          <w:color w:val="auto"/>
        </w:rPr>
        <w:t>(1) Neither the Company nor any of its subsidiaries is in material violation of any applicable statute, law, rule, regulation, ordinance, code, rule of common law or order of or with any governmental agency or body or any court, domestic or foreign, relating to the use, management, disposal or release of hazardous or toxic substances or wastes or relating to pollution or the protection of the environment or human health or relating to exposure to hazardous or toxic substances or wastes (collectively, “Environmental Laws”) applicable to such entity,</w:t>
      </w:r>
    </w:p>
    <w:p>
      <w:pPr>
        <w:spacing w:after="0" w:line="2" w:lineRule="exact"/>
        <w:rPr>
          <w:rFonts w:ascii="Arial" w:cs="Arial" w:eastAsia="Arial" w:hAnsi="Arial"/>
          <w:sz w:val="16"/>
          <w:szCs w:val="16"/>
          <w:color w:val="auto"/>
        </w:rPr>
      </w:pPr>
    </w:p>
    <w:p>
      <w:pPr>
        <w:ind w:left="5" w:hanging="5"/>
        <w:spacing w:after="0" w:line="249" w:lineRule="auto"/>
        <w:tabs>
          <w:tab w:leader="none" w:pos="2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received any written claim, written request for information or written notice of liability or investigation arising under, relating to or based upon any Environmental Laws, and (3) neither the Company nor any of its subsidiaries is aware of any pending or threatened notice, claim, proceeding or investigation which might lead to liability under Environmental Laws, except, in each case, where the failure to comply or the potential liability or obligation would not, individually or in the aggregate, be reasonably expected to have a Material Adverse Effect;</w:t>
      </w:r>
    </w:p>
    <w:p>
      <w:pPr>
        <w:spacing w:after="0" w:line="87" w:lineRule="exact"/>
        <w:rPr>
          <w:sz w:val="20"/>
          <w:szCs w:val="20"/>
          <w:color w:val="auto"/>
        </w:rPr>
      </w:pPr>
    </w:p>
    <w:p>
      <w:pPr>
        <w:ind w:left="5" w:right="140" w:firstLine="418"/>
        <w:spacing w:after="0" w:line="255" w:lineRule="auto"/>
        <w:rPr>
          <w:sz w:val="20"/>
          <w:szCs w:val="20"/>
          <w:color w:val="auto"/>
        </w:rPr>
      </w:pPr>
      <w:r>
        <w:rPr>
          <w:rFonts w:ascii="Arial" w:cs="Arial" w:eastAsia="Arial" w:hAnsi="Arial"/>
          <w:sz w:val="18"/>
          <w:szCs w:val="18"/>
          <w:color w:val="auto"/>
        </w:rPr>
        <w:t>(xl) No material labor dispute with or disturbance by the employees of the Company or any of its subsidiaries exists or is threatened, and neither the Company nor any of its subsidiaries has received written notice of any pending or threatened activities or proceedings by any labor union or similar entity to organize any employees of the Company or its subsidiaries that, individually or in the aggregate, would reasonably be expected to have a Material Adverse Effect;</w:t>
      </w:r>
    </w:p>
    <w:p>
      <w:pPr>
        <w:spacing w:after="0" w:line="81" w:lineRule="exact"/>
        <w:rPr>
          <w:sz w:val="20"/>
          <w:szCs w:val="20"/>
          <w:color w:val="auto"/>
        </w:rPr>
      </w:pPr>
    </w:p>
    <w:p>
      <w:pPr>
        <w:ind w:left="5" w:right="180" w:firstLine="418"/>
        <w:spacing w:after="0" w:line="281" w:lineRule="auto"/>
        <w:rPr>
          <w:sz w:val="20"/>
          <w:szCs w:val="20"/>
          <w:color w:val="auto"/>
        </w:rPr>
      </w:pPr>
      <w:r>
        <w:rPr>
          <w:rFonts w:ascii="Arial" w:cs="Arial" w:eastAsia="Arial" w:hAnsi="Arial"/>
          <w:sz w:val="17"/>
          <w:szCs w:val="17"/>
          <w:color w:val="auto"/>
        </w:rPr>
        <w:t>(xli) Except as described in the Pricing Prospectus and the Prospectus, there are no contracts, agreements or understandings between the Company nor any of its subsidiaries and any person that would give rise to a valid claim against the Company or any of its subsidiaries or any Underwriter for a brokerage commission, finder’s fee or other like payment in connection with this offering;</w:t>
      </w:r>
    </w:p>
    <w:p>
      <w:pPr>
        <w:spacing w:after="0" w:line="61" w:lineRule="exact"/>
        <w:rPr>
          <w:sz w:val="20"/>
          <w:szCs w:val="20"/>
          <w:color w:val="auto"/>
        </w:rPr>
      </w:pPr>
    </w:p>
    <w:p>
      <w:pPr>
        <w:ind w:left="5" w:right="220" w:firstLine="418"/>
        <w:spacing w:after="0" w:line="281" w:lineRule="auto"/>
        <w:rPr>
          <w:sz w:val="20"/>
          <w:szCs w:val="20"/>
          <w:color w:val="auto"/>
        </w:rPr>
      </w:pPr>
      <w:r>
        <w:rPr>
          <w:rFonts w:ascii="Arial" w:cs="Arial" w:eastAsia="Arial" w:hAnsi="Arial"/>
          <w:sz w:val="17"/>
          <w:szCs w:val="17"/>
          <w:color w:val="auto"/>
        </w:rPr>
        <w:t>(xlii) The Company has not, directly or indirectly, including through any subsidiary, extended or maintained credit, or arranged for the extension of credit, or renewed any extension of credit, in the form of a personal loan to or for any of its directors or executive officers that was outstanding at or after the time of the first filing of the Registration Statement with the Commission;</w:t>
      </w:r>
    </w:p>
    <w:p>
      <w:pPr>
        <w:spacing w:after="0" w:line="61" w:lineRule="exact"/>
        <w:rPr>
          <w:sz w:val="20"/>
          <w:szCs w:val="20"/>
          <w:color w:val="auto"/>
        </w:rPr>
      </w:pPr>
    </w:p>
    <w:p>
      <w:pPr>
        <w:jc w:val="both"/>
        <w:ind w:left="5" w:right="340" w:firstLine="418"/>
        <w:spacing w:after="0" w:line="258" w:lineRule="auto"/>
        <w:rPr>
          <w:sz w:val="20"/>
          <w:szCs w:val="20"/>
          <w:color w:val="auto"/>
        </w:rPr>
      </w:pPr>
      <w:r>
        <w:rPr>
          <w:rFonts w:ascii="Arial" w:cs="Arial" w:eastAsia="Arial" w:hAnsi="Arial"/>
          <w:sz w:val="18"/>
          <w:szCs w:val="18"/>
          <w:color w:val="auto"/>
        </w:rPr>
        <w:t>(xliii) 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Shares;</w:t>
      </w:r>
    </w:p>
    <w:p>
      <w:pPr>
        <w:spacing w:after="0" w:line="80" w:lineRule="exact"/>
        <w:rPr>
          <w:sz w:val="20"/>
          <w:szCs w:val="20"/>
          <w:color w:val="auto"/>
        </w:rPr>
      </w:pPr>
    </w:p>
    <w:p>
      <w:pPr>
        <w:ind w:left="5" w:right="200" w:firstLine="418"/>
        <w:spacing w:after="0" w:line="255" w:lineRule="auto"/>
        <w:rPr>
          <w:sz w:val="20"/>
          <w:szCs w:val="20"/>
          <w:color w:val="auto"/>
        </w:rPr>
      </w:pPr>
      <w:r>
        <w:rPr>
          <w:rFonts w:ascii="Arial" w:cs="Arial" w:eastAsia="Arial" w:hAnsi="Arial"/>
          <w:sz w:val="18"/>
          <w:szCs w:val="18"/>
          <w:color w:val="auto"/>
        </w:rPr>
        <w:t>(xliv) Except as described in the Pricing Prospectus and the Prospectus, the Company has not sold or issued any shares of capital stock during the six-month period preceding the date of the Prospectus, including any sales pursuant to Rule 144A under, or Regulation D or S of, the Act, other than shares issued pursuant to employee benefit plans, stock option plans or other employee compensation plans or pursuant to outstanding options, rights or warrants;</w:t>
      </w:r>
    </w:p>
    <w:p>
      <w:pPr>
        <w:sectPr>
          <w:pgSz w:w="11900" w:h="16838" w:orient="portrait"/>
          <w:cols w:equalWidth="0" w:num="1">
            <w:col w:w="10425"/>
          </w:cols>
          <w:pgMar w:left="935" w:top="272" w:right="539" w:bottom="1440" w:gutter="0" w:footer="0" w:header="0"/>
        </w:sectPr>
      </w:pPr>
    </w:p>
    <w:bookmarkStart w:id="19" w:name="page20"/>
    <w:bookmarkEnd w:id="19"/>
    <w:p>
      <w:pPr>
        <w:ind w:left="5" w:right="40" w:firstLine="418"/>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(xlv) The Company and each of its subsidiaries have filed all federal, state, local and foreign tax returns required to be filed through the date of this Agreement or have requested extensions thereof (except where the failure to file would not, individually or in the aggregate, reasonably be expected to have a Material Adverse Effect) and have paid all taxes required to be paid thereon (except for cases in which the failure to file or pay would not reasonably be expected to have a Material Adverse Effect,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nor any of its subsidiaries have any written notice or knowledge of any tax deficiency which could reasonably be expected to be determined adversely to the Company or its subsidiaries and which could reasonably be expected to have) a Material Adverse Effect;</w:t>
      </w:r>
    </w:p>
    <w:p>
      <w:pPr>
        <w:spacing w:after="0" w:line="75" w:lineRule="exact"/>
        <w:rPr>
          <w:sz w:val="20"/>
          <w:szCs w:val="20"/>
          <w:color w:val="auto"/>
        </w:rPr>
      </w:pPr>
    </w:p>
    <w:p>
      <w:pPr>
        <w:ind w:left="5" w:firstLine="418"/>
        <w:spacing w:after="0" w:line="258" w:lineRule="auto"/>
        <w:rPr>
          <w:sz w:val="20"/>
          <w:szCs w:val="20"/>
          <w:color w:val="auto"/>
        </w:rPr>
      </w:pPr>
      <w:r>
        <w:rPr>
          <w:rFonts w:ascii="Arial" w:cs="Arial" w:eastAsia="Arial" w:hAnsi="Arial"/>
          <w:sz w:val="18"/>
          <w:szCs w:val="18"/>
          <w:color w:val="auto"/>
        </w:rPr>
        <w:t>(xlvi) There are no transfer taxes, stamp duty or other similar fees or charges under U.S. federal law or the laws of any U.S. state, or any political subdivision thereof, required to be paid in connection with the execution and delivery of this Agreement or the sale, issuance and delivery of the Shares by the Company through the facilities of the Depository Trust Company;</w:t>
      </w:r>
    </w:p>
    <w:p>
      <w:pPr>
        <w:spacing w:after="0" w:line="80" w:lineRule="exact"/>
        <w:rPr>
          <w:sz w:val="20"/>
          <w:szCs w:val="20"/>
          <w:color w:val="auto"/>
        </w:rPr>
      </w:pPr>
    </w:p>
    <w:p>
      <w:pPr>
        <w:ind w:left="5" w:right="160" w:firstLine="418"/>
        <w:spacing w:after="0" w:line="281" w:lineRule="auto"/>
        <w:rPr>
          <w:sz w:val="20"/>
          <w:szCs w:val="20"/>
          <w:color w:val="auto"/>
        </w:rPr>
      </w:pPr>
      <w:r>
        <w:rPr>
          <w:rFonts w:ascii="Arial" w:cs="Arial" w:eastAsia="Arial" w:hAnsi="Arial"/>
          <w:sz w:val="16"/>
          <w:szCs w:val="16"/>
          <w:color w:val="auto"/>
        </w:rPr>
        <w:t>(xlvii) Each “employee benefit plan” (within the meaning of Section 3(3) of the Employee Retirement Security Act of 1974, as amended (“ERISA”)) for which the Company or any member of its “Controlled Group” (defined as any organization which is a member of a controlled group of corporations within the meaning of Section 414 of the Code) would have any liability (each, a “Plan”) complies in form with the requirements of all applicable statutes, rules and regulations including ERISA and the Code, and has been maintained and administered in substantial compliance with its terms and with the requirements of all applicable statutes, rules and regulations including ERISA and the Code;</w:t>
      </w:r>
    </w:p>
    <w:p>
      <w:pPr>
        <w:spacing w:after="0" w:line="3" w:lineRule="exact"/>
        <w:rPr>
          <w:sz w:val="20"/>
          <w:szCs w:val="20"/>
          <w:color w:val="auto"/>
        </w:rPr>
      </w:pPr>
    </w:p>
    <w:p>
      <w:pPr>
        <w:ind w:left="5" w:right="20" w:hanging="5"/>
        <w:spacing w:after="0" w:line="326" w:lineRule="auto"/>
        <w:tabs>
          <w:tab w:leader="none" w:pos="266" w:val="left"/>
        </w:tabs>
        <w:numPr>
          <w:ilvl w:val="0"/>
          <w:numId w:val="19"/>
        </w:numPr>
        <w:rPr>
          <w:rFonts w:ascii="Arial" w:cs="Arial" w:eastAsia="Arial" w:hAnsi="Arial"/>
          <w:sz w:val="14"/>
          <w:szCs w:val="14"/>
          <w:color w:val="auto"/>
        </w:rPr>
      </w:pPr>
      <w:r>
        <w:rPr>
          <w:rFonts w:ascii="Arial" w:cs="Arial" w:eastAsia="Arial" w:hAnsi="Arial"/>
          <w:sz w:val="14"/>
          <w:szCs w:val="14"/>
          <w:color w:val="auto"/>
        </w:rPr>
        <w:t>with respect to each Plan subject to Title IV of ERISA or Section 302 of ERISA or Section 412 and 430 of the Code (A) no “reportable event” (within the meaning of Section 4043(c) of ERISA) has occurred or is reasonably expected to occur, (B) no failure to satisfy the minimum funding standard (within the meaning of Section 302 of ERISA or Section 412 and 430 of the Code), whether or not waived, has occurred or is reasonably expected to occur, (C) the fair market value of the assets under each Plan (excluding for these purposes accrued but unpaid contributions)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(iii) each Plan that is intended to be qualified under Section 401(a) of the Code is so qualified and, to the knowledge of the Company, nothing has occurred, whether by action or by failure to act, which would cause the loss of such qualification; and (iv) no prohibited transaction, within the meaning of Section 406 of ERISA or Section 4975 of the Code, has occurred with respect to any Plan excluding transactions to which a statutory or administrative prohibited transaction exemption applies; except in each case as would not, individually or in the aggregate, reasonably be likely to result in material liability to the Company;</w:t>
      </w:r>
    </w:p>
    <w:p>
      <w:pPr>
        <w:spacing w:after="0" w:line="250" w:lineRule="exact"/>
        <w:rPr>
          <w:sz w:val="20"/>
          <w:szCs w:val="20"/>
          <w:color w:val="auto"/>
        </w:rPr>
      </w:pPr>
    </w:p>
    <w:p>
      <w:pPr>
        <w:ind w:left="5" w:right="40" w:firstLine="418"/>
        <w:spacing w:after="0" w:line="255" w:lineRule="auto"/>
        <w:rPr>
          <w:sz w:val="20"/>
          <w:szCs w:val="20"/>
          <w:color w:val="auto"/>
        </w:rPr>
      </w:pPr>
      <w:r>
        <w:rPr>
          <w:rFonts w:ascii="Arial" w:cs="Arial" w:eastAsia="Arial" w:hAnsi="Arial"/>
          <w:sz w:val="18"/>
          <w:szCs w:val="18"/>
          <w:color w:val="auto"/>
        </w:rPr>
        <w:t>(xlviii) The Company has taken all necessary actions to ensure that, upon the effectiveness of the Registration Statement (or earlier, if required by applicable provisions), it will be in compliance with all provisions of the Sarbanes-Oxley Act of 2002 and all rules and regulations promulgated thereunder or implementing the provisions thereof (the “Sarbanes-Oxley Act”) that are then in effect and with which the Company is required to comply as of the effectiveness of the Registration Statement;</w:t>
      </w:r>
    </w:p>
    <w:p>
      <w:pPr>
        <w:sectPr>
          <w:pgSz w:w="11900" w:h="16838" w:orient="portrait"/>
          <w:cols w:equalWidth="0" w:num="1">
            <w:col w:w="10445"/>
          </w:cols>
          <w:pgMar w:left="935" w:top="272" w:right="519" w:bottom="1440" w:gutter="0" w:footer="0" w:header="0"/>
        </w:sectPr>
      </w:pPr>
    </w:p>
    <w:bookmarkStart w:id="20" w:name="page21"/>
    <w:bookmarkEnd w:id="20"/>
    <w:p>
      <w:pPr>
        <w:ind w:left="440" w:right="420" w:firstLine="418"/>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(xlix) There is no debt of, or guaranteed by, the Company or any of its subsidiaries that is rated by a “nationally recognized statistical rating organization,” as that term is defined by in Section 3(a)(62) of the Exchange Act;</w:t>
      </w:r>
    </w:p>
    <w:p>
      <w:pPr>
        <w:spacing w:after="0" w:line="68" w:lineRule="exact"/>
        <w:rPr>
          <w:sz w:val="20"/>
          <w:szCs w:val="20"/>
          <w:color w:val="auto"/>
        </w:rPr>
      </w:pPr>
    </w:p>
    <w:p>
      <w:pPr>
        <w:ind w:left="440" w:right="20" w:firstLine="414"/>
        <w:spacing w:after="0" w:line="258" w:lineRule="auto"/>
        <w:tabs>
          <w:tab w:leader="none" w:pos="12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a registration statement relating to the Shares with the Commission (or, if earlier, the first date on which a Written Testing-the-Waters Communication was made) through the date hereof, the Company has been and is an “emerging growth company” as defined in Section 2(a)(19) of the Act (an “Emerging Growth Company”).</w:t>
      </w:r>
    </w:p>
    <w:p>
      <w:pPr>
        <w:spacing w:after="0" w:line="186" w:lineRule="exact"/>
        <w:rPr>
          <w:rFonts w:ascii="Arial" w:cs="Arial" w:eastAsia="Arial" w:hAnsi="Arial"/>
          <w:sz w:val="18"/>
          <w:szCs w:val="18"/>
          <w:color w:val="auto"/>
        </w:rPr>
      </w:pPr>
    </w:p>
    <w:p>
      <w:pPr>
        <w:ind w:right="60" w:firstLine="435"/>
        <w:spacing w:after="0" w:line="265" w:lineRule="auto"/>
        <w:tabs>
          <w:tab w:leader="none" w:pos="747"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the Company agrees to sell to each of the Underwriters, and each of the Underwriters agree, severally and not jointly, to purchase from the Company, at a purchase price per share of $[●], the number of Firm Shares set forth opposite the name of such Underwriter in Schedule I hereto. In the event and to the extent that the Underwriters shall exercise the election to purchase Optional Shares as provided below, the Company agrees to sell to each of the Underwriters, and each of the Underwriters agrees, severally and not jointly, to purchase from the Company, at the purchase price per share set forth in the immediately preceding sentence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8" w:lineRule="exact"/>
        <w:rPr>
          <w:sz w:val="20"/>
          <w:szCs w:val="20"/>
          <w:color w:val="auto"/>
        </w:rPr>
      </w:pPr>
    </w:p>
    <w:p>
      <w:pPr>
        <w:ind w:firstLine="435"/>
        <w:spacing w:after="0" w:line="287" w:lineRule="auto"/>
        <w:rPr>
          <w:sz w:val="20"/>
          <w:szCs w:val="20"/>
          <w:color w:val="auto"/>
        </w:rPr>
      </w:pPr>
      <w:r>
        <w:rPr>
          <w:rFonts w:ascii="Arial" w:cs="Arial" w:eastAsia="Arial" w:hAnsi="Arial"/>
          <w:sz w:val="16"/>
          <w:szCs w:val="16"/>
          <w:color w:val="auto"/>
        </w:rPr>
        <w:t>The Company hereby grants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Representatives to the Company, given within a period of 30 calendar days after the date of this Agreement and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two or later than ten business days after the date of such notice.</w:t>
      </w:r>
    </w:p>
    <w:p>
      <w:pPr>
        <w:spacing w:after="0" w:line="168" w:lineRule="exact"/>
        <w:rPr>
          <w:sz w:val="20"/>
          <w:szCs w:val="20"/>
          <w:color w:val="auto"/>
        </w:rPr>
      </w:pPr>
    </w:p>
    <w:p>
      <w:pPr>
        <w:ind w:right="100" w:firstLine="435"/>
        <w:spacing w:after="0" w:line="270" w:lineRule="auto"/>
        <w:tabs>
          <w:tab w:leader="none" w:pos="7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 authorization by the Representatives of the release of the Shares, the several Underwriters propose to offer the Shares for sale upon the terms and conditions set forth in the Pricing Disclosure Package and the Prospectus.</w:t>
      </w:r>
    </w:p>
    <w:p>
      <w:pPr>
        <w:spacing w:after="0" w:line="174" w:lineRule="exact"/>
        <w:rPr>
          <w:rFonts w:ascii="Arial" w:cs="Arial" w:eastAsia="Arial" w:hAnsi="Arial"/>
          <w:sz w:val="18"/>
          <w:szCs w:val="18"/>
          <w:color w:val="auto"/>
        </w:rPr>
      </w:pPr>
    </w:p>
    <w:p>
      <w:pPr>
        <w:ind w:right="240" w:firstLine="435"/>
        <w:spacing w:after="0" w:line="253" w:lineRule="auto"/>
        <w:tabs>
          <w:tab w:leader="none" w:pos="7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accounts specified by the</w:t>
      </w:r>
    </w:p>
    <w:p>
      <w:pPr>
        <w:sectPr>
          <w:pgSz w:w="11900" w:h="16838" w:orient="portrait"/>
          <w:cols w:equalWidth="0" w:num="1">
            <w:col w:w="10880"/>
          </w:cols>
          <w:pgMar w:left="500" w:top="272" w:right="519" w:bottom="1440" w:gutter="0" w:footer="0" w:header="0"/>
        </w:sectPr>
      </w:pPr>
    </w:p>
    <w:bookmarkStart w:id="21" w:name="page22"/>
    <w:bookmarkEnd w:id="21"/>
    <w:p>
      <w:pPr>
        <w:ind w:right="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time, on [•], 2021 or such other time and date as the Representatives and the Company may agree upon in writing, and, with respect to the Optional Shares, 9:30 a.m., New York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185" w:lineRule="exact"/>
        <w:rPr>
          <w:sz w:val="20"/>
          <w:szCs w:val="20"/>
          <w:color w:val="auto"/>
        </w:rPr>
      </w:pPr>
    </w:p>
    <w:p>
      <w:pPr>
        <w:ind w:right="80" w:firstLine="435"/>
        <w:spacing w:after="0" w:line="250" w:lineRule="auto"/>
        <w:tabs>
          <w:tab w:leader="none" w:pos="8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 receipt for the Shares and any additional documents requested by the Underwriters pursuant to Section 8(m) hereof will be delivered at the offices of Davis Polk &amp; Wardwell, LLP, 1600 El Camino Real, Menlo Park, CA 94025 (the “Closing Location”), and the Shares will be delivered at the Designated Office, all at such Time of Delivery. A telephonic meeting will be held at 5:00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196"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The Company agrees with each of the Underwriters:</w:t>
      </w:r>
    </w:p>
    <w:p>
      <w:pPr>
        <w:spacing w:after="0" w:line="220" w:lineRule="exact"/>
        <w:rPr>
          <w:sz w:val="20"/>
          <w:szCs w:val="20"/>
          <w:color w:val="auto"/>
        </w:rPr>
      </w:pPr>
    </w:p>
    <w:p>
      <w:pPr>
        <w:ind w:firstLine="435"/>
        <w:spacing w:after="0" w:line="283" w:lineRule="auto"/>
        <w:tabs>
          <w:tab w:leader="none" w:pos="80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prepare the Prospectus in a form approved by the Representatives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in writing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materials required to be filed by the Company with the Commission pursuant to Rule 433(d) under the Act; to advise the Representatives,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against the Company,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68" w:lineRule="exact"/>
        <w:rPr>
          <w:rFonts w:ascii="Arial" w:cs="Arial" w:eastAsia="Arial" w:hAnsi="Arial"/>
          <w:sz w:val="16"/>
          <w:szCs w:val="16"/>
          <w:color w:val="auto"/>
        </w:rPr>
      </w:pPr>
    </w:p>
    <w:p>
      <w:pPr>
        <w:ind w:right="380" w:firstLine="435"/>
        <w:spacing w:after="0" w:line="270"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the Representatives may reasonably request to qualify the Shares for offering and sale under the securities laws of such jurisdictions as the</w:t>
      </w:r>
    </w:p>
    <w:p>
      <w:pPr>
        <w:sectPr>
          <w:pgSz w:w="11900" w:h="16838" w:orient="portrait"/>
          <w:cols w:equalWidth="0" w:num="1">
            <w:col w:w="10880"/>
          </w:cols>
          <w:pgMar w:left="500" w:top="272" w:right="519" w:bottom="1440" w:gutter="0" w:footer="0" w:header="0"/>
        </w:sectPr>
      </w:pPr>
    </w:p>
    <w:bookmarkStart w:id="22" w:name="page23"/>
    <w:bookmarkEnd w:id="22"/>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Representatives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subject itself to taxation for doing business in any jurisdiction in which it is not otherwise subject to taxation, or to file a general consent to service of process in any jurisdiction (where not otherwise required);</w:t>
      </w:r>
    </w:p>
    <w:p>
      <w:pPr>
        <w:spacing w:after="0" w:line="160" w:lineRule="exact"/>
        <w:rPr>
          <w:sz w:val="20"/>
          <w:szCs w:val="20"/>
          <w:color w:val="auto"/>
        </w:rPr>
      </w:pPr>
    </w:p>
    <w:p>
      <w:pPr>
        <w:ind w:firstLine="435"/>
        <w:spacing w:after="0" w:line="282" w:lineRule="auto"/>
        <w:tabs>
          <w:tab w:leader="none" w:pos="811"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(or such later time as may be agreed to by the Company and the Representative)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Representatives and upon the Representatives’ request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request of an amended or supplemented Prospectus complying with Section 10(a)(3) of the Act;</w:t>
      </w:r>
    </w:p>
    <w:p>
      <w:pPr>
        <w:spacing w:after="0" w:line="172" w:lineRule="exact"/>
        <w:rPr>
          <w:rFonts w:ascii="Arial" w:cs="Arial" w:eastAsia="Arial" w:hAnsi="Arial"/>
          <w:sz w:val="16"/>
          <w:szCs w:val="16"/>
          <w:color w:val="auto"/>
        </w:rPr>
      </w:pPr>
    </w:p>
    <w:p>
      <w:pPr>
        <w:ind w:right="80" w:firstLine="435"/>
        <w:spacing w:after="0" w:line="296" w:lineRule="auto"/>
        <w:tabs>
          <w:tab w:leader="none" w:pos="81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59" w:lineRule="exact"/>
        <w:rPr>
          <w:rFonts w:ascii="Arial" w:cs="Arial" w:eastAsia="Arial" w:hAnsi="Arial"/>
          <w:sz w:val="16"/>
          <w:szCs w:val="16"/>
          <w:color w:val="auto"/>
        </w:rPr>
      </w:pPr>
    </w:p>
    <w:p>
      <w:pPr>
        <w:ind w:right="40" w:firstLine="435"/>
        <w:spacing w:after="0" w:line="266" w:lineRule="auto"/>
        <w:tabs>
          <w:tab w:leader="none" w:pos="811"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During the period beginning from the date hereof and continuing to and including the date 180 days after the date of the Prospectus (the “Company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including, for the avoidance of doubt, Class B common stock, $0.000001 par value per share, of the Company (“Class B Common Stock”) (collectively, “Securities”), or publicly disclose the intention to make any offer, sale, pledge, disposition or filing or (ii) enter into any swap or other agreement that transfers, in whole or in part, any of the economic consequences of ownership of Stock or any Securities, whether any such transaction described in clause (i) or (ii) above is to be settled</w:t>
      </w:r>
    </w:p>
    <w:p>
      <w:pPr>
        <w:sectPr>
          <w:pgSz w:w="11900" w:h="16838" w:orient="portrait"/>
          <w:cols w:equalWidth="0" w:num="1">
            <w:col w:w="10880"/>
          </w:cols>
          <w:pgMar w:left="500" w:top="272" w:right="519" w:bottom="1440" w:gutter="0" w:footer="0" w:header="0"/>
        </w:sectPr>
      </w:pPr>
    </w:p>
    <w:bookmarkStart w:id="23" w:name="page24"/>
    <w:bookmarkEnd w:id="23"/>
    <w:p>
      <w:pPr>
        <w:ind w:right="3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by delivery of Stock or any Securities, in cash or otherwise (other than the Shares to be sold hereunder or pursuant to employee stock option plans existing on, or upon the conversion or exchange of convertible or exchangeable securities outstanding as of, the date of this Agreement), without the prior written consent of the Representatives; provided, however, that the foregoing restrictions shall not apply to (A) Shares to be sold hereunder,</w:t>
      </w:r>
    </w:p>
    <w:p>
      <w:pPr>
        <w:ind w:right="40"/>
        <w:spacing w:after="0" w:line="278" w:lineRule="auto"/>
        <w:tabs>
          <w:tab w:leader="none" w:pos="28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shares of Stock issued upon the reclassification and exchange of common stock outstanding on the date of this Agreement in connection with the offering contemplated by this Agreement and any shares of Class B Common Stock issued upon the exchange of Stock, in each case as described in the Pricing Prospectus and the Prospectus, (C) the issuance by the Company of Stock upon the exercise of options or the settlement of restricted stock units (including any “net” or “cashless” exercises or settlements) outstanding as of the date of this Agreement or issued after the date of this Agreement pursuant to the Company’s equity plans described in the Pricing Prospectus and Prospectus, or upon the exercise, conversion or exchange of a security outstanding on the date of this Agreement, provided that such security is described in the Pricing Prospectus and the Prospectus, (D) the grant of options to purchase or the issuance by the Company of Stock or securities convertible into, exchangeable for or that represent the right to receive shares of Stock, in each case pursuant to the Company’s equity plans described in the Pricing Prospectus and Prospectus (E) the issuance by the Company of shares of Stock upon the exercise of warrants described in the Pricing Prospectus and Prospectus, (F) the issuance by the Company of shares of Stock upon the conversion of shares of Class B Common Stock; (G) the issuance by the Company of Stock or Securities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securities pursuant to any such agreement, or</w:t>
      </w:r>
    </w:p>
    <w:p>
      <w:pPr>
        <w:spacing w:after="0" w:line="4" w:lineRule="exact"/>
        <w:rPr>
          <w:rFonts w:ascii="Arial" w:cs="Arial" w:eastAsia="Arial" w:hAnsi="Arial"/>
          <w:sz w:val="16"/>
          <w:szCs w:val="16"/>
          <w:color w:val="auto"/>
        </w:rPr>
      </w:pPr>
    </w:p>
    <w:p>
      <w:pPr>
        <w:ind w:right="40"/>
        <w:spacing w:after="0" w:line="278" w:lineRule="auto"/>
        <w:rPr>
          <w:rFonts w:ascii="Arial" w:cs="Arial" w:eastAsia="Arial" w:hAnsi="Arial"/>
          <w:sz w:val="16"/>
          <w:szCs w:val="16"/>
          <w:color w:val="auto"/>
        </w:rPr>
      </w:pPr>
      <w:r>
        <w:rPr>
          <w:rFonts w:ascii="Arial" w:cs="Arial" w:eastAsia="Arial" w:hAnsi="Arial"/>
          <w:sz w:val="16"/>
          <w:szCs w:val="16"/>
          <w:color w:val="auto"/>
        </w:rPr>
        <w:t>(y) the Company’s joint ventures, commercial relationships, and other strategic relationships, provided that the aggregate number of shares of Stock that the Company may sell or issue or agree to sell or issue pursuant to this clause (G) shall not exceed 10% of the total number of shares of common stock (including, for the avoidance of doubt, Class B common stock) issued and outstanding immediately following the completion of the transactions contemplated by this Agreement, (H) the filing of any registration statement on Form S-8 relating to the securities granted or to be granted pursuant to</w:t>
      </w:r>
    </w:p>
    <w:p>
      <w:pPr>
        <w:spacing w:after="0" w:line="1" w:lineRule="exact"/>
        <w:rPr>
          <w:rFonts w:ascii="Arial" w:cs="Arial" w:eastAsia="Arial" w:hAnsi="Arial"/>
          <w:sz w:val="16"/>
          <w:szCs w:val="16"/>
          <w:color w:val="auto"/>
        </w:rPr>
      </w:pPr>
    </w:p>
    <w:p>
      <w:pPr>
        <w:ind w:right="2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(x) the Company’s equity plans that are described in the Pricing Prospectus and Prospectus or (y) any assumed employee benefit plan contemplated by clause (G) or (I) the issuance by the Company of up to 80,532 shares of Stock (measured as of the date of such issuance)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to a charitable organization provided that any such transfer shall not involve a disposition for value, provided that in the case of clauses (C) through (G)), the Company shall cause each recipient of such securities to execute and deliver to the Releasing Representatives, on or prior to the issuance of such securities, a lock-up agreement with substantially the same terms as the lock-up agreements referenced in Section 8(k) of this Agreement for the remainder of the Company Lock-Up Period, and enter stop transfer instructions with the Company’s transfer agent and registrar against the transfer of any Stock or Securities, which the Company agrees it will not waive or amend without the prior written consent of the Releasing Representatives;</w:t>
      </w:r>
    </w:p>
    <w:p>
      <w:pPr>
        <w:spacing w:after="0" w:line="170" w:lineRule="exact"/>
        <w:rPr>
          <w:rFonts w:ascii="Arial" w:cs="Arial" w:eastAsia="Arial" w:hAnsi="Arial"/>
          <w:sz w:val="16"/>
          <w:szCs w:val="16"/>
          <w:color w:val="auto"/>
        </w:rPr>
      </w:pPr>
    </w:p>
    <w:p>
      <w:pPr>
        <w:ind w:firstLine="980"/>
        <w:spacing w:after="0" w:line="253" w:lineRule="auto"/>
        <w:tabs>
          <w:tab w:leader="none" w:pos="1242" w:val="left"/>
        </w:tabs>
        <w:numPr>
          <w:ilvl w:val="2"/>
          <w:numId w:val="26"/>
        </w:numPr>
        <w:rPr>
          <w:rFonts w:ascii="Arial" w:cs="Arial" w:eastAsia="Arial" w:hAnsi="Arial"/>
          <w:sz w:val="18"/>
          <w:szCs w:val="18"/>
          <w:color w:val="auto"/>
        </w:rPr>
      </w:pPr>
      <w:r>
        <w:rPr>
          <w:rFonts w:ascii="Arial" w:cs="Arial" w:eastAsia="Arial" w:hAnsi="Arial"/>
          <w:sz w:val="18"/>
          <w:szCs w:val="18"/>
          <w:color w:val="auto"/>
        </w:rPr>
        <w:t>If the Representatives, in their sole discretion, agree to release or waive the restrictions in lock-up letters pursuant to Section 1(b)(iv) or Section 8(k) hereof, in each case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II hereto through a major news service at least two business days before the effective date of the release or waiver;</w:t>
      </w:r>
    </w:p>
    <w:p>
      <w:pPr>
        <w:spacing w:after="0" w:line="189" w:lineRule="exact"/>
        <w:rPr>
          <w:rFonts w:ascii="Arial" w:cs="Arial" w:eastAsia="Arial" w:hAnsi="Arial"/>
          <w:sz w:val="18"/>
          <w:szCs w:val="18"/>
          <w:color w:val="auto"/>
        </w:rPr>
      </w:pPr>
    </w:p>
    <w:p>
      <w:pPr>
        <w:ind w:right="160" w:firstLine="435"/>
        <w:spacing w:after="0" w:line="270" w:lineRule="auto"/>
        <w:tabs>
          <w:tab w:leader="none" w:pos="65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enforce the terms of all existing agreements, plans and arrangements restricting the transfer by any holder of such holder’s shares of Stock or Securities following the offering of the Shares</w:t>
      </w:r>
    </w:p>
    <w:p>
      <w:pPr>
        <w:sectPr>
          <w:pgSz w:w="11900" w:h="16838" w:orient="portrait"/>
          <w:cols w:equalWidth="0" w:num="1">
            <w:col w:w="10880"/>
          </w:cols>
          <w:pgMar w:left="500" w:top="272" w:right="519" w:bottom="1440" w:gutter="0" w:footer="0" w:header="0"/>
        </w:sectPr>
      </w:pPr>
    </w:p>
    <w:bookmarkStart w:id="24" w:name="page25"/>
    <w:bookmarkEnd w:id="24"/>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contemplated hereby. The Company will issue stop-transfer instructions to the transfer agent with respect to any transaction that would constitute a breach of, or default under, such provisions. During the Company Lock-Up Period, the Company will enforce, and not waive or amend, such stop-transfer instructions and any transfer restriction, including any “market standoff,” “holdback” or similar agreement or provision, applicable to any Securities unless the Company shall have obtained the prior written consent of the Releasing Representatives (as defined in Section 5(e) of this Agreement); provided that this Section 5(o) shall not prohibit the Company from effecting such a waiver or amendment to permit a transfer of securities which is permissible under the terms of the lock-up agreements referenced in Section 8(k) of this Agreement.</w:t>
      </w:r>
    </w:p>
    <w:p>
      <w:pPr>
        <w:spacing w:after="0" w:line="180" w:lineRule="exact"/>
        <w:rPr>
          <w:sz w:val="20"/>
          <w:szCs w:val="20"/>
          <w:color w:val="auto"/>
        </w:rPr>
      </w:pPr>
    </w:p>
    <w:p>
      <w:pPr>
        <w:ind w:right="160" w:firstLine="435"/>
        <w:spacing w:after="0" w:line="267" w:lineRule="auto"/>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 to be furnished pursuant to this Section 5(g) to the extent they are available on EDGAR or the provision of which would require disclosure by the Company under Regulation FD;</w:t>
      </w:r>
    </w:p>
    <w:p>
      <w:pPr>
        <w:spacing w:after="0" w:line="181" w:lineRule="exact"/>
        <w:rPr>
          <w:rFonts w:ascii="Arial" w:cs="Arial" w:eastAsia="Arial" w:hAnsi="Arial"/>
          <w:sz w:val="17"/>
          <w:szCs w:val="17"/>
          <w:color w:val="auto"/>
        </w:rPr>
      </w:pPr>
    </w:p>
    <w:p>
      <w:pPr>
        <w:ind w:firstLine="435"/>
        <w:spacing w:after="0" w:line="266" w:lineRule="auto"/>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a period of three years from the effective date of the Registration Statement, so long as the Company is subject to the reporting requirements of either Section 13 or Section 15(d) of the Exchange Act, to furnish to the Representatives copies of all reports or other communications (financial or other) furnished to stockholders, to the extent such reports or other communications (financial or other) are not publicly available on the EDGAR system or any successor thereto, and to deliver to the Representatives (i) as soon as they are available, copies of any reports and financial statements furnished to or filed with the Commission or any national securities exchange on which any class of securities of the Company is listed to the extent such reports and financial statements are not then publicly available on EDGAR; and (ii) such additional information concerning the business and financial condition of the Company as the Representatives may from time to time reasonably request that is not already publicly available on EDGAR (such financial statements to be on a consolidated basis to the extent the accounts of the Company and its subsidiaries are consolidated in reports furnished to its stockholders generally or to the Commission);</w:t>
      </w:r>
    </w:p>
    <w:p>
      <w:pPr>
        <w:spacing w:after="0" w:line="184" w:lineRule="exact"/>
        <w:rPr>
          <w:rFonts w:ascii="Arial" w:cs="Arial" w:eastAsia="Arial" w:hAnsi="Arial"/>
          <w:sz w:val="17"/>
          <w:szCs w:val="17"/>
          <w:color w:val="auto"/>
        </w:rPr>
      </w:pPr>
    </w:p>
    <w:p>
      <w:pPr>
        <w:ind w:right="780" w:firstLine="435"/>
        <w:spacing w:after="0" w:line="270" w:lineRule="auto"/>
        <w:tabs>
          <w:tab w:leader="none" w:pos="7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170" w:lineRule="exact"/>
        <w:rPr>
          <w:rFonts w:ascii="Arial" w:cs="Arial" w:eastAsia="Arial" w:hAnsi="Arial"/>
          <w:sz w:val="18"/>
          <w:szCs w:val="18"/>
          <w:color w:val="auto"/>
        </w:rPr>
      </w:pPr>
    </w:p>
    <w:p>
      <w:pPr>
        <w:ind w:left="780" w:hanging="345"/>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use its reasonable best efforts to list for trading</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official notice of issuance</w:t>
      </w:r>
      <w:r>
        <w:rPr>
          <w:rFonts w:ascii="Arial" w:cs="Arial" w:eastAsia="Arial" w:hAnsi="Arial"/>
          <w:sz w:val="18"/>
          <w:szCs w:val="18"/>
          <w:b w:val="1"/>
          <w:bCs w:val="1"/>
          <w:color w:val="auto"/>
        </w:rPr>
        <w:t>,</w:t>
      </w:r>
      <w:r>
        <w:rPr>
          <w:rFonts w:ascii="Arial" w:cs="Arial" w:eastAsia="Arial" w:hAnsi="Arial"/>
          <w:sz w:val="18"/>
          <w:szCs w:val="18"/>
          <w:color w:val="auto"/>
        </w:rPr>
        <w:t xml:space="preserve"> the Shares on the Exchange;</w:t>
      </w:r>
    </w:p>
    <w:p>
      <w:pPr>
        <w:spacing w:after="0" w:line="223" w:lineRule="exact"/>
        <w:rPr>
          <w:rFonts w:ascii="Arial" w:cs="Arial" w:eastAsia="Arial" w:hAnsi="Arial"/>
          <w:sz w:val="18"/>
          <w:szCs w:val="18"/>
          <w:color w:val="auto"/>
        </w:rPr>
      </w:pPr>
    </w:p>
    <w:p>
      <w:pPr>
        <w:ind w:left="820" w:hanging="385"/>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10-Q or Form 10-K as may be required by Rule 463 under the Act;</w:t>
      </w:r>
    </w:p>
    <w:p>
      <w:pPr>
        <w:spacing w:after="0" w:line="219" w:lineRule="exact"/>
        <w:rPr>
          <w:rFonts w:ascii="Arial" w:cs="Arial" w:eastAsia="Arial" w:hAnsi="Arial"/>
          <w:sz w:val="18"/>
          <w:szCs w:val="18"/>
          <w:color w:val="auto"/>
        </w:rPr>
      </w:pPr>
    </w:p>
    <w:p>
      <w:pPr>
        <w:ind w:right="80" w:firstLine="435"/>
        <w:spacing w:after="0" w:line="255" w:lineRule="auto"/>
        <w:tabs>
          <w:tab w:leader="none" w:pos="7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ectPr>
          <w:pgSz w:w="11900" w:h="16838" w:orient="portrait"/>
          <w:cols w:equalWidth="0" w:num="1">
            <w:col w:w="10860"/>
          </w:cols>
          <w:pgMar w:left="500" w:top="272" w:right="539" w:bottom="1440" w:gutter="0" w:footer="0" w:header="0"/>
        </w:sectPr>
      </w:pPr>
    </w:p>
    <w:bookmarkStart w:id="25" w:name="page26"/>
    <w:bookmarkEnd w:id="25"/>
    <w:p>
      <w:pPr>
        <w:ind w:right="120" w:firstLine="435"/>
        <w:spacing w:after="0" w:line="255" w:lineRule="auto"/>
        <w:tabs>
          <w:tab w:leader="none" w:pos="870" w:val="left"/>
        </w:tabs>
        <w:numPr>
          <w:ilvl w:val="1"/>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and</w:t>
      </w:r>
    </w:p>
    <w:p>
      <w:pPr>
        <w:spacing w:after="0" w:line="187" w:lineRule="exact"/>
        <w:rPr>
          <w:rFonts w:ascii="Arial" w:cs="Arial" w:eastAsia="Arial" w:hAnsi="Arial"/>
          <w:sz w:val="18"/>
          <w:szCs w:val="18"/>
          <w:color w:val="auto"/>
        </w:rPr>
      </w:pPr>
    </w:p>
    <w:p>
      <w:pPr>
        <w:ind w:left="820" w:hanging="385"/>
        <w:spacing w:after="0"/>
        <w:tabs>
          <w:tab w:leader="none" w:pos="8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To promptly notify the Representatives if the Company ceases to be an Emerging Growth Company at any time prior to the later of</w:t>
      </w:r>
    </w:p>
    <w:p>
      <w:pPr>
        <w:spacing w:after="0" w:line="30" w:lineRule="exact"/>
        <w:rPr>
          <w:rFonts w:ascii="Arial" w:cs="Arial" w:eastAsia="Arial" w:hAnsi="Arial"/>
          <w:sz w:val="17"/>
          <w:szCs w:val="17"/>
          <w:color w:val="auto"/>
        </w:rPr>
      </w:pPr>
    </w:p>
    <w:p>
      <w:pPr>
        <w:ind w:left="220" w:hanging="220"/>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completion of the distribution of the Shares within the meaning of the Act and (ii) the last Time of Delivery.</w:t>
      </w:r>
    </w:p>
    <w:p>
      <w:pPr>
        <w:spacing w:after="0" w:line="207" w:lineRule="exact"/>
        <w:rPr>
          <w:sz w:val="20"/>
          <w:szCs w:val="20"/>
          <w:color w:val="auto"/>
        </w:rPr>
      </w:pPr>
    </w:p>
    <w:p>
      <w:pPr>
        <w:ind w:firstLine="435"/>
        <w:spacing w:after="0" w:line="271" w:lineRule="auto"/>
        <w:tabs>
          <w:tab w:leader="none" w:pos="74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The Company represents and agrees that, without the prior consent of the Representatives, it has not made and will not make any offer relating to the Shares that would constitute a “free writing prospectus” as defined in Rule 405 under the Act;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hereto;</w:t>
      </w:r>
    </w:p>
    <w:p>
      <w:pPr>
        <w:spacing w:after="0" w:line="177" w:lineRule="exact"/>
        <w:rPr>
          <w:sz w:val="20"/>
          <w:szCs w:val="20"/>
          <w:color w:val="auto"/>
        </w:rPr>
      </w:pPr>
    </w:p>
    <w:p>
      <w:pPr>
        <w:ind w:right="20" w:firstLine="435"/>
        <w:spacing w:after="0" w:line="306" w:lineRule="auto"/>
        <w:tabs>
          <w:tab w:leader="none" w:pos="817"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50" w:lineRule="exact"/>
        <w:rPr>
          <w:rFonts w:ascii="Arial" w:cs="Arial" w:eastAsia="Arial" w:hAnsi="Arial"/>
          <w:sz w:val="16"/>
          <w:szCs w:val="16"/>
          <w:color w:val="auto"/>
        </w:rPr>
      </w:pPr>
    </w:p>
    <w:p>
      <w:pPr>
        <w:ind w:firstLine="435"/>
        <w:spacing w:after="0" w:line="267" w:lineRule="auto"/>
        <w:tabs>
          <w:tab w:leader="none" w:pos="85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an Issuer Free Writing Prospectus made in reliance upon and in conformity with the Underwriter Information;</w:t>
      </w:r>
    </w:p>
    <w:p>
      <w:pPr>
        <w:spacing w:after="0" w:line="181" w:lineRule="exact"/>
        <w:rPr>
          <w:rFonts w:ascii="Arial" w:cs="Arial" w:eastAsia="Arial" w:hAnsi="Arial"/>
          <w:sz w:val="17"/>
          <w:szCs w:val="17"/>
          <w:color w:val="auto"/>
        </w:rPr>
      </w:pPr>
    </w:p>
    <w:p>
      <w:pPr>
        <w:ind w:right="200" w:firstLine="435"/>
        <w:spacing w:after="0" w:line="251" w:lineRule="auto"/>
        <w:tabs>
          <w:tab w:leader="none" w:pos="8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(a)(8), (a)(9), (a)(12) or (a)(13) under the Act; and (ii) it has not distributed, or authorized any other person to distribute, any Written Testing-the-Waters Communication, other than those distributed with the prior consent of the Representatives that are listed on Schedule II(d) hereto; and the Company reconfirms that the Underwriters have been authorized to act on its behalf in engaging in Testing-the-Waters Communications;</w:t>
      </w:r>
    </w:p>
    <w:p>
      <w:pPr>
        <w:spacing w:after="0" w:line="192" w:lineRule="exact"/>
        <w:rPr>
          <w:rFonts w:ascii="Arial" w:cs="Arial" w:eastAsia="Arial" w:hAnsi="Arial"/>
          <w:sz w:val="18"/>
          <w:szCs w:val="18"/>
          <w:color w:val="auto"/>
        </w:rPr>
      </w:pPr>
    </w:p>
    <w:p>
      <w:pPr>
        <w:ind w:right="160" w:firstLine="435"/>
        <w:spacing w:after="0" w:line="258" w:lineRule="auto"/>
        <w:tabs>
          <w:tab w:leader="none" w:pos="8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(a)(8), (a)(9), (a)(12) or (a)(13) under the Act.</w:t>
      </w:r>
    </w:p>
    <w:p>
      <w:pPr>
        <w:sectPr>
          <w:pgSz w:w="11900" w:h="16838" w:orient="portrait"/>
          <w:cols w:equalWidth="0" w:num="1">
            <w:col w:w="10860"/>
          </w:cols>
          <w:pgMar w:left="500" w:top="272" w:right="539" w:bottom="1440" w:gutter="0" w:footer="0" w:header="0"/>
        </w:sectPr>
      </w:pPr>
    </w:p>
    <w:bookmarkStart w:id="26" w:name="page27"/>
    <w:bookmarkEnd w:id="26"/>
    <w:p>
      <w:pPr>
        <w:ind w:right="140" w:firstLine="435"/>
        <w:spacing w:after="0" w:line="280" w:lineRule="auto"/>
        <w:tabs>
          <w:tab w:leader="none" w:pos="743"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(iv) all fees and expenses in connection with listing the Shares on the Exchange; (v) the filing fees incident to, and the fees and disbursements of counsel for the Underwriters in connection with, any required review by FINRA of the terms of the sale of the Shares; provided, however, the fees and disbursements for counsel to the Underwriters with respect to clauses</w:t>
      </w:r>
    </w:p>
    <w:p>
      <w:pPr>
        <w:ind w:right="140"/>
        <w:spacing w:after="0" w:line="249" w:lineRule="auto"/>
        <w:tabs>
          <w:tab w:leader="none" w:pos="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and (v) shall not exceed $40,000 in the aggregate; (vi) the cost of preparing stock certificates; (vii) the cost and charges of any transfer agent or registrar; and (viii) all other costs and expenses incident to the performance of its obligations hereunder which are not otherwise specifically provided for in this Section.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194" w:lineRule="exact"/>
        <w:rPr>
          <w:rFonts w:ascii="Arial" w:cs="Arial" w:eastAsia="Arial" w:hAnsi="Arial"/>
          <w:sz w:val="18"/>
          <w:szCs w:val="18"/>
          <w:color w:val="auto"/>
        </w:rPr>
      </w:pPr>
    </w:p>
    <w:p>
      <w:pPr>
        <w:ind w:right="40" w:firstLine="435"/>
        <w:spacing w:after="0" w:line="255" w:lineRule="auto"/>
        <w:tabs>
          <w:tab w:leader="none" w:pos="74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88" w:lineRule="exact"/>
        <w:rPr>
          <w:sz w:val="20"/>
          <w:szCs w:val="20"/>
          <w:color w:val="auto"/>
        </w:rPr>
      </w:pPr>
    </w:p>
    <w:p>
      <w:pPr>
        <w:ind w:firstLine="435"/>
        <w:spacing w:after="0" w:line="266" w:lineRule="auto"/>
        <w:tabs>
          <w:tab w:leader="none" w:pos="807"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Prospectus shall have been filed with the Commission pursuant to Rule 424(b) under the Act within the applicable time period prescribed for such filing by the rules and regulations under the Act and in accordance with Section 5(a) hereof; all materials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184" w:lineRule="exact"/>
        <w:rPr>
          <w:rFonts w:ascii="Arial" w:cs="Arial" w:eastAsia="Arial" w:hAnsi="Arial"/>
          <w:sz w:val="17"/>
          <w:szCs w:val="17"/>
          <w:color w:val="auto"/>
        </w:rPr>
      </w:pPr>
    </w:p>
    <w:p>
      <w:pPr>
        <w:ind w:right="180" w:firstLine="435"/>
        <w:spacing w:after="0" w:line="258"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Davis Polk &amp; Wardwell, LLP, counsel for the Underwriters, shall have furnished to the Representatives their written opinion, dated such Time of Delivery, in form and substance satisfactory to the Representatives, and such counsel shall have received such papers and information as they may reasonably request to enable them to pass upon such matters;</w:t>
      </w:r>
    </w:p>
    <w:p>
      <w:pPr>
        <w:sectPr>
          <w:pgSz w:w="11900" w:h="16838" w:orient="portrait"/>
          <w:cols w:equalWidth="0" w:num="1">
            <w:col w:w="10840"/>
          </w:cols>
          <w:pgMar w:left="500" w:top="272" w:right="559" w:bottom="1440" w:gutter="0" w:footer="0" w:header="0"/>
        </w:sectPr>
      </w:pPr>
    </w:p>
    <w:bookmarkStart w:id="27" w:name="page28"/>
    <w:bookmarkEnd w:id="27"/>
    <w:p>
      <w:pPr>
        <w:ind w:right="360" w:firstLine="435"/>
        <w:spacing w:after="0" w:line="270" w:lineRule="auto"/>
        <w:tabs>
          <w:tab w:leader="none" w:pos="810"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Cooley LLP, counsel for the Company, shall have furnished to the Representatives their written opinion, dated such Time of Delivery, in form and substance satisfactory to the Representatives;</w:t>
      </w:r>
    </w:p>
    <w:p>
      <w:pPr>
        <w:spacing w:after="0" w:line="174" w:lineRule="exact"/>
        <w:rPr>
          <w:rFonts w:ascii="Arial" w:cs="Arial" w:eastAsia="Arial" w:hAnsi="Arial"/>
          <w:sz w:val="18"/>
          <w:szCs w:val="18"/>
          <w:color w:val="auto"/>
        </w:rPr>
      </w:pPr>
    </w:p>
    <w:p>
      <w:pPr>
        <w:ind w:left="820" w:hanging="385"/>
        <w:spacing w:after="0"/>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right="240" w:firstLine="435"/>
        <w:spacing w:after="0" w:line="255" w:lineRule="auto"/>
        <w:tabs>
          <w:tab w:leader="none" w:pos="8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KPMG LLP shall have furnished to the Representatives a letter or letters, dated the respective dates of delivery thereof, in form and substance satisfactory to you;</w:t>
      </w:r>
    </w:p>
    <w:p>
      <w:pPr>
        <w:spacing w:after="0" w:line="187" w:lineRule="exact"/>
        <w:rPr>
          <w:rFonts w:ascii="Arial" w:cs="Arial" w:eastAsia="Arial" w:hAnsi="Arial"/>
          <w:sz w:val="18"/>
          <w:szCs w:val="18"/>
          <w:color w:val="auto"/>
        </w:rPr>
      </w:pPr>
    </w:p>
    <w:p>
      <w:pPr>
        <w:jc w:val="both"/>
        <w:ind w:right="20" w:firstLine="435"/>
        <w:spacing w:after="0" w:line="258" w:lineRule="auto"/>
        <w:tabs>
          <w:tab w:leader="none" w:pos="83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chief financial officer of the Company shall have furnished to the Representatives a certificate as to the accuracy of certain financial and other information included in the Registration Statement, the Pricing Prospectus, the Prospectus and any roadshow, dated the date of this Agreement and such Time of Delivery, in form and substance satisfactory to the Representatives;</w:t>
      </w:r>
    </w:p>
    <w:p>
      <w:pPr>
        <w:spacing w:after="0" w:line="186" w:lineRule="exact"/>
        <w:rPr>
          <w:rFonts w:ascii="Arial" w:cs="Arial" w:eastAsia="Arial" w:hAnsi="Arial"/>
          <w:sz w:val="18"/>
          <w:szCs w:val="18"/>
          <w:color w:val="auto"/>
        </w:rPr>
      </w:pPr>
    </w:p>
    <w:p>
      <w:pPr>
        <w:jc w:val="both"/>
        <w:ind w:right="220" w:firstLine="435"/>
        <w:spacing w:after="0" w:line="284" w:lineRule="auto"/>
        <w:tabs>
          <w:tab w:leader="none" w:pos="8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w:t>
      </w:r>
    </w:p>
    <w:p>
      <w:pPr>
        <w:spacing w:after="0" w:line="281" w:lineRule="auto"/>
        <w:tabs>
          <w:tab w:leader="none" w:pos="262" w:val="left"/>
        </w:tabs>
        <w:numPr>
          <w:ilvl w:val="0"/>
          <w:numId w:val="36"/>
        </w:numPr>
        <w:rPr>
          <w:rFonts w:ascii="Arial" w:cs="Arial" w:eastAsia="Arial" w:hAnsi="Arial"/>
          <w:sz w:val="16"/>
          <w:szCs w:val="16"/>
          <w:color w:val="auto"/>
        </w:rPr>
      </w:pPr>
      <w:r>
        <w:rPr>
          <w:rFonts w:ascii="Arial" w:cs="Arial" w:eastAsia="Arial" w:hAnsi="Arial"/>
          <w:sz w:val="16"/>
          <w:szCs w:val="16"/>
          <w:color w:val="auto"/>
        </w:rPr>
        <w:t>since the respective dates as of which information is given in the Pricing Prospectus there shall not have been any change in the capital stock (other than as a result of (A) the exercise of stock options or settlement of restricted stock units (including any “net” or “cashless” exercise or settlements), or the award of stock options, restricted stock units or restricted stock or other awards pursuant to the Company’s equity plans described in the Pricing Prospectus and Prospectus, (B) the repurchase of shares of capital stock upon termination of a holder’s employment or service with the Company pursuant to agreements providing for an option to repurchase or a right of first refusal on behalf of the Company, and (C) the issuance, if any, of capital stock upon the exercise of warrants to purchase Stock that are outstanding as of the date hereof and described in the Pricing Prospectus and Prospectus)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75" w:lineRule="exact"/>
        <w:rPr>
          <w:rFonts w:ascii="Arial" w:cs="Arial" w:eastAsia="Arial" w:hAnsi="Arial"/>
          <w:sz w:val="16"/>
          <w:szCs w:val="16"/>
          <w:color w:val="auto"/>
        </w:rPr>
      </w:pPr>
    </w:p>
    <w:p>
      <w:pPr>
        <w:ind w:right="180" w:firstLine="435"/>
        <w:spacing w:after="0" w:line="292"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w:t>
      </w:r>
    </w:p>
    <w:p>
      <w:pPr>
        <w:sectPr>
          <w:pgSz w:w="11900" w:h="16838" w:orient="portrait"/>
          <w:cols w:equalWidth="0" w:num="1">
            <w:col w:w="10880"/>
          </w:cols>
          <w:pgMar w:left="500" w:top="272" w:right="519" w:bottom="1440" w:gutter="0" w:footer="0" w:header="0"/>
        </w:sectPr>
      </w:pPr>
    </w:p>
    <w:bookmarkStart w:id="28" w:name="page29"/>
    <w:bookmarkEnd w:id="28"/>
    <w:p>
      <w:pPr>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67" w:lineRule="exact"/>
        <w:rPr>
          <w:sz w:val="20"/>
          <w:szCs w:val="20"/>
          <w:color w:val="auto"/>
        </w:rPr>
      </w:pPr>
    </w:p>
    <w:p>
      <w:pPr>
        <w:ind w:left="780" w:hanging="345"/>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Shares to be sold at such Time of Delivery shall have been duly listed, subject to official notice of issuance, on the Exchange;</w:t>
      </w:r>
    </w:p>
    <w:p>
      <w:pPr>
        <w:spacing w:after="0" w:line="231" w:lineRule="exact"/>
        <w:rPr>
          <w:rFonts w:ascii="Arial" w:cs="Arial" w:eastAsia="Arial" w:hAnsi="Arial"/>
          <w:sz w:val="17"/>
          <w:szCs w:val="17"/>
          <w:color w:val="auto"/>
        </w:rPr>
      </w:pPr>
    </w:p>
    <w:p>
      <w:pPr>
        <w:jc w:val="both"/>
        <w:ind w:right="620" w:firstLine="435"/>
        <w:spacing w:after="0" w:line="306" w:lineRule="auto"/>
        <w:tabs>
          <w:tab w:leader="none" w:pos="7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shall have obtained and delivered to the Underwriters executed copies of an agreement from each officer, director and stockholder of the Company, which together with the agreements referred to in Section 5(f) hereof, represent substantially all of the outstanding securities of the Company, substantially in the form set forth in Annex I hereto in form and substance satisfactory to the Representatives;</w:t>
      </w:r>
    </w:p>
    <w:p>
      <w:pPr>
        <w:spacing w:after="0" w:line="150" w:lineRule="exact"/>
        <w:rPr>
          <w:rFonts w:ascii="Arial" w:cs="Arial" w:eastAsia="Arial" w:hAnsi="Arial"/>
          <w:sz w:val="16"/>
          <w:szCs w:val="16"/>
          <w:color w:val="auto"/>
        </w:rPr>
      </w:pPr>
    </w:p>
    <w:p>
      <w:pPr>
        <w:ind w:right="20" w:firstLine="435"/>
        <w:spacing w:after="0" w:line="270" w:lineRule="auto"/>
        <w:tabs>
          <w:tab w:leader="none" w:pos="8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 and</w:t>
      </w:r>
    </w:p>
    <w:p>
      <w:pPr>
        <w:spacing w:after="0" w:line="174" w:lineRule="exact"/>
        <w:rPr>
          <w:rFonts w:ascii="Arial" w:cs="Arial" w:eastAsia="Arial" w:hAnsi="Arial"/>
          <w:sz w:val="18"/>
          <w:szCs w:val="18"/>
          <w:color w:val="auto"/>
        </w:rPr>
      </w:pPr>
    </w:p>
    <w:p>
      <w:pPr>
        <w:ind w:right="40" w:firstLine="435"/>
        <w:spacing w:after="0" w:line="253" w:lineRule="auto"/>
        <w:tabs>
          <w:tab w:leader="none" w:pos="7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such Time of Delivery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such other matters as the Representatives may reasonably request, and the Company shall have furnished or caused to be furnished certificates as to the matters set forth in subsections (a) and (g) of this Section 8.</w:t>
      </w:r>
    </w:p>
    <w:p>
      <w:pPr>
        <w:spacing w:after="0" w:line="190" w:lineRule="exact"/>
        <w:rPr>
          <w:sz w:val="20"/>
          <w:szCs w:val="20"/>
          <w:color w:val="auto"/>
        </w:rPr>
      </w:pPr>
    </w:p>
    <w:p>
      <w:pPr>
        <w:ind w:firstLine="435"/>
        <w:spacing w:after="0" w:line="283" w:lineRule="auto"/>
        <w:tabs>
          <w:tab w:leader="none" w:pos="74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172" w:lineRule="exact"/>
        <w:rPr>
          <w:sz w:val="20"/>
          <w:szCs w:val="20"/>
          <w:color w:val="auto"/>
        </w:rPr>
      </w:pPr>
    </w:p>
    <w:p>
      <w:pPr>
        <w:ind w:right="20" w:firstLine="435"/>
        <w:spacing w:after="0" w:line="255"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w:t>
      </w:r>
    </w:p>
    <w:p>
      <w:pPr>
        <w:sectPr>
          <w:pgSz w:w="11900" w:h="16838" w:orient="portrait"/>
          <w:cols w:equalWidth="0" w:num="1">
            <w:col w:w="10860"/>
          </w:cols>
          <w:pgMar w:left="500" w:top="272" w:right="539" w:bottom="1440" w:gutter="0" w:footer="0" w:header="0"/>
        </w:sectPr>
      </w:pPr>
    </w:p>
    <w:bookmarkStart w:id="29" w:name="page30"/>
    <w:bookmarkEnd w:id="29"/>
    <w:p>
      <w:pPr>
        <w:ind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sixth paragraph under the caption “Underwriting”, and the information contained in the fourteenth, fifteenth and sixteenth paragraphs under the caption “Underwriting”.</w:t>
      </w:r>
    </w:p>
    <w:p>
      <w:pPr>
        <w:spacing w:after="0" w:line="185" w:lineRule="exact"/>
        <w:rPr>
          <w:sz w:val="20"/>
          <w:szCs w:val="20"/>
          <w:color w:val="auto"/>
        </w:rPr>
      </w:pPr>
    </w:p>
    <w:p>
      <w:pPr>
        <w:ind w:firstLine="435"/>
        <w:spacing w:after="0" w:line="281" w:lineRule="auto"/>
        <w:tabs>
          <w:tab w:leader="none" w:pos="811" w:val="left"/>
        </w:tabs>
        <w:numPr>
          <w:ilvl w:val="1"/>
          <w:numId w:val="40"/>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0" w:lineRule="exact"/>
        <w:rPr>
          <w:rFonts w:ascii="Arial" w:cs="Arial" w:eastAsia="Arial" w:hAnsi="Arial"/>
          <w:sz w:val="16"/>
          <w:szCs w:val="16"/>
          <w:color w:val="auto"/>
        </w:rPr>
      </w:pPr>
    </w:p>
    <w:p>
      <w:pPr>
        <w:ind w:left="820" w:hanging="385"/>
        <w:spacing w:after="0"/>
        <w:tabs>
          <w:tab w:leader="none" w:pos="8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w:t>
      </w:r>
    </w:p>
    <w:p>
      <w:pPr>
        <w:spacing w:after="0" w:line="42" w:lineRule="exact"/>
        <w:rPr>
          <w:rFonts w:ascii="Arial" w:cs="Arial" w:eastAsia="Arial" w:hAnsi="Arial"/>
          <w:sz w:val="16"/>
          <w:szCs w:val="16"/>
          <w:color w:val="auto"/>
        </w:rPr>
      </w:pPr>
    </w:p>
    <w:p>
      <w:pPr>
        <w:jc w:val="both"/>
        <w:ind w:right="120"/>
        <w:spacing w:after="0" w:line="250" w:lineRule="auto"/>
        <w:tabs>
          <w:tab w:leader="none" w:pos="2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w:t>
      </w:r>
    </w:p>
    <w:p>
      <w:pPr>
        <w:sectPr>
          <w:pgSz w:w="11900" w:h="16838" w:orient="portrait"/>
          <w:cols w:equalWidth="0" w:num="1">
            <w:col w:w="10860"/>
          </w:cols>
          <w:pgMar w:left="500" w:top="272" w:right="539" w:bottom="1440" w:gutter="0" w:footer="0" w:header="0"/>
        </w:sectPr>
      </w:pPr>
    </w:p>
    <w:bookmarkStart w:id="30" w:name="page31"/>
    <w:bookmarkEnd w:id="30"/>
    <w:p>
      <w:pPr>
        <w:ind w:right="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75" w:lineRule="exact"/>
        <w:rPr>
          <w:sz w:val="20"/>
          <w:szCs w:val="20"/>
          <w:color w:val="auto"/>
        </w:rPr>
      </w:pPr>
    </w:p>
    <w:p>
      <w:pPr>
        <w:ind w:right="200" w:firstLine="435"/>
        <w:spacing w:after="0" w:line="289" w:lineRule="auto"/>
        <w:tabs>
          <w:tab w:leader="none" w:pos="80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65" w:lineRule="exact"/>
        <w:rPr>
          <w:sz w:val="20"/>
          <w:szCs w:val="20"/>
          <w:color w:val="auto"/>
        </w:rPr>
      </w:pPr>
    </w:p>
    <w:p>
      <w:pPr>
        <w:ind w:firstLine="435"/>
        <w:spacing w:after="0" w:line="252" w:lineRule="auto"/>
        <w:tabs>
          <w:tab w:leader="none" w:pos="8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If any Underwriter shall default in its obligation to purchase the Shares that it has agreed to purchase hereunder at a Time of Delivery, the Representatives may in their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shall be entitled to a further period of thirty-six hours within which to procure another party or other parties satisfactory to the Representatives to purchase such Shares on such terms. In the event that, within the respective prescribed periods, the Representatives notify the Company that they have so arranged for the purchase of such Shares, or</w:t>
      </w:r>
    </w:p>
    <w:p>
      <w:pPr>
        <w:sectPr>
          <w:pgSz w:w="11900" w:h="16838" w:orient="portrait"/>
          <w:cols w:equalWidth="0" w:num="1">
            <w:col w:w="10880"/>
          </w:cols>
          <w:pgMar w:left="500" w:top="272" w:right="519" w:bottom="1440" w:gutter="0" w:footer="0" w:header="0"/>
        </w:sectPr>
      </w:pPr>
    </w:p>
    <w:bookmarkStart w:id="31" w:name="page32"/>
    <w:bookmarkEnd w:id="31"/>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notifies the Representatives that it has so arranged for the purchase of such Shares, the Representatives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80" w:lineRule="exact"/>
        <w:rPr>
          <w:sz w:val="20"/>
          <w:szCs w:val="20"/>
          <w:color w:val="auto"/>
        </w:rPr>
      </w:pPr>
    </w:p>
    <w:p>
      <w:pPr>
        <w:ind w:right="20" w:firstLine="435"/>
        <w:spacing w:after="0" w:line="268" w:lineRule="auto"/>
        <w:tabs>
          <w:tab w:leader="none" w:pos="8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Representatives,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79" w:lineRule="exact"/>
        <w:rPr>
          <w:rFonts w:ascii="Arial" w:cs="Arial" w:eastAsia="Arial" w:hAnsi="Arial"/>
          <w:sz w:val="17"/>
          <w:szCs w:val="17"/>
          <w:color w:val="auto"/>
        </w:rPr>
      </w:pPr>
    </w:p>
    <w:p>
      <w:pPr>
        <w:ind w:right="60" w:firstLine="435"/>
        <w:spacing w:after="0" w:line="284" w:lineRule="auto"/>
        <w:tabs>
          <w:tab w:leader="none" w:pos="811" w:val="left"/>
        </w:tabs>
        <w:numPr>
          <w:ilvl w:val="1"/>
          <w:numId w:val="44"/>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Representatives, the Company as provided in subsection (a) above, the aggregate number of such Shares which remains unpurchased exceeds one-eleventh of the aggregate number of all of the Shares to be purchased at such Time of Delivery, or if the Company shall not exercise the right described in subsection</w:t>
      </w:r>
    </w:p>
    <w:p>
      <w:pPr>
        <w:ind w:right="100"/>
        <w:spacing w:after="0" w:line="249" w:lineRule="auto"/>
        <w:tabs>
          <w:tab w:leader="none" w:pos="2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above to require non-defaulting Underwriters to purchase Shares of a defaulting Underwriter or Underwriters, then this Agreement (or, with respect to a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94" w:lineRule="exact"/>
        <w:rPr>
          <w:sz w:val="20"/>
          <w:szCs w:val="20"/>
          <w:color w:val="auto"/>
        </w:rPr>
      </w:pPr>
    </w:p>
    <w:p>
      <w:pPr>
        <w:ind w:right="40" w:firstLine="435"/>
        <w:spacing w:after="0" w:line="253" w:lineRule="auto"/>
        <w:tabs>
          <w:tab w:leader="none" w:pos="82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and shall survive delivery of and payment for the Shares.</w:t>
      </w:r>
    </w:p>
    <w:p>
      <w:pPr>
        <w:spacing w:after="0" w:line="189" w:lineRule="exact"/>
        <w:rPr>
          <w:rFonts w:ascii="Arial" w:cs="Arial" w:eastAsia="Arial" w:hAnsi="Arial"/>
          <w:sz w:val="18"/>
          <w:szCs w:val="18"/>
          <w:color w:val="auto"/>
        </w:rPr>
      </w:pPr>
    </w:p>
    <w:p>
      <w:pPr>
        <w:ind w:firstLine="435"/>
        <w:spacing w:after="0" w:line="289" w:lineRule="auto"/>
        <w:tabs>
          <w:tab w:leader="none" w:pos="83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ectPr>
          <w:pgSz w:w="11900" w:h="16838" w:orient="portrait"/>
          <w:cols w:equalWidth="0" w:num="1">
            <w:col w:w="10860"/>
          </w:cols>
          <w:pgMar w:left="500" w:top="272" w:right="539" w:bottom="1440" w:gutter="0" w:footer="0" w:header="0"/>
        </w:sectPr>
      </w:pPr>
    </w:p>
    <w:bookmarkStart w:id="32" w:name="page33"/>
    <w:bookmarkEnd w:id="32"/>
    <w:p>
      <w:pPr>
        <w:ind w:right="240" w:firstLine="435"/>
        <w:spacing w:after="0" w:line="300" w:lineRule="auto"/>
        <w:tabs>
          <w:tab w:leader="none" w:pos="835" w:val="left"/>
        </w:tabs>
        <w:numPr>
          <w:ilvl w:val="0"/>
          <w:numId w:val="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spacing w:after="0" w:line="152" w:lineRule="exact"/>
        <w:rPr>
          <w:sz w:val="20"/>
          <w:szCs w:val="20"/>
          <w:color w:val="auto"/>
        </w:rPr>
      </w:pPr>
    </w:p>
    <w:p>
      <w:pPr>
        <w:jc w:val="both"/>
        <w:ind w:firstLine="435"/>
        <w:spacing w:after="0" w:line="306"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50" w:lineRule="exact"/>
        <w:rPr>
          <w:sz w:val="20"/>
          <w:szCs w:val="20"/>
          <w:color w:val="auto"/>
        </w:rPr>
      </w:pPr>
    </w:p>
    <w:p>
      <w:pPr>
        <w:ind w:firstLine="435"/>
        <w:spacing w:after="0" w:line="283"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telex or facsimile transmission to Goldman Sachs &amp; Co. LLC</w:t>
      </w:r>
      <w:r>
        <w:rPr>
          <w:rFonts w:ascii="Arial" w:cs="Arial" w:eastAsia="Arial" w:hAnsi="Arial"/>
          <w:sz w:val="16"/>
          <w:szCs w:val="16"/>
          <w:b w:val="1"/>
          <w:bCs w:val="1"/>
          <w:color w:val="auto"/>
        </w:rPr>
        <w:t>,</w:t>
      </w:r>
      <w:r>
        <w:rPr>
          <w:rFonts w:ascii="Arial" w:cs="Arial" w:eastAsia="Arial" w:hAnsi="Arial"/>
          <w:sz w:val="16"/>
          <w:szCs w:val="16"/>
          <w:color w:val="auto"/>
        </w:rPr>
        <w:t xml:space="preserve"> 200 West Street, New York, New York 10282, Attention: Registration Department; and J.P. Morgan Securities LLC, 383 Madison Avenue, New York, New York 10179 (fax: (212) 622-8358), Attention: Equity Syndicate Desk; if to the Company shall be delivered or sent by mail, telex or facsimile transmission to the address of the Company set forth on the cover of the Registration Statement, Attention: Secretary; and if to any stockholder that has delivered a lock-up letter described in Section 8(h) hereof shall be delivered or sent by mail to such address as such stockholder provides in writing to the Company; provided, however, that any notice to an Underwriter pursuant to Section 9(d) hereof shall be delivered or sent by mail, telex or facsimile transmission to such Underwriter at its address set forth in its Underwriters’ Questionnaire or telex constituting such Questionnaire, which address will be supplied to the Company by the Representatives on request</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further that notices under subsection 5(e) shall be in writing, and if to the Underwriters shall be delivered or sent by mail, telex or facsimile transmission to the Representatives at Goldman Sachs &amp; Co. LLC</w:t>
      </w:r>
      <w:r>
        <w:rPr>
          <w:rFonts w:ascii="Arial" w:cs="Arial" w:eastAsia="Arial" w:hAnsi="Arial"/>
          <w:sz w:val="16"/>
          <w:szCs w:val="16"/>
          <w:b w:val="1"/>
          <w:bCs w:val="1"/>
          <w:color w:val="auto"/>
        </w:rPr>
        <w:t>,</w:t>
      </w:r>
      <w:r>
        <w:rPr>
          <w:rFonts w:ascii="Arial" w:cs="Arial" w:eastAsia="Arial" w:hAnsi="Arial"/>
          <w:sz w:val="16"/>
          <w:szCs w:val="16"/>
          <w:color w:val="auto"/>
        </w:rPr>
        <w:t xml:space="preserve"> 200 West Street, New York, New York 10282, Attention: Registration Department; and J.P. Morgan Securities LLC, 383 Madison Avenue, New York, New York 10179 (fax: (212) 622-8358), Attention: Equity Syndicate Desk. Any such statements, requests, notices or agreements shall take effect upon receipt thereof.</w:t>
      </w:r>
    </w:p>
    <w:p>
      <w:pPr>
        <w:spacing w:after="0" w:line="172" w:lineRule="exact"/>
        <w:rPr>
          <w:sz w:val="20"/>
          <w:szCs w:val="20"/>
          <w:color w:val="auto"/>
        </w:rPr>
      </w:pPr>
    </w:p>
    <w:p>
      <w:pPr>
        <w:ind w:right="80" w:firstLine="435"/>
        <w:spacing w:after="0" w:line="253" w:lineRule="auto"/>
        <w:tabs>
          <w:tab w:leader="none" w:pos="8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or any director, officer, employee, or affiliate or controlling person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89" w:lineRule="exact"/>
        <w:rPr>
          <w:rFonts w:ascii="Arial" w:cs="Arial" w:eastAsia="Arial" w:hAnsi="Arial"/>
          <w:sz w:val="18"/>
          <w:szCs w:val="18"/>
          <w:color w:val="auto"/>
        </w:rPr>
      </w:pPr>
    </w:p>
    <w:p>
      <w:pPr>
        <w:ind w:right="160" w:firstLine="435"/>
        <w:spacing w:after="0" w:line="270" w:lineRule="auto"/>
        <w:tabs>
          <w:tab w:leader="none" w:pos="8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4" w:lineRule="exact"/>
        <w:rPr>
          <w:rFonts w:ascii="Arial" w:cs="Arial" w:eastAsia="Arial" w:hAnsi="Arial"/>
          <w:sz w:val="18"/>
          <w:szCs w:val="18"/>
          <w:color w:val="auto"/>
        </w:rPr>
      </w:pPr>
    </w:p>
    <w:p>
      <w:pPr>
        <w:ind w:right="40" w:firstLine="435"/>
        <w:spacing w:after="0" w:line="266" w:lineRule="auto"/>
        <w:tabs>
          <w:tab w:leader="none" w:pos="83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sectPr>
          <w:pgSz w:w="11900" w:h="16838" w:orient="portrait"/>
          <w:cols w:equalWidth="0" w:num="1">
            <w:col w:w="10880"/>
          </w:cols>
          <w:pgMar w:left="500" w:top="272" w:right="519" w:bottom="1440" w:gutter="0" w:footer="0" w:header="0"/>
        </w:sectPr>
      </w:pPr>
    </w:p>
    <w:bookmarkStart w:id="33" w:name="page34"/>
    <w:bookmarkEnd w:id="33"/>
    <w:p>
      <w:pPr>
        <w:ind w:left="-435" w:right="180" w:firstLine="435"/>
        <w:spacing w:after="0" w:line="270" w:lineRule="auto"/>
        <w:tabs>
          <w:tab w:leader="none" w:pos="397"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This Agreement supersedes all prior agreements and understandings (whether written or oral) between the Company and the Underwriters, or any of them, with respect to the subject matter hereof.</w:t>
      </w:r>
    </w:p>
    <w:p>
      <w:pPr>
        <w:spacing w:after="0" w:line="174" w:lineRule="exact"/>
        <w:rPr>
          <w:rFonts w:ascii="Arial" w:cs="Arial" w:eastAsia="Arial" w:hAnsi="Arial"/>
          <w:sz w:val="18"/>
          <w:szCs w:val="18"/>
          <w:color w:val="auto"/>
        </w:rPr>
      </w:pPr>
    </w:p>
    <w:p>
      <w:pPr>
        <w:ind w:left="-435" w:right="140" w:firstLine="435"/>
        <w:spacing w:after="0" w:line="269" w:lineRule="auto"/>
        <w:tabs>
          <w:tab w:leader="none" w:pos="39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79" w:lineRule="exact"/>
        <w:rPr>
          <w:rFonts w:ascii="Arial" w:cs="Arial" w:eastAsia="Arial" w:hAnsi="Arial"/>
          <w:sz w:val="17"/>
          <w:szCs w:val="17"/>
          <w:color w:val="auto"/>
        </w:rPr>
      </w:pPr>
    </w:p>
    <w:p>
      <w:pPr>
        <w:ind w:left="-435" w:right="100" w:firstLine="435"/>
        <w:spacing w:after="0" w:line="270" w:lineRule="auto"/>
        <w:tabs>
          <w:tab w:leader="none" w:pos="3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4" w:lineRule="exact"/>
        <w:rPr>
          <w:rFonts w:ascii="Arial" w:cs="Arial" w:eastAsia="Arial" w:hAnsi="Arial"/>
          <w:sz w:val="18"/>
          <w:szCs w:val="18"/>
          <w:color w:val="auto"/>
        </w:rPr>
      </w:pPr>
    </w:p>
    <w:p>
      <w:pPr>
        <w:ind w:left="-435" w:firstLine="435"/>
        <w:spacing w:after="0" w:line="271" w:lineRule="auto"/>
        <w:tabs>
          <w:tab w:leader="none" w:pos="39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77" w:lineRule="exact"/>
        <w:rPr>
          <w:rFonts w:ascii="Arial" w:cs="Arial" w:eastAsia="Arial" w:hAnsi="Arial"/>
          <w:sz w:val="17"/>
          <w:szCs w:val="17"/>
          <w:color w:val="auto"/>
        </w:rPr>
      </w:pPr>
    </w:p>
    <w:p>
      <w:pPr>
        <w:ind w:left="-435" w:right="100" w:firstLine="435"/>
        <w:spacing w:after="0" w:line="292" w:lineRule="auto"/>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268" w:lineRule="exact"/>
        <w:rPr>
          <w:rFonts w:ascii="Arial" w:cs="Arial" w:eastAsia="Arial" w:hAnsi="Arial"/>
          <w:sz w:val="16"/>
          <w:szCs w:val="16"/>
          <w:color w:val="auto"/>
        </w:rPr>
      </w:pPr>
    </w:p>
    <w:p>
      <w:pPr>
        <w:ind w:left="405" w:hanging="405"/>
        <w:spacing w:after="0"/>
        <w:tabs>
          <w:tab w:leader="none" w:pos="4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Recognition of the U.S. Special Resolution Regimes.</w:t>
      </w:r>
    </w:p>
    <w:p>
      <w:pPr>
        <w:spacing w:after="0" w:line="113" w:lineRule="exact"/>
        <w:rPr>
          <w:sz w:val="20"/>
          <w:szCs w:val="20"/>
          <w:color w:val="auto"/>
        </w:rPr>
      </w:pPr>
    </w:p>
    <w:p>
      <w:pPr>
        <w:ind w:left="-435" w:right="60" w:firstLine="435"/>
        <w:spacing w:after="0" w:line="255" w:lineRule="auto"/>
        <w:tabs>
          <w:tab w:leader="none" w:pos="3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rFonts w:ascii="Arial" w:cs="Arial" w:eastAsia="Arial" w:hAnsi="Arial"/>
          <w:sz w:val="18"/>
          <w:szCs w:val="18"/>
          <w:color w:val="auto"/>
        </w:rPr>
      </w:pPr>
    </w:p>
    <w:p>
      <w:pPr>
        <w:jc w:val="both"/>
        <w:ind w:left="-435" w:right="20" w:firstLine="435"/>
        <w:spacing w:after="0" w:line="255" w:lineRule="auto"/>
        <w:tabs>
          <w:tab w:leader="none" w:pos="3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ectPr>
          <w:pgSz w:w="11900" w:h="16838" w:orient="portrait"/>
          <w:cols w:equalWidth="0" w:num="1">
            <w:col w:w="10445"/>
          </w:cols>
          <w:pgMar w:left="935" w:top="272" w:right="519" w:bottom="1440" w:gutter="0" w:footer="0" w:header="0"/>
        </w:sectPr>
      </w:pPr>
    </w:p>
    <w:bookmarkStart w:id="34" w:name="page35"/>
    <w:bookmarkEnd w:id="34"/>
    <w:p>
      <w:pPr>
        <w:ind w:left="440"/>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w:t>
      </w:r>
      <w:r>
        <w:rPr>
          <w:sz w:val="20"/>
          <w:szCs w:val="20"/>
          <w:color w:val="auto"/>
        </w:rPr>
        <w:tab/>
      </w:r>
      <w:r>
        <w:rPr>
          <w:rFonts w:ascii="Arial" w:cs="Arial" w:eastAsia="Arial" w:hAnsi="Arial"/>
          <w:sz w:val="16"/>
          <w:szCs w:val="16"/>
          <w:color w:val="auto"/>
        </w:rPr>
        <w:t>As used in this section: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“BHC Act Affiliate” has the meaning assigned to the term “affiliate” in, and shall be interpreted in accordance with, 12 U.S.C. § 1841(k).</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“Covered Entity” means any of the following:</w:t>
      </w:r>
    </w:p>
    <w:p>
      <w:pPr>
        <w:spacing w:after="0" w:line="220" w:lineRule="exact"/>
        <w:rPr>
          <w:sz w:val="20"/>
          <w:szCs w:val="20"/>
          <w:color w:val="auto"/>
        </w:rPr>
      </w:pPr>
    </w:p>
    <w:p>
      <w:pPr>
        <w:ind w:left="640" w:hanging="20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19" w:lineRule="exact"/>
        <w:rPr>
          <w:rFonts w:ascii="Arial" w:cs="Arial" w:eastAsia="Arial" w:hAnsi="Arial"/>
          <w:sz w:val="18"/>
          <w:szCs w:val="18"/>
          <w:color w:val="auto"/>
        </w:rPr>
      </w:pPr>
    </w:p>
    <w:p>
      <w:pPr>
        <w:ind w:left="700" w:hanging="265"/>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19" w:lineRule="exact"/>
        <w:rPr>
          <w:rFonts w:ascii="Arial" w:cs="Arial" w:eastAsia="Arial" w:hAnsi="Arial"/>
          <w:sz w:val="18"/>
          <w:szCs w:val="18"/>
          <w:color w:val="auto"/>
        </w:rPr>
      </w:pPr>
    </w:p>
    <w:p>
      <w:pPr>
        <w:ind w:left="740" w:hanging="305"/>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0" w:lineRule="exact"/>
        <w:rPr>
          <w:sz w:val="20"/>
          <w:szCs w:val="20"/>
          <w:color w:val="auto"/>
        </w:rPr>
      </w:pPr>
    </w:p>
    <w:p>
      <w:pPr>
        <w:ind w:right="480" w:firstLine="435"/>
        <w:spacing w:after="0" w:line="270"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5" w:lineRule="exact"/>
        <w:rPr>
          <w:sz w:val="20"/>
          <w:szCs w:val="20"/>
          <w:color w:val="auto"/>
        </w:rPr>
      </w:pPr>
    </w:p>
    <w:p>
      <w:pPr>
        <w:ind w:firstLine="435"/>
        <w:spacing w:after="0" w:line="300" w:lineRule="auto"/>
        <w:rPr>
          <w:sz w:val="20"/>
          <w:szCs w:val="20"/>
          <w:color w:val="auto"/>
        </w:rPr>
      </w:pPr>
      <w:r>
        <w:rPr>
          <w:rFonts w:ascii="Arial" w:cs="Arial" w:eastAsia="Arial" w:hAnsi="Arial"/>
          <w:sz w:val="17"/>
          <w:szCs w:val="17"/>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ectPr>
          <w:pgSz w:w="11900" w:h="16838" w:orient="portrait"/>
          <w:cols w:equalWidth="0" w:num="1">
            <w:col w:w="10880"/>
          </w:cols>
          <w:pgMar w:left="500" w:top="272" w:right="519" w:bottom="1440" w:gutter="0" w:footer="0" w:header="0"/>
        </w:sectPr>
      </w:pPr>
    </w:p>
    <w:bookmarkStart w:id="35" w:name="page36"/>
    <w:bookmarkEnd w:id="35"/>
    <w:p>
      <w:pPr>
        <w:ind w:firstLine="435"/>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foregoing is in accordance with the Representatives’ understanding, please sign and return to the Representatives seven counterparts hereof, and upon the acceptance hereof by the Representatives, on behalf of each of the Underwriters, this letter and such acceptance hereof shall constitute a binding agreement among each of the Underwriters and the Company. It is understood that the Representatives’ acceptance of this letter on behalf of each of the Underwriters is pursuant to the authority set forth in a form of Agreement among Underwriters, the form of which shall be submitted to the Company for examination, upon request, but without warranty on the Representatives’ part as to the authority of the signers thereof.</w:t>
      </w:r>
    </w:p>
    <w:p>
      <w:pPr>
        <w:spacing w:after="0" w:line="188"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Xometry, Inc.</w:t>
      </w:r>
    </w:p>
    <w:p>
      <w:pPr>
        <w:spacing w:after="0" w:line="22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13335</wp:posOffset>
            </wp:positionV>
            <wp:extent cx="2533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w:t>
      </w:r>
    </w:p>
    <w:p>
      <w:pPr>
        <w:spacing w:after="0" w:line="1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820"/>
          </w:cols>
          <w:pgMar w:left="500" w:top="272" w:right="57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Accepted as of the date hereof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 New York, 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13335</wp:posOffset>
            </wp:positionV>
            <wp:extent cx="25076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2507615" cy="8255"/>
                    </a:xfrm>
                    <a:prstGeom prst="rect">
                      <a:avLst/>
                    </a:prstGeom>
                    <a:noFill/>
                  </pic:spPr>
                </pic:pic>
              </a:graphicData>
            </a:graphic>
          </wp:anchor>
        </w:drawing>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13335</wp:posOffset>
            </wp:positionV>
            <wp:extent cx="25076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2507615" cy="8255"/>
                    </a:xfrm>
                    <a:prstGeom prst="rect">
                      <a:avLst/>
                    </a:prstGeom>
                    <a:noFill/>
                  </pic:spPr>
                </pic:pic>
              </a:graphicData>
            </a:graphic>
          </wp:anchor>
        </w:drawing>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On behalf of each of the Underwriters</w:t>
      </w:r>
    </w:p>
    <w:p>
      <w:pPr>
        <w:sectPr>
          <w:pgSz w:w="11900" w:h="16838" w:orient="portrait"/>
          <w:cols w:equalWidth="0" w:num="1">
            <w:col w:w="9959"/>
          </w:cols>
          <w:pgMar w:left="500" w:top="272" w:right="1440" w:bottom="1440" w:gutter="0" w:footer="0" w:header="0"/>
        </w:sectPr>
      </w:pPr>
    </w:p>
    <w:bookmarkStart w:id="37" w:name="page38"/>
    <w:bookmarkEnd w:id="37"/>
    <w:p>
      <w:pPr>
        <w:jc w:val="right"/>
        <w:ind w:right="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13970</wp:posOffset>
            </wp:positionV>
            <wp:extent cx="5252720" cy="135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5252720" cy="135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Goldman Sachs &amp; Co. LLC</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J.P. Morgan Securities LLC</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-130175</wp:posOffset>
            </wp:positionV>
            <wp:extent cx="5252720" cy="135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5252720" cy="135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Citigroup Global Markets Inc.</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-130175</wp:posOffset>
            </wp:positionV>
            <wp:extent cx="5252720" cy="135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5252720" cy="135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William Blair &amp; Company, L.L.C.</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-130175</wp:posOffset>
            </wp:positionV>
            <wp:extent cx="5252720" cy="135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5252720" cy="135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C.L. King &amp; Associates, Inc.</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-130175</wp:posOffset>
            </wp:positionV>
            <wp:extent cx="5252720" cy="135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5252720" cy="13525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7"/>
        </w:trPr>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Shares to be</w:t>
            </w:r>
          </w:p>
        </w:tc>
        <w:tc>
          <w:tcPr>
            <w:tcW w:w="0" w:type="dxa"/>
            <w:vAlign w:val="bottom"/>
          </w:tcPr>
          <w:p>
            <w:pPr>
              <w:spacing w:after="0"/>
              <w:rPr>
                <w:sz w:val="1"/>
                <w:szCs w:val="1"/>
                <w:color w:val="auto"/>
              </w:rPr>
            </w:pPr>
          </w:p>
        </w:tc>
      </w:tr>
      <w:tr>
        <w:trPr>
          <w:trHeight w:val="147"/>
        </w:trPr>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Purchased if</w:t>
            </w:r>
          </w:p>
        </w:tc>
        <w:tc>
          <w:tcPr>
            <w:tcW w:w="0" w:type="dxa"/>
            <w:vAlign w:val="bottom"/>
          </w:tcPr>
          <w:p>
            <w:pPr>
              <w:spacing w:after="0"/>
              <w:rPr>
                <w:sz w:val="1"/>
                <w:szCs w:val="1"/>
                <w:color w:val="auto"/>
              </w:rPr>
            </w:pPr>
          </w:p>
        </w:tc>
      </w:tr>
      <w:tr>
        <w:trPr>
          <w:trHeight w:val="147"/>
        </w:trPr>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Firm Shares</w:t>
            </w:r>
          </w:p>
        </w:tc>
        <w:tc>
          <w:tcPr>
            <w:tcW w:w="1220" w:type="dxa"/>
            <w:vAlign w:val="bottom"/>
            <w:gridSpan w:val="2"/>
          </w:tcPr>
          <w:p>
            <w:pPr>
              <w:jc w:val="center"/>
              <w:ind w:left="49"/>
              <w:spacing w:after="0" w:line="147" w:lineRule="exact"/>
              <w:rPr>
                <w:sz w:val="20"/>
                <w:szCs w:val="20"/>
                <w:color w:val="auto"/>
              </w:rPr>
            </w:pPr>
            <w:r>
              <w:rPr>
                <w:rFonts w:ascii="Arial" w:cs="Arial" w:eastAsia="Arial" w:hAnsi="Arial"/>
                <w:sz w:val="14"/>
                <w:szCs w:val="14"/>
                <w:b w:val="1"/>
                <w:bCs w:val="1"/>
                <w:color w:val="auto"/>
                <w:w w:val="96"/>
              </w:rPr>
              <w:t>Maximum Option</w:t>
            </w:r>
          </w:p>
        </w:tc>
        <w:tc>
          <w:tcPr>
            <w:tcW w:w="0" w:type="dxa"/>
            <w:vAlign w:val="bottom"/>
          </w:tcPr>
          <w:p>
            <w:pPr>
              <w:spacing w:after="0"/>
              <w:rPr>
                <w:sz w:val="1"/>
                <w:szCs w:val="1"/>
                <w:color w:val="auto"/>
              </w:rPr>
            </w:pPr>
          </w:p>
        </w:tc>
      </w:tr>
      <w:tr>
        <w:trPr>
          <w:trHeight w:val="169"/>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to be Purchased</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Exercised</w:t>
            </w:r>
          </w:p>
        </w:tc>
        <w:tc>
          <w:tcPr>
            <w:tcW w:w="0" w:type="dxa"/>
            <w:vAlign w:val="bottom"/>
          </w:tcPr>
          <w:p>
            <w:pPr>
              <w:spacing w:after="0"/>
              <w:rPr>
                <w:sz w:val="1"/>
                <w:szCs w:val="1"/>
                <w:color w:val="auto"/>
              </w:rPr>
            </w:pPr>
          </w:p>
        </w:tc>
      </w:tr>
      <w:tr>
        <w:trPr>
          <w:trHeight w:val="1901"/>
        </w:trPr>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660" w:space="720"/>
            <w:col w:w="2639"/>
          </w:cols>
          <w:pgMar w:left="1440" w:top="268" w:right="1440" w:bottom="1440" w:gutter="0" w:footer="0" w:header="0"/>
        </w:sectPr>
      </w:pPr>
    </w:p>
    <w:bookmarkStart w:id="38" w:name="page39"/>
    <w:bookmarkEnd w:id="38"/>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II</w:t>
      </w:r>
    </w:p>
    <w:p>
      <w:pPr>
        <w:spacing w:after="0" w:line="224" w:lineRule="exact"/>
        <w:rPr>
          <w:sz w:val="20"/>
          <w:szCs w:val="20"/>
          <w:color w:val="auto"/>
        </w:rPr>
      </w:pPr>
    </w:p>
    <w:p>
      <w:pPr>
        <w:ind w:left="980" w:right="3819" w:hanging="980"/>
        <w:spacing w:after="0" w:line="393"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Electronic Roadshow dated June 2021</w:t>
      </w:r>
    </w:p>
    <w:p>
      <w:pPr>
        <w:spacing w:after="0" w:line="176" w:lineRule="exact"/>
        <w:rPr>
          <w:rFonts w:ascii="Arial" w:cs="Arial" w:eastAsia="Arial" w:hAnsi="Arial"/>
          <w:sz w:val="18"/>
          <w:szCs w:val="18"/>
          <w:color w:val="auto"/>
        </w:rPr>
      </w:pPr>
    </w:p>
    <w:p>
      <w:pPr>
        <w:ind w:left="420" w:hanging="420"/>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 documents incorporated by reference</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980" w:right="3019" w:hanging="980"/>
        <w:spacing w:after="0" w:line="393"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Information other than the Pricing Prospectus that comprise the Pricing Disclosure Package The initial public offering price per share for the Shares is $[●]</w:t>
      </w:r>
    </w:p>
    <w:p>
      <w:pPr>
        <w:ind w:left="980"/>
        <w:spacing w:after="0"/>
        <w:rPr>
          <w:rFonts w:ascii="Arial" w:cs="Arial" w:eastAsia="Arial" w:hAnsi="Arial"/>
          <w:sz w:val="17"/>
          <w:szCs w:val="17"/>
          <w:color w:val="auto"/>
        </w:rPr>
      </w:pPr>
      <w:r>
        <w:rPr>
          <w:rFonts w:ascii="Arial" w:cs="Arial" w:eastAsia="Arial" w:hAnsi="Arial"/>
          <w:sz w:val="18"/>
          <w:szCs w:val="18"/>
          <w:color w:val="auto"/>
        </w:rPr>
        <w:t>The number of Shares purchased by the Underwriters is [●].</w:t>
      </w:r>
    </w:p>
    <w:p>
      <w:pPr>
        <w:spacing w:after="0" w:line="326" w:lineRule="exact"/>
        <w:rPr>
          <w:rFonts w:ascii="Arial" w:cs="Arial" w:eastAsia="Arial" w:hAnsi="Arial"/>
          <w:sz w:val="17"/>
          <w:szCs w:val="17"/>
          <w:color w:val="auto"/>
        </w:rPr>
      </w:pPr>
    </w:p>
    <w:p>
      <w:pPr>
        <w:ind w:left="380" w:hanging="380"/>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Written Testing-the-Waters Communications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959"/>
          </w:cols>
          <w:pgMar w:left="500" w:top="268"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ANNEX I</w:t>
      </w:r>
    </w:p>
    <w:p>
      <w:pPr>
        <w:spacing w:after="0" w:line="220" w:lineRule="exact"/>
        <w:rPr>
          <w:sz w:val="20"/>
          <w:szCs w:val="20"/>
          <w:color w:val="auto"/>
        </w:rPr>
      </w:pPr>
    </w:p>
    <w:p>
      <w:pPr>
        <w:jc w:val="center"/>
        <w:ind w:right="920"/>
        <w:spacing w:after="0"/>
        <w:rPr>
          <w:sz w:val="20"/>
          <w:szCs w:val="20"/>
          <w:color w:val="auto"/>
        </w:rPr>
      </w:pPr>
      <w:r>
        <w:rPr>
          <w:rFonts w:ascii="Arial" w:cs="Arial" w:eastAsia="Arial" w:hAnsi="Arial"/>
          <w:sz w:val="17"/>
          <w:szCs w:val="17"/>
          <w:b w:val="1"/>
          <w:bCs w:val="1"/>
          <w:color w:val="auto"/>
        </w:rPr>
        <w:t>[FORM OF LOCK-UP AGREEMENT]</w:t>
      </w:r>
    </w:p>
    <w:p>
      <w:pPr>
        <w:spacing w:after="0" w:line="23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circulated separately</w:t>
      </w:r>
      <w:r>
        <w:rPr>
          <w:rFonts w:ascii="Arial" w:cs="Arial" w:eastAsia="Arial" w:hAnsi="Arial"/>
          <w:sz w:val="18"/>
          <w:szCs w:val="18"/>
          <w:b w:val="1"/>
          <w:bCs w:val="1"/>
          <w:color w:val="auto"/>
        </w:rPr>
        <w:t>]</w:t>
      </w:r>
    </w:p>
    <w:p>
      <w:pPr>
        <w:sectPr>
          <w:pgSz w:w="11900" w:h="16838" w:orient="portrait"/>
          <w:cols w:equalWidth="0" w:num="1">
            <w:col w:w="9940"/>
          </w:cols>
          <w:pgMar w:left="1440" w:top="268" w:right="5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ANNEX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Xometry,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10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Xometry, Inc. (the “Company”) announced today that Goldman Sachs &amp; Co. LLC and J.P. Morgan Securities LLC, the lead book-running managers in the recent public sale of [●] shares of the Company’s Class A common stock, is [waiving] [releasing] a lock-up restriction with respect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shares of the Company’s Class A common stock held by [certain officers or directors] [an officer or director] of the Company. The [waiver] [release]</w:t>
      </w:r>
    </w:p>
    <w:p>
      <w:pPr>
        <w:spacing w:after="0" w:line="29" w:lineRule="exact"/>
        <w:rPr>
          <w:sz w:val="20"/>
          <w:szCs w:val="20"/>
          <w:color w:val="auto"/>
        </w:rPr>
      </w:pPr>
    </w:p>
    <w:p>
      <w:pPr>
        <w:spacing w:after="0"/>
        <w:tabs>
          <w:tab w:leader="none" w:pos="1800" w:val="left"/>
          <w:tab w:leader="none" w:pos="2240" w:val="left"/>
        </w:tabs>
        <w:rPr>
          <w:sz w:val="20"/>
          <w:szCs w:val="20"/>
          <w:color w:val="auto"/>
        </w:rPr>
      </w:pPr>
      <w:r>
        <w:rPr>
          <w:rFonts w:ascii="Arial" w:cs="Arial" w:eastAsia="Arial" w:hAnsi="Arial"/>
          <w:sz w:val="18"/>
          <w:szCs w:val="18"/>
          <w:color w:val="auto"/>
        </w:rPr>
        <w:t>will take effect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 and the shares may be sold on or after such date.</w:t>
      </w:r>
    </w:p>
    <w:p>
      <w:pPr>
        <w:spacing w:after="0" w:line="203" w:lineRule="exact"/>
        <w:rPr>
          <w:sz w:val="20"/>
          <w:szCs w:val="20"/>
          <w:color w:val="auto"/>
        </w:rPr>
      </w:pPr>
    </w:p>
    <w:p>
      <w:pPr>
        <w:jc w:val="both"/>
        <w:ind w:right="280"/>
        <w:spacing w:after="0" w:line="261"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880"/>
          </w:cols>
          <w:pgMar w:left="500" w:top="268" w:right="519" w:bottom="1440" w:gutter="0" w:footer="0" w:header="0"/>
        </w:sectPr>
      </w:pPr>
    </w:p>
    <w:bookmarkStart w:id="41" w:name="page42"/>
    <w:bookmarkEnd w:id="41"/>
    <w:p>
      <w:pPr>
        <w:ind w:left="912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182880</wp:posOffset>
            </wp:positionV>
            <wp:extent cx="5761355" cy="3499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5761355" cy="3499485"/>
                    </a:xfrm>
                    <a:prstGeom prst="rect">
                      <a:avLst/>
                    </a:prstGeom>
                    <a:noFill/>
                  </pic:spPr>
                </pic:pic>
              </a:graphicData>
            </a:graphic>
          </wp:anchor>
        </w:drawing>
      </w:r>
    </w:p>
    <w:p>
      <w:pPr>
        <w:sectPr>
          <w:pgSz w:w="11900" w:h="16838" w:orient="portrait"/>
          <w:cols w:equalWidth="0" w:num="1">
            <w:col w:w="9940"/>
          </w:cols>
          <w:pgMar w:left="1440" w:top="121" w:right="519" w:bottom="1440"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69557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76135" cy="6955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168275</wp:posOffset>
            </wp:positionV>
            <wp:extent cx="1160780" cy="3810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1160780" cy="38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Eric Blanchard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+1 212 479 6565</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eblanchard@cooley.com</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June 25,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Xometry,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7529 Standish Place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Derwood, MD 20855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acted as counsel to Xometry,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(No. 333-256769)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including a related prospectus filed with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covering an underwritten public offering of up to 7,906,250 shares of the Company’s Class A common stock, par value $0.000001 per share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which includes up to 1,031,250 Shares that may be sold by the Company upon exercise of an option to purchase additional shares to be granted to the underwriters.</w:t>
      </w:r>
    </w:p>
    <w:p>
      <w:pPr>
        <w:spacing w:after="0" w:line="19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connection with this opinion, we have (i) examined and relied upon (a) the Registration Statement and the Prospectus, (b) the Company’s Amended and Restated Certificate of Incorporation and Amended and Restated Bylaws, each as currently in effect, (c) the forms of the Company’s Amended and Restated Certificate of Incorporation and Amended and Restated Bylaws, filed as Exhibits 3.2 and 3.4 to the Registration Statement, respectively, each of which is to be in effect prior to the closing of the offering contemplated by the Registration Statement and (d) originals or copies certified to our satisfaction of such records, documents, certificates, memoranda and other instruments as in our judgment are necessary or appropriate to enable us to render the opinion expressed below and (ii) assumed that the Shares will be sold at a price established by the Board of Directors of the Company or a duly authorized committee thereof and that the Amended and Restated Certificate of Incorporation referred to in clause (i)(c) is filed with the Secretary of State of the State of Delaware before issuance of the Shares.</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by all persons other than by the Company of all documents where due authorization, execution and delivery are prerequisites to the effectiveness thereof. As to certain factual matters, we have relied upon a certificate of an officer of the Company and have not independently verified such matters.</w:t>
      </w:r>
    </w:p>
    <w:p>
      <w:pPr>
        <w:spacing w:after="0" w:line="19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6"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175" w:lineRule="exact"/>
        <w:rPr>
          <w:sz w:val="20"/>
          <w:szCs w:val="20"/>
          <w:color w:val="auto"/>
        </w:rPr>
      </w:pPr>
    </w:p>
    <w:p>
      <w:pPr>
        <w:ind w:left="4760"/>
        <w:spacing w:after="0"/>
        <w:tabs>
          <w:tab w:leader="none" w:pos="5360" w:val="left"/>
          <w:tab w:leader="none" w:pos="6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55 Hudson Yards, New York, NY 10001-2157</w:t>
      </w:r>
    </w:p>
    <w:p>
      <w:pPr>
        <w:jc w:val="center"/>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0880"/>
          </w:cols>
          <w:pgMar w:left="500" w:top="121" w:right="5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385445</wp:posOffset>
            </wp:positionH>
            <wp:positionV relativeFrom="page">
              <wp:posOffset>182245</wp:posOffset>
            </wp:positionV>
            <wp:extent cx="1160780" cy="3810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60780" cy="381000"/>
                    </a:xfrm>
                    <a:prstGeom prst="rect">
                      <a:avLst/>
                    </a:prstGeom>
                    <a:noFill/>
                  </pic:spPr>
                </pic:pic>
              </a:graphicData>
            </a:graphic>
          </wp:anchor>
        </w:drawing>
        <w:t>Xometry,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June 25,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consent to the reference to our firm under the caption “Legal Matters” in the Prospectus included in the Registration Statement and to the filing of this opinion as an exhibit to the 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By: /s/ Eric Blanchard</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Eric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-130175</wp:posOffset>
            </wp:positionV>
            <wp:extent cx="25673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Cooley LLP 55 Hudson Yards, New York, NY 10001-2157</w:t>
      </w:r>
    </w:p>
    <w:p>
      <w:pPr>
        <w:jc w:val="center"/>
        <w:ind w:right="-239"/>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0660"/>
          </w:cols>
          <w:pgMar w:left="500" w:top="1299" w:right="7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10.10</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Standard Stock Option Grant Package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Xometry,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has granted to you (“</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xml:space="preserve"> an option to purchase the number of shares of the Common Stock set forth below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1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13335</wp:posOffset>
            </wp:positionV>
            <wp:extent cx="20675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2067560" cy="8255"/>
                    </a:xfrm>
                    <a:prstGeom prst="rect">
                      <a:avLst/>
                    </a:prstGeom>
                    <a:noFill/>
                  </pic:spPr>
                </pic:pic>
              </a:graphicData>
            </a:graphic>
          </wp:anchor>
        </w:drawing>
      </w:r>
    </w:p>
    <w:p>
      <w:pPr>
        <w:spacing w:after="0" w:line="1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13335</wp:posOffset>
            </wp:positionV>
            <wp:extent cx="20675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2067560" cy="8255"/>
                    </a:xfrm>
                    <a:prstGeom prst="rect">
                      <a:avLst/>
                    </a:prstGeom>
                    <a:noFill/>
                  </pic:spPr>
                </pic:pic>
              </a:graphicData>
            </a:graphic>
          </wp:anchor>
        </w:drawing>
      </w:r>
    </w:p>
    <w:p>
      <w:pPr>
        <w:spacing w:after="0" w:line="1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13335</wp:posOffset>
            </wp:positionV>
            <wp:extent cx="20675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2067560" cy="8255"/>
                    </a:xfrm>
                    <a:prstGeom prst="rect">
                      <a:avLst/>
                    </a:prstGeom>
                    <a:noFill/>
                  </pic:spPr>
                </pic:pic>
              </a:graphicData>
            </a:graphic>
          </wp:anchor>
        </w:drawing>
      </w:r>
    </w:p>
    <w:p>
      <w:pPr>
        <w:spacing w:after="0" w:line="1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13335</wp:posOffset>
            </wp:positionV>
            <wp:extent cx="20675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2067560" cy="8255"/>
                    </a:xfrm>
                    <a:prstGeom prst="rect">
                      <a:avLst/>
                    </a:prstGeom>
                    <a:noFill/>
                  </pic:spPr>
                </pic:pic>
              </a:graphicData>
            </a:graphic>
          </wp:anchor>
        </w:drawing>
      </w:r>
    </w:p>
    <w:p>
      <w:pPr>
        <w:spacing w:after="0" w:line="1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13335</wp:posOffset>
            </wp:positionV>
            <wp:extent cx="20675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2067560" cy="8255"/>
                    </a:xfrm>
                    <a:prstGeom prst="rect">
                      <a:avLst/>
                    </a:prstGeom>
                    <a:noFill/>
                  </pic:spPr>
                </pic:pic>
              </a:graphicData>
            </a:graphic>
          </wp:anchor>
        </w:drawing>
      </w:r>
    </w:p>
    <w:p>
      <w:pPr>
        <w:spacing w:after="0" w:line="1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13335</wp:posOffset>
            </wp:positionV>
            <wp:extent cx="20675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2067560" cy="8255"/>
                    </a:xfrm>
                    <a:prstGeom prst="rect">
                      <a:avLst/>
                    </a:prstGeom>
                    <a:noFill/>
                  </pic:spPr>
                </pic:pic>
              </a:graphicData>
            </a:graphic>
          </wp:anchor>
        </w:drawing>
      </w:r>
    </w:p>
    <w:p>
      <w:pPr>
        <w:spacing w:after="0" w:line="1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13335</wp:posOffset>
            </wp:positionV>
            <wp:extent cx="20675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2067560" cy="8255"/>
                    </a:xfrm>
                    <a:prstGeom prst="rect">
                      <a:avLst/>
                    </a:prstGeom>
                    <a:noFill/>
                  </pic:spPr>
                </pic:pic>
              </a:graphicData>
            </a:graphic>
          </wp:anchor>
        </w:drawing>
      </w:r>
    </w:p>
    <w:p>
      <w:pPr>
        <w:spacing w:after="0" w:line="249"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Type of Grant:</w:t>
      </w:r>
      <w:r>
        <w:rPr>
          <w:sz w:val="20"/>
          <w:szCs w:val="20"/>
          <w:color w:val="auto"/>
        </w:rPr>
        <w:tab/>
      </w:r>
      <w:r>
        <w:rPr>
          <w:rFonts w:ascii="Arial" w:cs="Arial" w:eastAsia="Arial" w:hAnsi="Arial"/>
          <w:sz w:val="16"/>
          <w:szCs w:val="16"/>
          <w:color w:val="auto"/>
        </w:rPr>
        <w:t>[Incentive Stock Option]</w:t>
      </w:r>
      <w:r>
        <w:rPr>
          <w:rFonts w:ascii="Arial" w:cs="Arial" w:eastAsia="Arial" w:hAnsi="Arial"/>
          <w:sz w:val="13"/>
          <w:szCs w:val="13"/>
          <w:color w:val="auto"/>
        </w:rPr>
        <w:t>1</w:t>
      </w:r>
      <w:r>
        <w:rPr>
          <w:rFonts w:ascii="Arial" w:cs="Arial" w:eastAsia="Arial" w:hAnsi="Arial"/>
          <w:sz w:val="16"/>
          <w:szCs w:val="16"/>
          <w:color w:val="auto"/>
        </w:rPr>
        <w:t xml:space="preserve">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[Nonstatutory Stock Option]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and</w:t>
      </w:r>
    </w:p>
    <w:p>
      <w:pPr>
        <w:spacing w:after="0" w:line="23"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6"/>
          <w:szCs w:val="16"/>
          <w:color w:val="auto"/>
        </w:rPr>
        <w:t>Subject to the Optionholder’s Continuous Service through each applicable vesting date, the Option will vest as follows:</w:t>
      </w:r>
    </w:p>
    <w:p>
      <w:pPr>
        <w:spacing w:after="0" w:line="114" w:lineRule="exact"/>
        <w:rPr>
          <w:sz w:val="20"/>
          <w:szCs w:val="20"/>
          <w:color w:val="auto"/>
        </w:rPr>
      </w:pPr>
    </w:p>
    <w:p>
      <w:pPr>
        <w:ind w:left="2300" w:right="20"/>
        <w:spacing w:after="0" w:line="258" w:lineRule="auto"/>
        <w:rPr>
          <w:sz w:val="20"/>
          <w:szCs w:val="20"/>
          <w:color w:val="auto"/>
        </w:rPr>
      </w:pPr>
      <w:r>
        <w:rPr>
          <w:rFonts w:ascii="Arial" w:cs="Arial" w:eastAsia="Arial" w:hAnsi="Arial"/>
          <w:sz w:val="18"/>
          <w:szCs w:val="18"/>
          <w:color w:val="auto"/>
        </w:rPr>
        <w:t>[1/4</w:t>
      </w:r>
      <w:r>
        <w:rPr>
          <w:rFonts w:ascii="Arial" w:cs="Arial" w:eastAsia="Arial" w:hAnsi="Arial"/>
          <w:sz w:val="15"/>
          <w:szCs w:val="15"/>
          <w:color w:val="auto"/>
        </w:rPr>
        <w:t>th</w:t>
      </w:r>
      <w:r>
        <w:rPr>
          <w:rFonts w:ascii="Arial" w:cs="Arial" w:eastAsia="Arial" w:hAnsi="Arial"/>
          <w:sz w:val="18"/>
          <w:szCs w:val="18"/>
          <w:color w:val="auto"/>
        </w:rPr>
        <w:t xml:space="preserve"> of the shares vest and become exercisable on the one year anniversary of the Vesting Commencement Date, and the balance of the shares vest and become exercisable in a series of thirty-six (36) successive equal monthly installments thereafter]</w:t>
      </w:r>
    </w:p>
    <w:p>
      <w:pPr>
        <w:spacing w:after="0" w:line="182"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b w:val="1"/>
          <w:bCs w:val="1"/>
          <w:color w:val="auto"/>
        </w:rPr>
        <w:t xml:space="preserve">Optionholder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78" w:lineRule="exact"/>
        <w:rPr>
          <w:sz w:val="20"/>
          <w:szCs w:val="20"/>
          <w:color w:val="auto"/>
        </w:rPr>
      </w:pPr>
    </w:p>
    <w:p>
      <w:pPr>
        <w:ind w:left="960" w:right="100" w:hanging="533"/>
        <w:spacing w:after="0" w:line="255" w:lineRule="auto"/>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94" w:lineRule="exact"/>
        <w:rPr>
          <w:rFonts w:ascii="Arial" w:cs="Arial" w:eastAsia="Arial" w:hAnsi="Arial"/>
          <w:sz w:val="18"/>
          <w:szCs w:val="18"/>
          <w:color w:val="auto"/>
        </w:rPr>
      </w:pPr>
    </w:p>
    <w:p>
      <w:pPr>
        <w:ind w:left="960" w:right="200" w:hanging="533"/>
        <w:spacing w:after="0" w:line="258" w:lineRule="auto"/>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[If the Option is an Incentive Stock Option, it (plus other outstanding Incentive Stock Options granted to you)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pacing w:after="0" w:line="93" w:lineRule="exact"/>
        <w:rPr>
          <w:rFonts w:ascii="Arial" w:cs="Arial" w:eastAsia="Arial" w:hAnsi="Arial"/>
          <w:sz w:val="18"/>
          <w:szCs w:val="18"/>
          <w:color w:val="auto"/>
        </w:rPr>
      </w:pPr>
    </w:p>
    <w:p>
      <w:pPr>
        <w:ind w:left="960" w:right="160" w:hanging="533"/>
        <w:spacing w:after="0" w:line="258" w:lineRule="auto"/>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399" w:lineRule="exact"/>
        <w:rPr>
          <w:rFonts w:ascii="Arial" w:cs="Arial" w:eastAsia="Arial" w:hAnsi="Arial"/>
          <w:sz w:val="18"/>
          <w:szCs w:val="18"/>
          <w:color w:val="auto"/>
        </w:rPr>
      </w:pPr>
    </w:p>
    <w:p>
      <w:pPr>
        <w:ind w:left="420" w:right="20" w:hanging="427"/>
        <w:spacing w:after="0" w:line="270"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If this is an Incentive Stock Option, it (plus other outstanding Incentive Stock Options) cannot be first exercisable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-320040</wp:posOffset>
            </wp:positionV>
            <wp:extent cx="7626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ectPr>
          <w:pgSz w:w="11900" w:h="16838" w:orient="portrait"/>
          <w:cols w:equalWidth="0" w:num="1">
            <w:col w:w="10880"/>
          </w:cols>
          <w:pgMar w:left="500" w:top="121" w:right="5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Standard Stock Option Grant Package</w:t>
      </w:r>
    </w:p>
    <w:p>
      <w:pPr>
        <w:spacing w:after="0" w:line="273" w:lineRule="exact"/>
        <w:rPr>
          <w:sz w:val="20"/>
          <w:szCs w:val="20"/>
          <w:color w:val="auto"/>
        </w:rPr>
      </w:pPr>
    </w:p>
    <w:p>
      <w:pPr>
        <w:jc w:val="both"/>
        <w:ind w:left="960" w:right="80" w:hanging="533"/>
        <w:spacing w:after="0" w:line="258"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93" w:lineRule="exact"/>
        <w:rPr>
          <w:rFonts w:ascii="Arial" w:cs="Arial" w:eastAsia="Arial" w:hAnsi="Arial"/>
          <w:sz w:val="18"/>
          <w:szCs w:val="18"/>
          <w:color w:val="auto"/>
        </w:rPr>
      </w:pPr>
    </w:p>
    <w:p>
      <w:pPr>
        <w:ind w:left="960" w:right="80" w:hanging="533"/>
        <w:spacing w:after="0" w:line="296" w:lineRule="auto"/>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66" w:lineRule="exact"/>
        <w:rPr>
          <w:rFonts w:ascii="Arial" w:cs="Arial" w:eastAsia="Arial" w:hAnsi="Arial"/>
          <w:sz w:val="16"/>
          <w:szCs w:val="16"/>
          <w:color w:val="auto"/>
        </w:rPr>
      </w:pPr>
    </w:p>
    <w:p>
      <w:pPr>
        <w:jc w:val="both"/>
        <w:ind w:left="960" w:right="260" w:hanging="533"/>
        <w:spacing w:after="0" w:line="281" w:lineRule="auto"/>
        <w:tabs>
          <w:tab w:leader="none" w:pos="9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680" w:type="dxa"/>
            <w:vAlign w:val="bottom"/>
            <w:gridSpan w:val="4"/>
          </w:tcPr>
          <w:p>
            <w:pPr>
              <w:ind w:left="56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r>
      <w:tr>
        <w:trPr>
          <w:trHeight w:val="435"/>
        </w:trPr>
        <w:tc>
          <w:tcPr>
            <w:tcW w:w="5200" w:type="dxa"/>
            <w:vAlign w:val="bottom"/>
            <w:gridSpan w:val="2"/>
          </w:tcPr>
          <w:p>
            <w:pPr>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3"/>
        </w:trPr>
        <w:tc>
          <w:tcPr>
            <w:tcW w:w="520" w:type="dxa"/>
            <w:vAlign w:val="bottom"/>
          </w:tcPr>
          <w:p>
            <w:pPr>
              <w:spacing w:after="0"/>
              <w:rPr>
                <w:sz w:val="18"/>
                <w:szCs w:val="18"/>
                <w:color w:val="auto"/>
              </w:rPr>
            </w:pPr>
          </w:p>
        </w:tc>
        <w:tc>
          <w:tcPr>
            <w:tcW w:w="4680" w:type="dxa"/>
            <w:vAlign w:val="bottom"/>
            <w:tcBorders>
              <w:top w:val="single" w:sz="8" w:color="auto"/>
            </w:tcBorders>
          </w:tcPr>
          <w:p>
            <w:pPr>
              <w:ind w:left="2000"/>
              <w:spacing w:after="0"/>
              <w:rPr>
                <w:sz w:val="20"/>
                <w:szCs w:val="20"/>
                <w:color w:val="auto"/>
              </w:rPr>
            </w:pPr>
            <w:r>
              <w:rPr>
                <w:rFonts w:ascii="Arial" w:cs="Arial" w:eastAsia="Arial" w:hAnsi="Arial"/>
                <w:sz w:val="18"/>
                <w:szCs w:val="18"/>
                <w:color w:val="auto"/>
              </w:rPr>
              <w:t>Signature</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40" w:type="dxa"/>
            <w:vAlign w:val="bottom"/>
            <w:gridSpan w:val="2"/>
          </w:tcPr>
          <w:p>
            <w:pPr>
              <w:ind w:left="1740"/>
              <w:spacing w:after="0"/>
              <w:rPr>
                <w:sz w:val="20"/>
                <w:szCs w:val="20"/>
                <w:color w:val="auto"/>
              </w:rPr>
            </w:pPr>
            <w:r>
              <w:rPr>
                <w:rFonts w:ascii="Arial" w:cs="Arial" w:eastAsia="Arial" w:hAnsi="Arial"/>
                <w:sz w:val="18"/>
                <w:szCs w:val="18"/>
                <w:color w:val="auto"/>
              </w:rPr>
              <w:t>Signature</w:t>
            </w:r>
          </w:p>
        </w:tc>
      </w:tr>
      <w:tr>
        <w:trPr>
          <w:trHeight w:val="421"/>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4"/>
                <w:szCs w:val="24"/>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StockOption Agreement, 2021 Equity Incentive Plan, Notice of Exercise</w:t>
      </w:r>
    </w:p>
    <w:p>
      <w:pPr>
        <w:sectPr>
          <w:pgSz w:w="11900" w:h="16838" w:orient="portrait"/>
          <w:cols w:equalWidth="0" w:num="1">
            <w:col w:w="10880"/>
          </w:cols>
          <w:pgMar w:left="500" w:top="272" w:right="5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Standard Stock Option Grant Package</w:t>
      </w:r>
    </w:p>
    <w:p>
      <w:pPr>
        <w:spacing w:after="0" w:line="149"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22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40"/>
          </w:cols>
          <w:pgMar w:left="1440" w:top="272" w:right="5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Standard Stock Option Grant Package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4" w:lineRule="exact"/>
        <w:rPr>
          <w:sz w:val="20"/>
          <w:szCs w:val="20"/>
          <w:color w:val="auto"/>
        </w:rPr>
      </w:pPr>
    </w:p>
    <w:p>
      <w:pPr>
        <w:ind w:firstLine="435"/>
        <w:spacing w:after="0" w:line="253" w:lineRule="auto"/>
        <w:rPr>
          <w:sz w:val="20"/>
          <w:szCs w:val="20"/>
          <w:color w:val="auto"/>
        </w:rPr>
      </w:pPr>
      <w:r>
        <w:rPr>
          <w:rFonts w:ascii="Arial" w:cs="Arial" w:eastAsia="Arial" w:hAnsi="Arial"/>
          <w:sz w:val="18"/>
          <w:szCs w:val="18"/>
          <w:color w:val="auto"/>
        </w:rPr>
        <w:t>As reflected by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Xometry,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a number of shares of Common Stock at the exercise price indicated in your Grant Notice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general terms and conditions applicable to your Option are as follows:</w:t>
      </w:r>
    </w:p>
    <w:p>
      <w:pPr>
        <w:spacing w:after="0" w:line="216" w:lineRule="exact"/>
        <w:rPr>
          <w:sz w:val="20"/>
          <w:szCs w:val="20"/>
          <w:color w:val="auto"/>
        </w:rPr>
      </w:pPr>
    </w:p>
    <w:p>
      <w:pPr>
        <w:ind w:left="740" w:hanging="305"/>
        <w:spacing w:after="0"/>
        <w:tabs>
          <w:tab w:leader="none" w:pos="74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subject to all the provisions of the Plan, including but not limited to the provisions in:</w:t>
      </w:r>
    </w:p>
    <w:p>
      <w:pPr>
        <w:spacing w:after="0" w:line="235" w:lineRule="exact"/>
        <w:rPr>
          <w:rFonts w:ascii="Arial" w:cs="Arial" w:eastAsia="Arial" w:hAnsi="Arial"/>
          <w:sz w:val="17"/>
          <w:szCs w:val="17"/>
          <w:b w:val="1"/>
          <w:bCs w:val="1"/>
          <w:color w:val="auto"/>
        </w:rPr>
      </w:pPr>
    </w:p>
    <w:p>
      <w:pPr>
        <w:ind w:left="1360" w:hanging="380"/>
        <w:spacing w:after="0"/>
        <w:tabs>
          <w:tab w:leader="none" w:pos="1360"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Section 6 regarding the impact of a Capitalization Adjustment, dissolution, liquidation, or Corporate Transaction on your Option;</w:t>
      </w:r>
    </w:p>
    <w:p>
      <w:pPr>
        <w:spacing w:after="0" w:line="242" w:lineRule="exact"/>
        <w:rPr>
          <w:rFonts w:ascii="Arial" w:cs="Arial" w:eastAsia="Arial" w:hAnsi="Arial"/>
          <w:sz w:val="16"/>
          <w:szCs w:val="16"/>
          <w:b w:val="1"/>
          <w:bCs w:val="1"/>
          <w:color w:val="auto"/>
        </w:rPr>
      </w:pPr>
    </w:p>
    <w:p>
      <w:pPr>
        <w:ind w:left="1380" w:hanging="400"/>
        <w:spacing w:after="0"/>
        <w:tabs>
          <w:tab w:leader="none" w:pos="1380"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Section 9(e) regarding the Company’s retained rights to terminate your Continuous Service notwithstanding the grant of the Option;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left="1360" w:hanging="380"/>
        <w:spacing w:after="0"/>
        <w:tabs>
          <w:tab w:leader="none" w:pos="13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Section 8(c) regarding the tax consequences of your Option.</w:t>
      </w:r>
    </w:p>
    <w:p>
      <w:pPr>
        <w:spacing w:after="0" w:line="220" w:lineRule="exact"/>
        <w:rPr>
          <w:sz w:val="20"/>
          <w:szCs w:val="20"/>
          <w:color w:val="auto"/>
        </w:rPr>
      </w:pPr>
    </w:p>
    <w:p>
      <w:pPr>
        <w:ind w:right="140"/>
        <w:spacing w:after="0" w:line="333" w:lineRule="auto"/>
        <w:rPr>
          <w:sz w:val="20"/>
          <w:szCs w:val="20"/>
          <w:color w:val="auto"/>
        </w:rPr>
      </w:pPr>
      <w:r>
        <w:rPr>
          <w:rFonts w:ascii="Arial" w:cs="Arial" w:eastAsia="Arial" w:hAnsi="Arial"/>
          <w:sz w:val="16"/>
          <w:szCs w:val="16"/>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26" w:lineRule="exact"/>
        <w:rPr>
          <w:sz w:val="20"/>
          <w:szCs w:val="20"/>
          <w:color w:val="auto"/>
        </w:rPr>
      </w:pPr>
    </w:p>
    <w:p>
      <w:pPr>
        <w:ind w:right="520" w:firstLine="435"/>
        <w:spacing w:after="0" w:line="274" w:lineRule="auto"/>
        <w:tabs>
          <w:tab w:leader="none" w:pos="746"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will vest as provided in your Grant Notice, subject to the provisions contained herein and the terms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will cease upon the termination of your Continuous Service.</w:t>
      </w:r>
    </w:p>
    <w:p>
      <w:pPr>
        <w:spacing w:after="0" w:line="274" w:lineRule="exact"/>
        <w:rPr>
          <w:rFonts w:ascii="Arial" w:cs="Arial" w:eastAsia="Arial" w:hAnsi="Arial"/>
          <w:sz w:val="18"/>
          <w:szCs w:val="18"/>
          <w:b w:val="1"/>
          <w:bCs w:val="1"/>
          <w:color w:val="auto"/>
        </w:rPr>
      </w:pPr>
    </w:p>
    <w:p>
      <w:pPr>
        <w:ind w:left="740" w:hanging="305"/>
        <w:spacing w:after="0"/>
        <w:tabs>
          <w:tab w:leader="none" w:pos="7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20" w:firstLine="980"/>
        <w:spacing w:after="0" w:line="274" w:lineRule="auto"/>
        <w:tabs>
          <w:tab w:leader="none" w:pos="1358" w:val="left"/>
        </w:tabs>
        <w:numPr>
          <w:ilvl w:val="1"/>
          <w:numId w:val="58"/>
        </w:numPr>
        <w:rPr>
          <w:rFonts w:ascii="Arial" w:cs="Arial" w:eastAsia="Arial" w:hAnsi="Arial"/>
          <w:sz w:val="17"/>
          <w:szCs w:val="17"/>
          <w:b w:val="1"/>
          <w:bCs w:val="1"/>
          <w:color w:val="auto"/>
        </w:rPr>
      </w:pPr>
      <w:r>
        <w:rPr>
          <w:rFonts w:ascii="Arial" w:cs="Arial" w:eastAsia="Arial" w:hAnsi="Arial"/>
          <w:sz w:val="17"/>
          <w:szCs w:val="17"/>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ectPr>
          <w:pgSz w:w="11900" w:h="16838" w:orient="portrait"/>
          <w:cols w:equalWidth="0" w:num="1">
            <w:col w:w="10880"/>
          </w:cols>
          <w:pgMar w:left="500" w:top="272" w:right="5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Standard Stock Option Grant Package</w:t>
      </w:r>
    </w:p>
    <w:p>
      <w:pPr>
        <w:spacing w:after="0" w:line="153" w:lineRule="exact"/>
        <w:rPr>
          <w:sz w:val="20"/>
          <w:szCs w:val="20"/>
          <w:color w:val="auto"/>
        </w:rPr>
      </w:pPr>
    </w:p>
    <w:p>
      <w:pPr>
        <w:ind w:left="1380" w:hanging="400"/>
        <w:spacing w:after="0"/>
        <w:tabs>
          <w:tab w:leader="none" w:pos="1380"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Law, you may pay your Option exercise price as follows:</w:t>
      </w:r>
    </w:p>
    <w:p>
      <w:pPr>
        <w:spacing w:after="0" w:line="219" w:lineRule="exact"/>
        <w:rPr>
          <w:rFonts w:ascii="Arial" w:cs="Arial" w:eastAsia="Arial" w:hAnsi="Arial"/>
          <w:sz w:val="18"/>
          <w:szCs w:val="18"/>
          <w:b w:val="1"/>
          <w:bCs w:val="1"/>
          <w:color w:val="auto"/>
        </w:rPr>
      </w:pPr>
    </w:p>
    <w:p>
      <w:pPr>
        <w:ind w:left="1760" w:hanging="344"/>
        <w:spacing w:after="0"/>
        <w:tabs>
          <w:tab w:leader="none" w:pos="1760" w:val="left"/>
        </w:tabs>
        <w:numPr>
          <w:ilvl w:val="2"/>
          <w:numId w:val="59"/>
        </w:numPr>
        <w:rPr>
          <w:rFonts w:ascii="Arial" w:cs="Arial" w:eastAsia="Arial" w:hAnsi="Arial"/>
          <w:sz w:val="18"/>
          <w:szCs w:val="18"/>
          <w:b w:val="1"/>
          <w:bCs w:val="1"/>
          <w:color w:val="auto"/>
        </w:rPr>
      </w:pPr>
      <w:r>
        <w:rPr>
          <w:rFonts w:ascii="Arial" w:cs="Arial" w:eastAsia="Arial" w:hAnsi="Arial"/>
          <w:sz w:val="18"/>
          <w:szCs w:val="18"/>
          <w:color w:val="auto"/>
        </w:rPr>
        <w:t>cash, check, bank draft or money order;</w:t>
      </w:r>
    </w:p>
    <w:p>
      <w:pPr>
        <w:spacing w:after="0" w:line="219" w:lineRule="exact"/>
        <w:rPr>
          <w:rFonts w:ascii="Arial" w:cs="Arial" w:eastAsia="Arial" w:hAnsi="Arial"/>
          <w:sz w:val="18"/>
          <w:szCs w:val="18"/>
          <w:b w:val="1"/>
          <w:bCs w:val="1"/>
          <w:color w:val="auto"/>
        </w:rPr>
      </w:pPr>
    </w:p>
    <w:p>
      <w:pPr>
        <w:ind w:right="320" w:firstLine="1416"/>
        <w:spacing w:after="0" w:line="270" w:lineRule="auto"/>
        <w:tabs>
          <w:tab w:leader="none" w:pos="1810" w:val="left"/>
        </w:tabs>
        <w:numPr>
          <w:ilvl w:val="2"/>
          <w:numId w:val="59"/>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174" w:lineRule="exact"/>
        <w:rPr>
          <w:rFonts w:ascii="Arial" w:cs="Arial" w:eastAsia="Arial" w:hAnsi="Arial"/>
          <w:sz w:val="18"/>
          <w:szCs w:val="18"/>
          <w:b w:val="1"/>
          <w:bCs w:val="1"/>
          <w:color w:val="auto"/>
        </w:rPr>
      </w:pPr>
    </w:p>
    <w:p>
      <w:pPr>
        <w:ind w:right="280" w:firstLine="1416"/>
        <w:spacing w:after="0" w:line="270" w:lineRule="auto"/>
        <w:tabs>
          <w:tab w:leader="none" w:pos="1860" w:val="left"/>
        </w:tabs>
        <w:numPr>
          <w:ilvl w:val="2"/>
          <w:numId w:val="59"/>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by delivery of previously owned shares of Common Stock as further described in Section 4(c)(iii) of the Plan; or</w:t>
      </w:r>
    </w:p>
    <w:p>
      <w:pPr>
        <w:spacing w:after="0" w:line="174" w:lineRule="exact"/>
        <w:rPr>
          <w:rFonts w:ascii="Arial" w:cs="Arial" w:eastAsia="Arial" w:hAnsi="Arial"/>
          <w:sz w:val="18"/>
          <w:szCs w:val="18"/>
          <w:b w:val="1"/>
          <w:bCs w:val="1"/>
          <w:color w:val="auto"/>
        </w:rPr>
      </w:pPr>
    </w:p>
    <w:p>
      <w:pPr>
        <w:ind w:right="100" w:firstLine="1416"/>
        <w:spacing w:after="0" w:line="270" w:lineRule="auto"/>
        <w:tabs>
          <w:tab w:leader="none" w:pos="1850" w:val="left"/>
        </w:tabs>
        <w:numPr>
          <w:ilvl w:val="2"/>
          <w:numId w:val="59"/>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if the Option is a Nonstatutory Stock Option, by a “net exercise” arrangement as further described in Section 4(c)(iv) of the Plan.</w:t>
      </w:r>
    </w:p>
    <w:p>
      <w:pPr>
        <w:spacing w:after="0" w:line="174" w:lineRule="exact"/>
        <w:rPr>
          <w:rFonts w:ascii="Arial" w:cs="Arial" w:eastAsia="Arial" w:hAnsi="Arial"/>
          <w:sz w:val="18"/>
          <w:szCs w:val="18"/>
          <w:b w:val="1"/>
          <w:bCs w:val="1"/>
          <w:color w:val="auto"/>
        </w:rPr>
      </w:pPr>
    </w:p>
    <w:p>
      <w:pPr>
        <w:ind w:firstLine="980"/>
        <w:spacing w:after="0" w:line="284" w:lineRule="auto"/>
        <w:tabs>
          <w:tab w:leader="none" w:pos="1355" w:val="left"/>
        </w:tabs>
        <w:numPr>
          <w:ilvl w:val="1"/>
          <w:numId w:val="59"/>
        </w:numPr>
        <w:rPr>
          <w:rFonts w:ascii="Arial" w:cs="Arial" w:eastAsia="Arial" w:hAnsi="Arial"/>
          <w:sz w:val="16"/>
          <w:szCs w:val="16"/>
          <w:b w:val="1"/>
          <w:bCs w:val="1"/>
          <w:color w:val="auto"/>
        </w:rPr>
      </w:pPr>
      <w:r>
        <w:rPr>
          <w:rFonts w:ascii="Arial" w:cs="Arial" w:eastAsia="Arial" w:hAnsi="Arial"/>
          <w:sz w:val="16"/>
          <w:szCs w:val="16"/>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3(c). The underwriters of the Company’s stock are intended third party beneficiaries of this Section 3(c) and will have the right, power and authority to enforce the provisions hereof as though they were a party hereto.</w:t>
      </w:r>
    </w:p>
    <w:p>
      <w:pPr>
        <w:spacing w:after="0" w:line="162" w:lineRule="exact"/>
        <w:rPr>
          <w:rFonts w:ascii="Arial" w:cs="Arial" w:eastAsia="Arial" w:hAnsi="Arial"/>
          <w:sz w:val="16"/>
          <w:szCs w:val="16"/>
          <w:b w:val="1"/>
          <w:bCs w:val="1"/>
          <w:color w:val="auto"/>
        </w:rPr>
      </w:pPr>
    </w:p>
    <w:p>
      <w:pPr>
        <w:ind w:firstLine="435"/>
        <w:spacing w:after="0" w:line="274" w:lineRule="auto"/>
        <w:tabs>
          <w:tab w:leader="none" w:pos="74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commencement of its term or after its term expires. The term of your Option commences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of Grant and expires upon the earliest of the following:</w:t>
      </w:r>
    </w:p>
    <w:p>
      <w:pPr>
        <w:spacing w:after="0" w:line="171" w:lineRule="exact"/>
        <w:rPr>
          <w:rFonts w:ascii="Arial" w:cs="Arial" w:eastAsia="Arial" w:hAnsi="Arial"/>
          <w:sz w:val="18"/>
          <w:szCs w:val="18"/>
          <w:b w:val="1"/>
          <w:bCs w:val="1"/>
          <w:color w:val="auto"/>
        </w:rPr>
      </w:pPr>
    </w:p>
    <w:p>
      <w:pPr>
        <w:ind w:left="1360" w:hanging="380"/>
        <w:spacing w:after="0"/>
        <w:tabs>
          <w:tab w:leader="none" w:pos="1360"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219" w:lineRule="exact"/>
        <w:rPr>
          <w:rFonts w:ascii="Arial" w:cs="Arial" w:eastAsia="Arial" w:hAnsi="Arial"/>
          <w:sz w:val="18"/>
          <w:szCs w:val="18"/>
          <w:b w:val="1"/>
          <w:bCs w:val="1"/>
          <w:color w:val="auto"/>
        </w:rPr>
      </w:pPr>
    </w:p>
    <w:p>
      <w:pPr>
        <w:ind w:left="1380" w:hanging="400"/>
        <w:spacing w:after="0"/>
        <w:tabs>
          <w:tab w:leader="none" w:pos="1380"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three months after the termination of your Continuous Service for any reason other than Cause, Disability or death;</w:t>
      </w:r>
    </w:p>
    <w:p>
      <w:pPr>
        <w:spacing w:after="0" w:line="219" w:lineRule="exact"/>
        <w:rPr>
          <w:rFonts w:ascii="Arial" w:cs="Arial" w:eastAsia="Arial" w:hAnsi="Arial"/>
          <w:sz w:val="18"/>
          <w:szCs w:val="18"/>
          <w:b w:val="1"/>
          <w:bCs w:val="1"/>
          <w:color w:val="auto"/>
        </w:rPr>
      </w:pPr>
    </w:p>
    <w:p>
      <w:pPr>
        <w:ind w:left="1360" w:hanging="380"/>
        <w:spacing w:after="0"/>
        <w:tabs>
          <w:tab w:leader="none" w:pos="1360"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12 months after the termination of your Continuous Service due to your Disability;</w:t>
      </w:r>
    </w:p>
    <w:p>
      <w:pPr>
        <w:spacing w:after="0" w:line="219" w:lineRule="exact"/>
        <w:rPr>
          <w:rFonts w:ascii="Arial" w:cs="Arial" w:eastAsia="Arial" w:hAnsi="Arial"/>
          <w:sz w:val="18"/>
          <w:szCs w:val="18"/>
          <w:b w:val="1"/>
          <w:bCs w:val="1"/>
          <w:color w:val="auto"/>
        </w:rPr>
      </w:pPr>
    </w:p>
    <w:p>
      <w:pPr>
        <w:ind w:left="1380" w:hanging="400"/>
        <w:spacing w:after="0"/>
        <w:tabs>
          <w:tab w:leader="none" w:pos="1380"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18 months after your death if you die during your Continuous Service;</w:t>
      </w:r>
    </w:p>
    <w:p>
      <w:pPr>
        <w:spacing w:after="0" w:line="219" w:lineRule="exact"/>
        <w:rPr>
          <w:rFonts w:ascii="Arial" w:cs="Arial" w:eastAsia="Arial" w:hAnsi="Arial"/>
          <w:sz w:val="18"/>
          <w:szCs w:val="18"/>
          <w:b w:val="1"/>
          <w:bCs w:val="1"/>
          <w:color w:val="auto"/>
        </w:rPr>
      </w:pPr>
    </w:p>
    <w:p>
      <w:pPr>
        <w:ind w:left="1360" w:hanging="380"/>
        <w:spacing w:after="0"/>
        <w:tabs>
          <w:tab w:leader="none" w:pos="1360" w:val="left"/>
        </w:tabs>
        <w:numPr>
          <w:ilvl w:val="1"/>
          <w:numId w:val="60"/>
        </w:numPr>
        <w:rPr>
          <w:rFonts w:ascii="Arial" w:cs="Arial" w:eastAsia="Arial" w:hAnsi="Arial"/>
          <w:sz w:val="16"/>
          <w:szCs w:val="16"/>
          <w:b w:val="1"/>
          <w:bCs w:val="1"/>
          <w:color w:val="auto"/>
        </w:rPr>
      </w:pPr>
      <w:r>
        <w:rPr>
          <w:rFonts w:ascii="Arial" w:cs="Arial" w:eastAsia="Arial" w:hAnsi="Arial"/>
          <w:sz w:val="16"/>
          <w:szCs w:val="16"/>
          <w:color w:val="auto"/>
        </w:rPr>
        <w:t>immediately upon a Corporate Transaction if the Board has determined that the Option will terminate in connection with a Corporate</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Transaction,</w:t>
      </w:r>
    </w:p>
    <w:p>
      <w:pPr>
        <w:sectPr>
          <w:pgSz w:w="11900" w:h="16838" w:orient="portrait"/>
          <w:cols w:equalWidth="0" w:num="1">
            <w:col w:w="10880"/>
          </w:cols>
          <w:pgMar w:left="500" w:top="272" w:right="5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Standard Stock Option Grant Package</w:t>
      </w:r>
    </w:p>
    <w:p>
      <w:pPr>
        <w:spacing w:after="0" w:line="153" w:lineRule="exact"/>
        <w:rPr>
          <w:sz w:val="20"/>
          <w:szCs w:val="20"/>
          <w:color w:val="auto"/>
        </w:rPr>
      </w:pPr>
    </w:p>
    <w:p>
      <w:pPr>
        <w:ind w:left="1340" w:hanging="360"/>
        <w:spacing w:after="0"/>
        <w:tabs>
          <w:tab w:leader="none" w:pos="134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219" w:lineRule="exact"/>
        <w:rPr>
          <w:rFonts w:ascii="Arial" w:cs="Arial" w:eastAsia="Arial" w:hAnsi="Arial"/>
          <w:sz w:val="18"/>
          <w:szCs w:val="18"/>
          <w:b w:val="1"/>
          <w:bCs w:val="1"/>
          <w:color w:val="auto"/>
        </w:rPr>
      </w:pPr>
    </w:p>
    <w:p>
      <w:pPr>
        <w:ind w:left="1360" w:hanging="380"/>
        <w:spacing w:after="0"/>
        <w:tabs>
          <w:tab w:leader="none" w:pos="13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 day before the 10th anniversary of the Date of Grant.</w:t>
      </w:r>
    </w:p>
    <w:p>
      <w:pPr>
        <w:spacing w:after="0" w:line="220" w:lineRule="exact"/>
        <w:rPr>
          <w:sz w:val="20"/>
          <w:szCs w:val="20"/>
          <w:color w:val="auto"/>
        </w:rPr>
      </w:pPr>
    </w:p>
    <w:p>
      <w:pPr>
        <w:ind w:right="20" w:firstLine="435"/>
        <w:spacing w:after="0" w:line="255" w:lineRule="auto"/>
        <w:rPr>
          <w:sz w:val="20"/>
          <w:szCs w:val="20"/>
          <w:color w:val="auto"/>
        </w:rPr>
      </w:pPr>
      <w:r>
        <w:rPr>
          <w:rFonts w:ascii="Arial" w:cs="Arial" w:eastAsia="Arial" w:hAnsi="Arial"/>
          <w:sz w:val="18"/>
          <w:szCs w:val="18"/>
          <w:color w:val="auto"/>
        </w:rPr>
        <w:t>Notwithstanding the foregoing, if you die during the period provided in Section 3(b) or 3(c)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88" w:lineRule="exact"/>
        <w:rPr>
          <w:sz w:val="20"/>
          <w:szCs w:val="20"/>
          <w:color w:val="auto"/>
        </w:rPr>
      </w:pPr>
    </w:p>
    <w:p>
      <w:pPr>
        <w:ind w:right="20" w:firstLine="435"/>
        <w:spacing w:after="0" w:line="253" w:lineRule="auto"/>
        <w:rPr>
          <w:sz w:val="20"/>
          <w:szCs w:val="20"/>
          <w:color w:val="auto"/>
        </w:rPr>
      </w:pPr>
      <w:r>
        <w:rPr>
          <w:rFonts w:ascii="Arial" w:cs="Arial" w:eastAsia="Arial" w:hAnsi="Arial"/>
          <w:sz w:val="18"/>
          <w:szCs w:val="18"/>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186" w:lineRule="exact"/>
        <w:rPr>
          <w:sz w:val="20"/>
          <w:szCs w:val="20"/>
          <w:color w:val="auto"/>
        </w:rPr>
      </w:pPr>
    </w:p>
    <w:p>
      <w:pPr>
        <w:ind w:right="100" w:firstLine="435"/>
        <w:spacing w:after="0" w:line="266" w:lineRule="auto"/>
        <w:tabs>
          <w:tab w:leader="none" w:pos="746"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ITHHOLDING</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further provided in Section 8 of the Plan: (a) you may not exercise your Option unless the applicable tax</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81" w:lineRule="exact"/>
        <w:rPr>
          <w:rFonts w:ascii="Arial" w:cs="Arial" w:eastAsia="Arial" w:hAnsi="Arial"/>
          <w:sz w:val="17"/>
          <w:szCs w:val="17"/>
          <w:b w:val="1"/>
          <w:bCs w:val="1"/>
          <w:color w:val="auto"/>
        </w:rPr>
      </w:pPr>
    </w:p>
    <w:p>
      <w:pPr>
        <w:ind w:firstLine="435"/>
        <w:spacing w:after="0" w:line="308" w:lineRule="auto"/>
        <w:tabs>
          <w:tab w:leader="none" w:pos="746"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I</w:t>
      </w:r>
      <w:r>
        <w:rPr>
          <w:rFonts w:ascii="Arial" w:cs="Arial" w:eastAsia="Arial" w:hAnsi="Arial"/>
          <w:sz w:val="12"/>
          <w:szCs w:val="12"/>
          <w:b w:val="1"/>
          <w:bCs w:val="1"/>
          <w:color w:val="auto"/>
        </w:rPr>
        <w:t>NCENTIVE</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ISPOSITION</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EQUIREMENT</w:t>
      </w:r>
      <w:r>
        <w:rPr>
          <w:rFonts w:ascii="Arial" w:cs="Arial" w:eastAsia="Arial" w:hAnsi="Arial"/>
          <w:sz w:val="16"/>
          <w:szCs w:val="16"/>
          <w:b w:val="1"/>
          <w:bCs w:val="1"/>
          <w:color w:val="auto"/>
        </w:rPr>
        <w:t xml:space="preserve">. </w:t>
      </w:r>
      <w:r>
        <w:rPr>
          <w:rFonts w:ascii="Arial" w:cs="Arial" w:eastAsia="Arial" w:hAnsi="Arial"/>
          <w:sz w:val="16"/>
          <w:szCs w:val="16"/>
          <w:color w:val="auto"/>
        </w:rPr>
        <w:t>If your Option is an Incentive Stock Option, you must notify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145" w:lineRule="exact"/>
        <w:rPr>
          <w:rFonts w:ascii="Arial" w:cs="Arial" w:eastAsia="Arial" w:hAnsi="Arial"/>
          <w:sz w:val="16"/>
          <w:szCs w:val="16"/>
          <w:b w:val="1"/>
          <w:bCs w:val="1"/>
          <w:color w:val="auto"/>
        </w:rPr>
      </w:pPr>
    </w:p>
    <w:p>
      <w:pPr>
        <w:ind w:right="560" w:firstLine="435"/>
        <w:spacing w:after="0" w:line="274" w:lineRule="auto"/>
        <w:tabs>
          <w:tab w:leader="none" w:pos="746"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Section 4(e) of the Plan, your Option is not transferable, except by will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of descent and distribution, and is exercisable during your life only by you.</w:t>
      </w:r>
    </w:p>
    <w:p>
      <w:pPr>
        <w:sectPr>
          <w:pgSz w:w="11900" w:h="16838" w:orient="portrait"/>
          <w:cols w:equalWidth="0" w:num="1">
            <w:col w:w="10880"/>
          </w:cols>
          <w:pgMar w:left="500" w:top="272" w:right="5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Standard Stock Option Grant Package</w:t>
      </w:r>
    </w:p>
    <w:p>
      <w:pPr>
        <w:spacing w:after="0" w:line="149" w:lineRule="exact"/>
        <w:rPr>
          <w:sz w:val="20"/>
          <w:szCs w:val="20"/>
          <w:color w:val="auto"/>
        </w:rPr>
      </w:pPr>
    </w:p>
    <w:p>
      <w:pPr>
        <w:ind w:right="360" w:firstLine="435"/>
        <w:spacing w:after="0" w:line="261" w:lineRule="auto"/>
        <w:tabs>
          <w:tab w:leader="none" w:pos="746"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the terms of any agreement governing a Corporate Transaction involving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8" w:lineRule="exact"/>
        <w:rPr>
          <w:rFonts w:ascii="Arial" w:cs="Arial" w:eastAsia="Arial" w:hAnsi="Arial"/>
          <w:sz w:val="18"/>
          <w:szCs w:val="18"/>
          <w:b w:val="1"/>
          <w:bCs w:val="1"/>
          <w:color w:val="auto"/>
        </w:rPr>
      </w:pPr>
    </w:p>
    <w:p>
      <w:pPr>
        <w:ind w:firstLine="435"/>
        <w:spacing w:after="0" w:line="287" w:lineRule="auto"/>
        <w:tabs>
          <w:tab w:leader="none" w:pos="746"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w:t>
      </w:r>
      <w:r>
        <w:rPr>
          <w:rFonts w:ascii="Arial" w:cs="Arial" w:eastAsia="Arial" w:hAnsi="Arial"/>
          <w:sz w:val="16"/>
          <w:szCs w:val="16"/>
          <w:b w:val="1"/>
          <w:bCs w:val="1"/>
          <w:color w:val="auto"/>
        </w:rPr>
        <w:t xml:space="preserve"> L</w:t>
      </w:r>
      <w:r>
        <w:rPr>
          <w:rFonts w:ascii="Arial" w:cs="Arial" w:eastAsia="Arial" w:hAnsi="Arial"/>
          <w:sz w:val="12"/>
          <w:szCs w:val="12"/>
          <w:b w:val="1"/>
          <w:bCs w:val="1"/>
          <w:color w:val="auto"/>
        </w:rPr>
        <w:t>IABILITY FOR</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AXES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to accepting the Option, you hereby (a) agree to not make any claim against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61" w:lineRule="exact"/>
        <w:rPr>
          <w:rFonts w:ascii="Arial" w:cs="Arial" w:eastAsia="Arial" w:hAnsi="Arial"/>
          <w:sz w:val="16"/>
          <w:szCs w:val="16"/>
          <w:b w:val="1"/>
          <w:bCs w:val="1"/>
          <w:color w:val="auto"/>
        </w:rPr>
      </w:pPr>
    </w:p>
    <w:p>
      <w:pPr>
        <w:ind w:right="80" w:firstLine="435"/>
        <w:spacing w:after="0" w:line="276" w:lineRule="auto"/>
        <w:tabs>
          <w:tab w:leader="none" w:pos="835"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part of this Option Agreement or the Plan is declared by any court or governmental authority to be unlawful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68" w:lineRule="exact"/>
        <w:rPr>
          <w:rFonts w:ascii="Arial" w:cs="Arial" w:eastAsia="Arial" w:hAnsi="Arial"/>
          <w:sz w:val="17"/>
          <w:szCs w:val="17"/>
          <w:b w:val="1"/>
          <w:bCs w:val="1"/>
          <w:color w:val="auto"/>
        </w:rPr>
      </w:pPr>
    </w:p>
    <w:p>
      <w:pPr>
        <w:ind w:right="80" w:firstLine="435"/>
        <w:spacing w:after="0" w:line="339" w:lineRule="auto"/>
        <w:tabs>
          <w:tab w:leader="none" w:pos="826"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You hereby acknowledge receipt of or the right to receive a document providing the information required by Rule</w:t>
      </w:r>
      <w:r>
        <w:rPr>
          <w:rFonts w:ascii="Arial" w:cs="Arial" w:eastAsia="Arial" w:hAnsi="Arial"/>
          <w:sz w:val="16"/>
          <w:szCs w:val="16"/>
          <w:b w:val="1"/>
          <w:bCs w:val="1"/>
          <w:color w:val="auto"/>
        </w:rPr>
        <w:t xml:space="preserve"> </w:t>
      </w:r>
      <w:r>
        <w:rPr>
          <w:rFonts w:ascii="Arial" w:cs="Arial" w:eastAsia="Arial" w:hAnsi="Arial"/>
          <w:sz w:val="16"/>
          <w:szCs w:val="16"/>
          <w:color w:val="auto"/>
        </w:rPr>
        <w:t>428(b)(1) promulgated under the Securities Act, which includes the Prospectus. In addition, you acknowledge receipt of the Company’s Trading Policy.</w:t>
      </w:r>
    </w:p>
    <w:p>
      <w:pPr>
        <w:spacing w:after="0" w:line="120" w:lineRule="exact"/>
        <w:rPr>
          <w:rFonts w:ascii="Arial" w:cs="Arial" w:eastAsia="Arial" w:hAnsi="Arial"/>
          <w:sz w:val="16"/>
          <w:szCs w:val="16"/>
          <w:b w:val="1"/>
          <w:bCs w:val="1"/>
          <w:color w:val="auto"/>
        </w:rPr>
      </w:pPr>
    </w:p>
    <w:p>
      <w:pPr>
        <w:ind w:right="60" w:firstLine="435"/>
        <w:spacing w:after="0" w:line="274" w:lineRule="auto"/>
        <w:tabs>
          <w:tab w:leader="none" w:pos="83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4"/>
          <w:szCs w:val="14"/>
          <w:b w:val="1"/>
          <w:bCs w:val="1"/>
          <w:color w:val="auto"/>
        </w:rPr>
        <w:t>UESTIONS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have questions regarding these or any other terms and conditions applicable to your Option, including a summary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federal income tax consequences please see the Prospectus.</w:t>
      </w:r>
    </w:p>
    <w:p>
      <w:pPr>
        <w:spacing w:after="0" w:line="167" w:lineRule="exact"/>
        <w:rPr>
          <w:rFonts w:ascii="Arial" w:cs="Arial" w:eastAsia="Arial" w:hAnsi="Arial"/>
          <w:sz w:val="18"/>
          <w:szCs w:val="18"/>
          <w:b w:val="1"/>
          <w:bCs w:val="1"/>
          <w:color w:val="auto"/>
        </w:rPr>
      </w:pPr>
    </w:p>
    <w:p>
      <w:pPr>
        <w:ind w:left="50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  *  *</w:t>
      </w:r>
    </w:p>
    <w:p>
      <w:pPr>
        <w:sectPr>
          <w:pgSz w:w="11900" w:h="16838" w:orient="portrait"/>
          <w:cols w:equalWidth="0" w:num="1">
            <w:col w:w="10880"/>
          </w:cols>
          <w:pgMar w:left="500" w:top="272" w:right="5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Standard Stock Option Grant Package</w:t>
      </w:r>
    </w:p>
    <w:p>
      <w:pPr>
        <w:spacing w:after="0" w:line="149"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w:t>
      </w:r>
    </w:p>
    <w:p>
      <w:pPr>
        <w:spacing w:after="0" w:line="220"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940"/>
          </w:cols>
          <w:pgMar w:left="1440" w:top="272" w:right="5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Standard Stock Option Grant Package</w:t>
      </w:r>
    </w:p>
    <w:p>
      <w:pPr>
        <w:spacing w:after="0" w:line="149"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III</w:t>
      </w:r>
    </w:p>
    <w:p>
      <w:pPr>
        <w:spacing w:after="0" w:line="22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ectPr>
          <w:pgSz w:w="11900" w:h="16838" w:orient="portrait"/>
          <w:cols w:equalWidth="0" w:num="1">
            <w:col w:w="9940"/>
          </w:cols>
          <w:pgMar w:left="1440" w:top="272" w:right="5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Standard Stock Option Grant Package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EXERCISE</w:t>
      </w:r>
    </w:p>
    <w:p>
      <w:pPr>
        <w:sectPr>
          <w:pgSz w:w="11900" w:h="16838" w:orient="portrait"/>
          <w:cols w:equalWidth="0" w:num="1">
            <w:col w:w="10880"/>
          </w:cols>
          <w:pgMar w:left="500" w:top="272" w:right="51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7529 S</w:t>
      </w:r>
      <w:r>
        <w:rPr>
          <w:rFonts w:ascii="Arial" w:cs="Arial" w:eastAsia="Arial" w:hAnsi="Arial"/>
          <w:sz w:val="13"/>
          <w:szCs w:val="13"/>
          <w:color w:val="auto"/>
        </w:rPr>
        <w:t>TANDISH</w:t>
      </w:r>
      <w:r>
        <w:rPr>
          <w:rFonts w:ascii="Arial" w:cs="Arial" w:eastAsia="Arial" w:hAnsi="Arial"/>
          <w:sz w:val="17"/>
          <w:szCs w:val="17"/>
          <w:color w:val="auto"/>
        </w:rPr>
        <w:t xml:space="preserve"> P</w:t>
      </w:r>
      <w:r>
        <w:rPr>
          <w:rFonts w:ascii="Arial" w:cs="Arial" w:eastAsia="Arial" w:hAnsi="Arial"/>
          <w:sz w:val="13"/>
          <w:szCs w:val="13"/>
          <w:color w:val="auto"/>
        </w:rPr>
        <w:t>LACE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w:t>
      </w:r>
      <w:r>
        <w:rPr>
          <w:rFonts w:ascii="Arial" w:cs="Arial" w:eastAsia="Arial" w:hAnsi="Arial"/>
          <w:sz w:val="13"/>
          <w:szCs w:val="13"/>
          <w:color w:val="auto"/>
        </w:rPr>
        <w:t>ERWOOD</w:t>
      </w:r>
      <w:r>
        <w:rPr>
          <w:rFonts w:ascii="Arial" w:cs="Arial" w:eastAsia="Arial" w:hAnsi="Arial"/>
          <w:sz w:val="17"/>
          <w:szCs w:val="17"/>
          <w:color w:val="auto"/>
        </w:rPr>
        <w:t>, MD 20855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805815</wp:posOffset>
            </wp:positionH>
            <wp:positionV relativeFrom="paragraph">
              <wp:posOffset>2540</wp:posOffset>
            </wp:positionV>
            <wp:extent cx="9036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90360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7460" w:space="720"/>
            <w:col w:w="2700"/>
          </w:cols>
          <w:pgMar w:left="500" w:top="272" w:right="519" w:bottom="1440" w:gutter="0" w:footer="0" w:header="0"/>
          <w:type w:val="continuous"/>
        </w:sectPr>
      </w:pPr>
    </w:p>
    <w:p>
      <w:pPr>
        <w:spacing w:after="0" w:line="19" w:lineRule="exact"/>
        <w:rPr>
          <w:sz w:val="20"/>
          <w:szCs w:val="20"/>
          <w:color w:val="auto"/>
        </w:rPr>
      </w:pPr>
    </w:p>
    <w:p>
      <w:pPr>
        <w:ind w:right="20" w:firstLine="435"/>
        <w:spacing w:after="0" w:line="253" w:lineRule="auto"/>
        <w:rPr>
          <w:sz w:val="20"/>
          <w:szCs w:val="20"/>
          <w:color w:val="auto"/>
        </w:rPr>
      </w:pPr>
      <w:r>
        <w:rPr>
          <w:rFonts w:ascii="Arial" w:cs="Arial" w:eastAsia="Arial" w:hAnsi="Arial"/>
          <w:sz w:val="18"/>
          <w:szCs w:val="18"/>
          <w:color w:val="auto"/>
        </w:rPr>
        <w:t>This constitutes notice to Xometry,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by exercising my Option for the price set forth below. Capitalized terms not explicitly defined in this Notice of Exercise but defined in the Grant Notice, Option Agreement or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meanings set forth in the Grant Notice, Option Agreement or Plan, as applicable. Use of certain payment methods is subject to Company and/or Committee consent and certain additional requirements set forth in the Option Agreement and the Plan.</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279"/>
        </w:trPr>
        <w:tc>
          <w:tcPr>
            <w:tcW w:w="3620" w:type="dxa"/>
            <w:vAlign w:val="bottom"/>
            <w:gridSpan w:val="4"/>
          </w:tcPr>
          <w:p>
            <w:pPr>
              <w:spacing w:after="0"/>
              <w:rPr>
                <w:sz w:val="20"/>
                <w:szCs w:val="20"/>
                <w:color w:val="auto"/>
              </w:rPr>
            </w:pPr>
            <w:r>
              <w:rPr>
                <w:rFonts w:ascii="Arial" w:cs="Arial" w:eastAsia="Arial" w:hAnsi="Arial"/>
                <w:sz w:val="18"/>
                <w:szCs w:val="18"/>
                <w:color w:val="auto"/>
              </w:rPr>
              <w:t>Type of option (check one):</w:t>
            </w:r>
          </w:p>
        </w:tc>
        <w:tc>
          <w:tcPr>
            <w:tcW w:w="14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80" w:type="dxa"/>
            <w:vAlign w:val="bottom"/>
          </w:tcPr>
          <w:p>
            <w:pPr>
              <w:spacing w:after="0"/>
              <w:rPr>
                <w:sz w:val="24"/>
                <w:szCs w:val="24"/>
                <w:color w:val="auto"/>
              </w:rPr>
            </w:pPr>
          </w:p>
        </w:tc>
        <w:tc>
          <w:tcPr>
            <w:tcW w:w="2920" w:type="dxa"/>
            <w:vAlign w:val="bottom"/>
          </w:tcPr>
          <w:p>
            <w:pPr>
              <w:ind w:left="1800"/>
              <w:spacing w:after="0" w:line="207" w:lineRule="exact"/>
              <w:rPr>
                <w:sz w:val="20"/>
                <w:szCs w:val="20"/>
                <w:color w:val="auto"/>
              </w:rPr>
            </w:pPr>
            <w:r>
              <w:rPr>
                <w:rFonts w:ascii="Arial" w:cs="Arial" w:eastAsia="Arial" w:hAnsi="Arial"/>
                <w:sz w:val="18"/>
                <w:szCs w:val="18"/>
                <w:color w:val="auto"/>
                <w:w w:val="87"/>
              </w:rPr>
              <w:t xml:space="preserve">Nonstatutory </w:t>
            </w:r>
            <w:r>
              <w:rPr>
                <w:rFonts w:ascii="MS PGothic" w:cs="MS PGothic" w:eastAsia="MS PGothic" w:hAnsi="MS PGothic"/>
                <w:sz w:val="18"/>
                <w:szCs w:val="18"/>
                <w:color w:val="auto"/>
                <w:w w:val="87"/>
              </w:rPr>
              <w:t>☐</w:t>
            </w:r>
          </w:p>
        </w:tc>
      </w:tr>
      <w:tr>
        <w:trPr>
          <w:trHeight w:val="262"/>
        </w:trPr>
        <w:tc>
          <w:tcPr>
            <w:tcW w:w="1740" w:type="dxa"/>
            <w:vAlign w:val="bottom"/>
            <w:gridSpan w:val="3"/>
          </w:tcPr>
          <w:p>
            <w:pPr>
              <w:spacing w:after="0"/>
              <w:rPr>
                <w:sz w:val="20"/>
                <w:szCs w:val="20"/>
                <w:color w:val="auto"/>
              </w:rPr>
            </w:pPr>
            <w:r>
              <w:rPr>
                <w:rFonts w:ascii="Arial" w:cs="Arial" w:eastAsia="Arial" w:hAnsi="Arial"/>
                <w:sz w:val="18"/>
                <w:szCs w:val="18"/>
                <w:color w:val="auto"/>
              </w:rPr>
              <w:t>Date of Grant:</w:t>
            </w:r>
          </w:p>
        </w:tc>
        <w:tc>
          <w:tcPr>
            <w:tcW w:w="18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920" w:type="dxa"/>
            <w:vAlign w:val="bottom"/>
          </w:tcPr>
          <w:p>
            <w:pPr>
              <w:spacing w:after="0"/>
              <w:rPr>
                <w:sz w:val="22"/>
                <w:szCs w:val="22"/>
                <w:color w:val="auto"/>
              </w:rPr>
            </w:pPr>
          </w:p>
        </w:tc>
      </w:tr>
      <w:tr>
        <w:trPr>
          <w:trHeight w:val="326"/>
        </w:trPr>
        <w:tc>
          <w:tcPr>
            <w:tcW w:w="3620" w:type="dxa"/>
            <w:vAlign w:val="bottom"/>
            <w:gridSpan w:val="4"/>
          </w:tcPr>
          <w:p>
            <w:pPr>
              <w:spacing w:after="0"/>
              <w:rPr>
                <w:sz w:val="20"/>
                <w:szCs w:val="20"/>
                <w:color w:val="auto"/>
              </w:rPr>
            </w:pPr>
            <w:r>
              <w:rPr>
                <w:rFonts w:ascii="Arial" w:cs="Arial" w:eastAsia="Arial" w:hAnsi="Arial"/>
                <w:sz w:val="18"/>
                <w:szCs w:val="18"/>
                <w:color w:val="auto"/>
              </w:rPr>
              <w:t>Number of Shares as to which Option is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88"/>
        </w:trPr>
        <w:tc>
          <w:tcPr>
            <w:tcW w:w="1740" w:type="dxa"/>
            <w:vAlign w:val="bottom"/>
            <w:gridSpan w:val="3"/>
          </w:tcPr>
          <w:p>
            <w:pPr>
              <w:spacing w:after="0" w:line="188" w:lineRule="exact"/>
              <w:rPr>
                <w:sz w:val="20"/>
                <w:szCs w:val="20"/>
                <w:color w:val="auto"/>
              </w:rPr>
            </w:pPr>
            <w:r>
              <w:rPr>
                <w:rFonts w:ascii="Arial" w:cs="Arial" w:eastAsia="Arial" w:hAnsi="Arial"/>
                <w:sz w:val="18"/>
                <w:szCs w:val="18"/>
                <w:color w:val="auto"/>
              </w:rPr>
              <w:t>exercised:</w:t>
            </w:r>
          </w:p>
        </w:tc>
        <w:tc>
          <w:tcPr>
            <w:tcW w:w="18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300"/>
        </w:trPr>
        <w:tc>
          <w:tcPr>
            <w:tcW w:w="3620" w:type="dxa"/>
            <w:vAlign w:val="bottom"/>
            <w:gridSpan w:val="4"/>
          </w:tcPr>
          <w:p>
            <w:pPr>
              <w:spacing w:after="0"/>
              <w:rPr>
                <w:sz w:val="20"/>
                <w:szCs w:val="20"/>
                <w:color w:val="auto"/>
              </w:rPr>
            </w:pPr>
            <w:r>
              <w:rPr>
                <w:rFonts w:ascii="Arial" w:cs="Arial" w:eastAsia="Arial" w:hAnsi="Arial"/>
                <w:sz w:val="18"/>
                <w:szCs w:val="18"/>
                <w:color w:val="auto"/>
              </w:rPr>
              <w:t>Certificates to be issued in name of:</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00"/>
        </w:trPr>
        <w:tc>
          <w:tcPr>
            <w:tcW w:w="1740" w:type="dxa"/>
            <w:vAlign w:val="bottom"/>
            <w:gridSpan w:val="3"/>
          </w:tcPr>
          <w:p>
            <w:pPr>
              <w:spacing w:after="0"/>
              <w:rPr>
                <w:sz w:val="20"/>
                <w:szCs w:val="20"/>
                <w:color w:val="auto"/>
              </w:rPr>
            </w:pPr>
            <w:r>
              <w:rPr>
                <w:rFonts w:ascii="Arial" w:cs="Arial" w:eastAsia="Arial" w:hAnsi="Arial"/>
                <w:sz w:val="18"/>
                <w:szCs w:val="18"/>
                <w:color w:val="auto"/>
              </w:rPr>
              <w:t>Total exercise price:</w:t>
            </w:r>
          </w:p>
        </w:tc>
        <w:tc>
          <w:tcPr>
            <w:tcW w:w="188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26"/>
        </w:trPr>
        <w:tc>
          <w:tcPr>
            <w:tcW w:w="3620" w:type="dxa"/>
            <w:vAlign w:val="bottom"/>
            <w:gridSpan w:val="4"/>
          </w:tcPr>
          <w:p>
            <w:pPr>
              <w:ind w:left="360"/>
              <w:spacing w:after="0"/>
              <w:rPr>
                <w:sz w:val="20"/>
                <w:szCs w:val="20"/>
                <w:color w:val="auto"/>
              </w:rPr>
            </w:pPr>
            <w:r>
              <w:rPr>
                <w:rFonts w:ascii="Arial" w:cs="Arial" w:eastAsia="Arial" w:hAnsi="Arial"/>
                <w:sz w:val="18"/>
                <w:szCs w:val="18"/>
                <w:color w:val="auto"/>
              </w:rPr>
              <w:t>Cash, check, bank draft or money order</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r>
      <w:tr>
        <w:trPr>
          <w:trHeight w:val="188"/>
        </w:trPr>
        <w:tc>
          <w:tcPr>
            <w:tcW w:w="1740" w:type="dxa"/>
            <w:vAlign w:val="bottom"/>
            <w:gridSpan w:val="3"/>
          </w:tcPr>
          <w:p>
            <w:pPr>
              <w:ind w:left="360"/>
              <w:spacing w:after="0" w:line="188" w:lineRule="exact"/>
              <w:rPr>
                <w:sz w:val="20"/>
                <w:szCs w:val="20"/>
                <w:color w:val="auto"/>
              </w:rPr>
            </w:pPr>
            <w:r>
              <w:rPr>
                <w:rFonts w:ascii="Arial" w:cs="Arial" w:eastAsia="Arial" w:hAnsi="Arial"/>
                <w:sz w:val="18"/>
                <w:szCs w:val="18"/>
                <w:color w:val="auto"/>
                <w:w w:val="90"/>
              </w:rPr>
              <w:t>delivered herewith:</w:t>
            </w:r>
          </w:p>
        </w:tc>
        <w:tc>
          <w:tcPr>
            <w:tcW w:w="1880" w:type="dxa"/>
            <w:vAlign w:val="bottom"/>
          </w:tcPr>
          <w:p>
            <w:pPr>
              <w:spacing w:after="0"/>
              <w:rPr>
                <w:sz w:val="16"/>
                <w:szCs w:val="16"/>
                <w:color w:val="auto"/>
              </w:rPr>
            </w:pPr>
          </w:p>
        </w:tc>
        <w:tc>
          <w:tcPr>
            <w:tcW w:w="100" w:type="dxa"/>
            <w:vAlign w:val="bottom"/>
            <w:gridSpan w:val="2"/>
          </w:tcPr>
          <w:p>
            <w:pPr>
              <w:spacing w:after="0" w:line="188" w:lineRule="exact"/>
              <w:rPr>
                <w:sz w:val="20"/>
                <w:szCs w:val="20"/>
                <w:color w:val="auto"/>
              </w:rPr>
            </w:pPr>
            <w:r>
              <w:rPr>
                <w:rFonts w:ascii="Arial" w:cs="Arial" w:eastAsia="Arial" w:hAnsi="Arial"/>
                <w:sz w:val="18"/>
                <w:szCs w:val="18"/>
                <w:color w:val="auto"/>
                <w:w w:val="79"/>
              </w:rPr>
              <w:t>$</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300"/>
        </w:trPr>
        <w:tc>
          <w:tcPr>
            <w:tcW w:w="1000" w:type="dxa"/>
            <w:vAlign w:val="bottom"/>
          </w:tcPr>
          <w:p>
            <w:pPr>
              <w:ind w:left="360"/>
              <w:spacing w:after="0"/>
              <w:rPr>
                <w:sz w:val="20"/>
                <w:szCs w:val="20"/>
                <w:color w:val="auto"/>
              </w:rPr>
            </w:pPr>
            <w:r>
              <w:rPr>
                <w:rFonts w:ascii="Arial" w:cs="Arial" w:eastAsia="Arial" w:hAnsi="Arial"/>
                <w:sz w:val="18"/>
                <w:szCs w:val="18"/>
                <w:color w:val="auto"/>
                <w:w w:val="93"/>
              </w:rPr>
              <w:t>Value of</w:t>
            </w: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Shares delivered</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r>
      <w:tr>
        <w:trPr>
          <w:trHeight w:val="193"/>
        </w:trPr>
        <w:tc>
          <w:tcPr>
            <w:tcW w:w="1740" w:type="dxa"/>
            <w:vAlign w:val="bottom"/>
            <w:gridSpan w:val="3"/>
          </w:tcPr>
          <w:p>
            <w:pPr>
              <w:ind w:left="360"/>
              <w:spacing w:after="0" w:line="194" w:lineRule="exact"/>
              <w:rPr>
                <w:sz w:val="20"/>
                <w:szCs w:val="20"/>
                <w:color w:val="auto"/>
              </w:rPr>
            </w:pPr>
            <w:r>
              <w:rPr>
                <w:rFonts w:ascii="Arial" w:cs="Arial" w:eastAsia="Arial" w:hAnsi="Arial"/>
                <w:sz w:val="18"/>
                <w:szCs w:val="18"/>
                <w:color w:val="auto"/>
              </w:rPr>
              <w:t>herewith:</w:t>
            </w:r>
          </w:p>
        </w:tc>
        <w:tc>
          <w:tcPr>
            <w:tcW w:w="1880" w:type="dxa"/>
            <w:vAlign w:val="bottom"/>
          </w:tcPr>
          <w:p>
            <w:pPr>
              <w:spacing w:after="0"/>
              <w:rPr>
                <w:sz w:val="16"/>
                <w:szCs w:val="16"/>
                <w:color w:val="auto"/>
              </w:rPr>
            </w:pPr>
          </w:p>
        </w:tc>
        <w:tc>
          <w:tcPr>
            <w:tcW w:w="100" w:type="dxa"/>
            <w:vAlign w:val="bottom"/>
            <w:gridSpan w:val="2"/>
          </w:tcPr>
          <w:p>
            <w:pPr>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20" w:type="dxa"/>
            <w:vAlign w:val="bottom"/>
          </w:tcPr>
          <w:p>
            <w:pPr>
              <w:spacing w:after="0"/>
              <w:rPr>
                <w:sz w:val="16"/>
                <w:szCs w:val="16"/>
                <w:color w:val="auto"/>
              </w:rPr>
            </w:pPr>
          </w:p>
        </w:tc>
      </w:tr>
      <w:tr>
        <w:trPr>
          <w:trHeight w:val="300"/>
        </w:trPr>
        <w:tc>
          <w:tcPr>
            <w:tcW w:w="3620" w:type="dxa"/>
            <w:vAlign w:val="bottom"/>
            <w:gridSpan w:val="4"/>
          </w:tcPr>
          <w:p>
            <w:pPr>
              <w:ind w:left="360"/>
              <w:spacing w:after="0"/>
              <w:rPr>
                <w:sz w:val="20"/>
                <w:szCs w:val="20"/>
                <w:color w:val="auto"/>
              </w:rPr>
            </w:pPr>
            <w:r>
              <w:rPr>
                <w:rFonts w:ascii="Arial" w:cs="Arial" w:eastAsia="Arial" w:hAnsi="Arial"/>
                <w:sz w:val="18"/>
                <w:szCs w:val="18"/>
                <w:color w:val="auto"/>
                <w:w w:val="96"/>
              </w:rPr>
              <w:t>Regulation T Program (cashless exercise)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00"/>
        </w:trPr>
        <w:tc>
          <w:tcPr>
            <w:tcW w:w="1000" w:type="dxa"/>
            <w:vAlign w:val="bottom"/>
          </w:tcPr>
          <w:p>
            <w:pPr>
              <w:ind w:left="360"/>
              <w:spacing w:after="0"/>
              <w:rPr>
                <w:sz w:val="20"/>
                <w:szCs w:val="20"/>
                <w:color w:val="auto"/>
              </w:rPr>
            </w:pPr>
            <w:r>
              <w:rPr>
                <w:rFonts w:ascii="Arial" w:cs="Arial" w:eastAsia="Arial" w:hAnsi="Arial"/>
                <w:sz w:val="18"/>
                <w:szCs w:val="18"/>
                <w:color w:val="auto"/>
                <w:w w:val="93"/>
              </w:rPr>
              <w:t>Value of</w:t>
            </w: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Shares pursuant to net</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r>
      <w:tr>
        <w:trPr>
          <w:trHeight w:val="193"/>
        </w:trPr>
        <w:tc>
          <w:tcPr>
            <w:tcW w:w="1740" w:type="dxa"/>
            <w:vAlign w:val="bottom"/>
            <w:gridSpan w:val="3"/>
          </w:tcPr>
          <w:p>
            <w:pPr>
              <w:ind w:left="360"/>
              <w:spacing w:after="0" w:line="194" w:lineRule="exact"/>
              <w:rPr>
                <w:sz w:val="20"/>
                <w:szCs w:val="20"/>
                <w:color w:val="auto"/>
              </w:rPr>
            </w:pPr>
            <w:r>
              <w:rPr>
                <w:rFonts w:ascii="Arial" w:cs="Arial" w:eastAsia="Arial" w:hAnsi="Arial"/>
                <w:sz w:val="18"/>
                <w:szCs w:val="18"/>
                <w:color w:val="auto"/>
              </w:rPr>
              <w:t>exercise:</w:t>
            </w:r>
          </w:p>
        </w:tc>
        <w:tc>
          <w:tcPr>
            <w:tcW w:w="1880" w:type="dxa"/>
            <w:vAlign w:val="bottom"/>
          </w:tcPr>
          <w:p>
            <w:pPr>
              <w:spacing w:after="0"/>
              <w:rPr>
                <w:sz w:val="16"/>
                <w:szCs w:val="16"/>
                <w:color w:val="auto"/>
              </w:rPr>
            </w:pPr>
          </w:p>
        </w:tc>
        <w:tc>
          <w:tcPr>
            <w:tcW w:w="100" w:type="dxa"/>
            <w:vAlign w:val="bottom"/>
            <w:gridSpan w:val="2"/>
          </w:tcPr>
          <w:p>
            <w:pPr>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20" w:type="dxa"/>
            <w:vAlign w:val="bottom"/>
          </w:tcPr>
          <w:p>
            <w:pPr>
              <w:spacing w:after="0"/>
              <w:rPr>
                <w:sz w:val="16"/>
                <w:szCs w:val="16"/>
                <w:color w:val="auto"/>
              </w:rPr>
            </w:pPr>
          </w:p>
        </w:tc>
      </w:tr>
    </w:tbl>
    <w:p>
      <w:pPr>
        <w:sectPr>
          <w:pgSz w:w="11900" w:h="16838" w:orient="portrait"/>
          <w:cols w:equalWidth="0" w:num="1">
            <w:col w:w="10880"/>
          </w:cols>
          <w:pgMar w:left="500" w:top="272" w:right="519" w:bottom="1440" w:gutter="0" w:footer="0" w:header="0"/>
          <w:type w:val="continuous"/>
        </w:sectPr>
      </w:pPr>
    </w:p>
    <w:bookmarkStart w:id="55" w:name="page56"/>
    <w:bookmarkEnd w:id="55"/>
    <w:p>
      <w:pPr>
        <w:ind w:left="814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Standard Stock Option Grant Package</w:t>
      </w:r>
    </w:p>
    <w:p>
      <w:pPr>
        <w:spacing w:after="0" w:line="176" w:lineRule="exact"/>
        <w:rPr>
          <w:sz w:val="20"/>
          <w:szCs w:val="20"/>
          <w:color w:val="auto"/>
        </w:rPr>
      </w:pPr>
    </w:p>
    <w:p>
      <w:pPr>
        <w:ind w:right="160" w:firstLine="435"/>
        <w:spacing w:after="0" w:line="274" w:lineRule="auto"/>
        <w:rPr>
          <w:sz w:val="20"/>
          <w:szCs w:val="20"/>
          <w:color w:val="auto"/>
        </w:rPr>
      </w:pPr>
      <w:r>
        <w:rPr>
          <w:rFonts w:ascii="Arial" w:cs="Arial" w:eastAsia="Arial" w:hAnsi="Arial"/>
          <w:sz w:val="17"/>
          <w:szCs w:val="17"/>
          <w:color w:val="auto"/>
        </w:rPr>
        <w:t>By this exercise, I agree (i) to provide such additional documents as you may require pursuant to the terms of the Plan, (ii) to satisfy the tax withholding obligations, if any, relating to the exercise of this Option as set forth in the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further agree that I will not sell, dispose of, transfer, make any short sale of, grant any option for the purchase of, or enter into any hedging or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similar transaction with the same economic effect as a sale with respect to any shares of Common Stock or other securities of the Company that I hold,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for a period of 180 days following the effective date of a registration statement of the Company filed under the Securities Act or such longer period as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or the Company will request to facilitate compliance with FINRA Rule 2241 or any successor or similar rules or regulation (the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paragraph will prevent the exercise of a repurchase option, if any, in favor of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Company during the Lock-Up Period. I further agree to execute and deliver such other agreements as may be reasonably requested by the Company or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that are consistent with the foregoing or that are necessary to give further effect thereto. I further agree that in order to enforce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foregoing covenant, the Company may impose stop-transfer instructions with respect to shares of Common Stock that I hold until the end of such</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period. I also agree that any transferee of any shares of Common Stock (or other securities) of the Company that I hold will be bound by this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paragraph. The underwriters of the Company’s stock are intended third party beneficiaries of this paragraph and will have the right, power and authority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 enforce the provisions hereof as though they were a party hereto.</w:t>
      </w:r>
    </w:p>
    <w:p>
      <w:pPr>
        <w:spacing w:after="0" w:line="23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284480</wp:posOffset>
            </wp:positionV>
            <wp:extent cx="27622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2762250" cy="8255"/>
                    </a:xfrm>
                    <a:prstGeom prst="rect">
                      <a:avLst/>
                    </a:prstGeom>
                    <a:noFill/>
                  </pic:spPr>
                </pic:pic>
              </a:graphicData>
            </a:graphic>
          </wp:anchor>
        </w:drawing>
      </w:r>
    </w:p>
    <w:p>
      <w:pPr>
        <w:sectPr>
          <w:pgSz w:w="11900" w:h="16838" w:orient="portrait"/>
          <w:cols w:equalWidth="0" w:num="1">
            <w:col w:w="10880"/>
          </w:cols>
          <w:pgMar w:left="500" w:top="272" w:right="519" w:bottom="1440" w:gutter="0" w:footer="0" w:header="0"/>
        </w:sectPr>
      </w:pPr>
    </w:p>
    <w:bookmarkStart w:id="56" w:name="page57"/>
    <w:bookmarkEnd w:id="56"/>
    <w:p>
      <w:pPr>
        <w:ind w:left="9880"/>
        <w:spacing w:after="0"/>
        <w:rPr>
          <w:sz w:val="20"/>
          <w:szCs w:val="20"/>
          <w:color w:val="auto"/>
        </w:rPr>
      </w:pPr>
      <w:r>
        <w:rPr>
          <w:rFonts w:ascii="Arial" w:cs="Arial" w:eastAsia="Arial" w:hAnsi="Arial"/>
          <w:sz w:val="18"/>
          <w:szCs w:val="18"/>
          <w:b w:val="1"/>
          <w:bCs w:val="1"/>
          <w:color w:val="auto"/>
        </w:rPr>
        <w:t>Exhibit 10.11</w:t>
      </w:r>
    </w:p>
    <w:p>
      <w:pPr>
        <w:spacing w:after="0" w:line="220"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RSU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6"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0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Xometry,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number of restricted stock units specified and on the terms set forth below in consideration of your services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Your RSU Award is subject to all of the terms and conditions as set forth herein and in the Company’s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-3175</wp:posOffset>
            </wp:positionV>
            <wp:extent cx="36601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-3175</wp:posOffset>
            </wp:positionV>
            <wp:extent cx="36601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-3175</wp:posOffset>
            </wp:positionV>
            <wp:extent cx="36601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5080</wp:posOffset>
            </wp:positionV>
            <wp:extent cx="36601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36"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Subject to the Participant’s Continuous Service through each applicable vesting date, the RSU Award will vest as follows:</w:t>
      </w:r>
    </w:p>
    <w:p>
      <w:pPr>
        <w:spacing w:after="0" w:line="117" w:lineRule="exact"/>
        <w:rPr>
          <w:sz w:val="20"/>
          <w:szCs w:val="20"/>
          <w:color w:val="auto"/>
        </w:rPr>
      </w:pPr>
    </w:p>
    <w:p>
      <w:pPr>
        <w:ind w:left="1540"/>
        <w:spacing w:after="0"/>
        <w:tabs>
          <w:tab w:leader="none" w:pos="9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-11430</wp:posOffset>
            </wp:positionV>
            <wp:extent cx="48558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4855845"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Issuance Schedule: </w:t>
      </w:r>
      <w:r>
        <w:rPr>
          <w:rFonts w:ascii="Arial" w:cs="Arial" w:eastAsia="Arial" w:hAnsi="Arial"/>
          <w:sz w:val="16"/>
          <w:szCs w:val="16"/>
          <w:color w:val="auto"/>
        </w:rPr>
        <w:t>One share of Common Stock will be issued for each restricted stock unit which vests at the time set forth in Section 6 of the Agreement</w:t>
      </w:r>
    </w:p>
    <w:p>
      <w:pPr>
        <w:spacing w:after="0" w:line="243" w:lineRule="exact"/>
        <w:rPr>
          <w:sz w:val="20"/>
          <w:szCs w:val="20"/>
          <w:color w:val="auto"/>
        </w:rPr>
      </w:pPr>
    </w:p>
    <w:p>
      <w:pPr>
        <w:ind w:right="640"/>
        <w:spacing w:after="0" w:line="274" w:lineRule="auto"/>
        <w:rPr>
          <w:sz w:val="20"/>
          <w:szCs w:val="20"/>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78" w:lineRule="exact"/>
        <w:rPr>
          <w:sz w:val="20"/>
          <w:szCs w:val="20"/>
          <w:color w:val="auto"/>
        </w:rPr>
      </w:pPr>
    </w:p>
    <w:p>
      <w:pPr>
        <w:ind w:left="960" w:right="300" w:hanging="533"/>
        <w:spacing w:after="0" w:line="255"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RSU Award is governed by this RSU Award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provisions of the Plan and the Agreement, all of which are made a part of this document. Unless otherwise provided in the Plan, this Grant Notice and the Agreement (together, the “</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94" w:lineRule="exact"/>
        <w:rPr>
          <w:rFonts w:ascii="Arial" w:cs="Arial" w:eastAsia="Arial" w:hAnsi="Arial"/>
          <w:sz w:val="18"/>
          <w:szCs w:val="18"/>
          <w:color w:val="auto"/>
        </w:rPr>
      </w:pPr>
    </w:p>
    <w:p>
      <w:pPr>
        <w:ind w:left="960" w:right="360" w:hanging="533"/>
        <w:spacing w:after="0" w:line="333"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36" w:lineRule="exact"/>
        <w:rPr>
          <w:rFonts w:ascii="Arial" w:cs="Arial" w:eastAsia="Arial" w:hAnsi="Arial"/>
          <w:sz w:val="16"/>
          <w:szCs w:val="16"/>
          <w:color w:val="auto"/>
        </w:rPr>
      </w:pPr>
    </w:p>
    <w:p>
      <w:pPr>
        <w:jc w:val="both"/>
        <w:ind w:left="960" w:right="320" w:hanging="533"/>
        <w:spacing w:after="0" w:line="296"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w:t>
            </w:r>
            <w:r>
              <w:rPr>
                <w:rFonts w:ascii="Arial" w:cs="Arial" w:eastAsia="Arial" w:hAnsi="Arial"/>
                <w:sz w:val="18"/>
                <w:szCs w:val="18"/>
                <w:b w:val="1"/>
                <w:bCs w:val="1"/>
                <w:color w:val="auto"/>
              </w:rPr>
              <w:t>:</w:t>
            </w:r>
          </w:p>
        </w:tc>
      </w:tr>
      <w:tr>
        <w:trPr>
          <w:trHeight w:val="428"/>
        </w:trPr>
        <w:tc>
          <w:tcPr>
            <w:tcW w:w="5720" w:type="dxa"/>
            <w:vAlign w:val="bottom"/>
            <w:gridSpan w:val="3"/>
          </w:tcPr>
          <w:p>
            <w:pPr>
              <w:spacing w:after="0"/>
              <w:rPr>
                <w:sz w:val="20"/>
                <w:szCs w:val="20"/>
                <w:color w:val="auto"/>
              </w:rPr>
            </w:pPr>
            <w:r>
              <w:rPr>
                <w:rFonts w:ascii="Arial" w:cs="Arial" w:eastAsia="Arial" w:hAnsi="Arial"/>
                <w:sz w:val="18"/>
                <w:szCs w:val="18"/>
                <w:color w:val="auto"/>
              </w:rPr>
              <w:t>By:</w:t>
            </w:r>
          </w:p>
        </w:tc>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20"/>
        </w:trPr>
        <w:tc>
          <w:tcPr>
            <w:tcW w:w="480" w:type="dxa"/>
            <w:vAlign w:val="bottom"/>
          </w:tcPr>
          <w:p>
            <w:pPr>
              <w:spacing w:after="0"/>
              <w:rPr>
                <w:sz w:val="19"/>
                <w:szCs w:val="19"/>
                <w:color w:val="auto"/>
              </w:rPr>
            </w:pPr>
          </w:p>
        </w:tc>
        <w:tc>
          <w:tcPr>
            <w:tcW w:w="4680" w:type="dxa"/>
            <w:vAlign w:val="bottom"/>
            <w:tcBorders>
              <w:top w:val="single" w:sz="8" w:color="auto"/>
            </w:tcBorders>
          </w:tcPr>
          <w:p>
            <w:pPr>
              <w:ind w:left="2000"/>
              <w:spacing w:after="0"/>
              <w:rPr>
                <w:sz w:val="20"/>
                <w:szCs w:val="20"/>
                <w:color w:val="auto"/>
              </w:rPr>
            </w:pPr>
            <w:r>
              <w:rPr>
                <w:rFonts w:ascii="Arial" w:cs="Arial" w:eastAsia="Arial" w:hAnsi="Arial"/>
                <w:sz w:val="18"/>
                <w:szCs w:val="18"/>
                <w:color w:val="auto"/>
              </w:rPr>
              <w:t>Signature</w:t>
            </w:r>
          </w:p>
        </w:tc>
        <w:tc>
          <w:tcPr>
            <w:tcW w:w="5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60" w:type="dxa"/>
            <w:vAlign w:val="bottom"/>
            <w:tcBorders>
              <w:top w:val="single" w:sz="8" w:color="auto"/>
            </w:tcBorders>
          </w:tcPr>
          <w:p>
            <w:pPr>
              <w:ind w:left="2000"/>
              <w:spacing w:after="0"/>
              <w:rPr>
                <w:sz w:val="20"/>
                <w:szCs w:val="20"/>
                <w:color w:val="auto"/>
              </w:rPr>
            </w:pPr>
            <w:r>
              <w:rPr>
                <w:rFonts w:ascii="Arial" w:cs="Arial" w:eastAsia="Arial" w:hAnsi="Arial"/>
                <w:sz w:val="18"/>
                <w:szCs w:val="18"/>
                <w:color w:val="auto"/>
              </w:rPr>
              <w:t>Signature</w:t>
            </w:r>
          </w:p>
        </w:tc>
      </w:tr>
      <w:tr>
        <w:trPr>
          <w:trHeight w:val="42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660" w:type="dxa"/>
            <w:vAlign w:val="bottom"/>
            <w:tcBorders>
              <w:bottom w:val="single" w:sz="8" w:color="auto"/>
            </w:tcBorders>
          </w:tcPr>
          <w:p>
            <w:pPr>
              <w:spacing w:after="0"/>
              <w:rPr>
                <w:sz w:val="24"/>
                <w:szCs w:val="24"/>
                <w:color w:val="auto"/>
              </w:rPr>
            </w:pPr>
          </w:p>
        </w:tc>
      </w:tr>
      <w:tr>
        <w:trPr>
          <w:trHeight w:val="433"/>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60"/>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RSU Award Agreement, 2021 Equity Incentive Plan</w:t>
            </w:r>
          </w:p>
        </w:tc>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160"/>
          </w:cols>
          <w:pgMar w:left="500" w:top="121"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(RSU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reflected by your Restricted Stock Unit Grant Notice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Xometry,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you a RSU Award under its</w:t>
      </w:r>
    </w:p>
    <w:p>
      <w:pPr>
        <w:spacing w:after="0" w:line="4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 as indicated in your Grant Notice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The terms of your RSU Award as specified in this Award Agreement for your RSU Award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Grant Notice constitute your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Defined terms not explicitly defined in this Agreement but defined in the Grant Notice or the Plan shall have the same definitions as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Notice or Plan, as applicable.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general terms applicable to your RSU Award are as follows:</w:t>
      </w:r>
    </w:p>
    <w:p>
      <w:pPr>
        <w:spacing w:after="0" w:line="216" w:lineRule="exact"/>
        <w:rPr>
          <w:sz w:val="20"/>
          <w:szCs w:val="20"/>
          <w:color w:val="auto"/>
        </w:rPr>
      </w:pPr>
    </w:p>
    <w:p>
      <w:pPr>
        <w:ind w:left="740" w:hanging="305"/>
        <w:spacing w:after="0"/>
        <w:tabs>
          <w:tab w:leader="none" w:pos="74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RSU Award is subject to all the provisions of the Plan, including but not limited to the provisions in:</w:t>
      </w:r>
    </w:p>
    <w:p>
      <w:pPr>
        <w:spacing w:after="0" w:line="235" w:lineRule="exact"/>
        <w:rPr>
          <w:rFonts w:ascii="Arial" w:cs="Arial" w:eastAsia="Arial" w:hAnsi="Arial"/>
          <w:sz w:val="17"/>
          <w:szCs w:val="17"/>
          <w:b w:val="1"/>
          <w:bCs w:val="1"/>
          <w:color w:val="auto"/>
        </w:rPr>
      </w:pPr>
    </w:p>
    <w:p>
      <w:pPr>
        <w:ind w:left="1360" w:hanging="380"/>
        <w:spacing w:after="0"/>
        <w:tabs>
          <w:tab w:leader="none" w:pos="1360" w:val="left"/>
        </w:tabs>
        <w:numPr>
          <w:ilvl w:val="1"/>
          <w:numId w:val="65"/>
        </w:numPr>
        <w:rPr>
          <w:rFonts w:ascii="Arial" w:cs="Arial" w:eastAsia="Arial" w:hAnsi="Arial"/>
          <w:sz w:val="16"/>
          <w:szCs w:val="16"/>
          <w:b w:val="1"/>
          <w:bCs w:val="1"/>
          <w:color w:val="auto"/>
        </w:rPr>
      </w:pPr>
      <w:r>
        <w:rPr>
          <w:rFonts w:ascii="Arial" w:cs="Arial" w:eastAsia="Arial" w:hAnsi="Arial"/>
          <w:sz w:val="16"/>
          <w:szCs w:val="16"/>
          <w:color w:val="auto"/>
        </w:rPr>
        <w:t>Section 6 of the Plan regarding the impact of a Capitalization Adjustment, dissolution, liquidation, or Corporate Transaction on your</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RSU Award;</w:t>
      </w:r>
    </w:p>
    <w:p>
      <w:pPr>
        <w:spacing w:after="0" w:line="206" w:lineRule="exact"/>
        <w:rPr>
          <w:rFonts w:ascii="Arial" w:cs="Arial" w:eastAsia="Arial" w:hAnsi="Arial"/>
          <w:sz w:val="16"/>
          <w:szCs w:val="16"/>
          <w:b w:val="1"/>
          <w:bCs w:val="1"/>
          <w:color w:val="auto"/>
        </w:rPr>
      </w:pPr>
    </w:p>
    <w:p>
      <w:pPr>
        <w:ind w:right="160" w:firstLine="980"/>
        <w:spacing w:after="0" w:line="270" w:lineRule="auto"/>
        <w:tabs>
          <w:tab w:leader="none" w:pos="1375"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Section 9(e) of the Plan regarding the Company’s retained rights to terminate your Continuous Service notwithstanding the grant of the RSU Award; and</w:t>
      </w:r>
    </w:p>
    <w:p>
      <w:pPr>
        <w:spacing w:after="0" w:line="174" w:lineRule="exact"/>
        <w:rPr>
          <w:rFonts w:ascii="Arial" w:cs="Arial" w:eastAsia="Arial" w:hAnsi="Arial"/>
          <w:sz w:val="18"/>
          <w:szCs w:val="18"/>
          <w:b w:val="1"/>
          <w:bCs w:val="1"/>
          <w:color w:val="auto"/>
        </w:rPr>
      </w:pPr>
    </w:p>
    <w:p>
      <w:pPr>
        <w:ind w:left="1360" w:hanging="380"/>
        <w:spacing w:after="0"/>
        <w:tabs>
          <w:tab w:leader="none" w:pos="136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Section 8(c) of the Plan regarding the tax consequences of your RSU Award.</w:t>
      </w:r>
    </w:p>
    <w:p>
      <w:pPr>
        <w:spacing w:after="0" w:line="22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82" w:lineRule="exact"/>
        <w:rPr>
          <w:sz w:val="20"/>
          <w:szCs w:val="20"/>
          <w:color w:val="auto"/>
        </w:rPr>
      </w:pPr>
    </w:p>
    <w:p>
      <w:pPr>
        <w:ind w:right="140" w:firstLine="435"/>
        <w:spacing w:after="0" w:line="270" w:lineRule="auto"/>
        <w:tabs>
          <w:tab w:leader="none" w:pos="746"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RANT OF THE</w:t>
      </w:r>
      <w:r>
        <w:rPr>
          <w:rFonts w:ascii="Arial" w:cs="Arial" w:eastAsia="Arial" w:hAnsi="Arial"/>
          <w:sz w:val="17"/>
          <w:szCs w:val="17"/>
          <w:b w:val="1"/>
          <w:bCs w:val="1"/>
          <w:color w:val="auto"/>
        </w:rPr>
        <w:t xml:space="preserve"> RSU A</w:t>
      </w:r>
      <w:r>
        <w:rPr>
          <w:rFonts w:ascii="Arial" w:cs="Arial" w:eastAsia="Arial" w:hAnsi="Arial"/>
          <w:sz w:val="13"/>
          <w:szCs w:val="13"/>
          <w:b w:val="1"/>
          <w:bCs w:val="1"/>
          <w:color w:val="auto"/>
        </w:rPr>
        <w:t>WARD</w:t>
      </w:r>
      <w:r>
        <w:rPr>
          <w:rFonts w:ascii="Arial" w:cs="Arial" w:eastAsia="Arial" w:hAnsi="Arial"/>
          <w:sz w:val="17"/>
          <w:szCs w:val="17"/>
          <w:b w:val="1"/>
          <w:bCs w:val="1"/>
          <w:color w:val="auto"/>
        </w:rPr>
        <w:t xml:space="preserve">. </w:t>
      </w:r>
      <w:r>
        <w:rPr>
          <w:rFonts w:ascii="Arial" w:cs="Arial" w:eastAsia="Arial" w:hAnsi="Arial"/>
          <w:sz w:val="17"/>
          <w:szCs w:val="17"/>
          <w:color w:val="auto"/>
        </w:rPr>
        <w:t>This RSU Award represents your right to be issued on a future date the number of shares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 Any additional Restricted Stock Units that become subject to the RSU Award pursuant to Capitalization Adjustments as set forth in the Plan and the provisions of Section 4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74" w:lineRule="exact"/>
        <w:rPr>
          <w:rFonts w:ascii="Arial" w:cs="Arial" w:eastAsia="Arial" w:hAnsi="Arial"/>
          <w:sz w:val="17"/>
          <w:szCs w:val="17"/>
          <w:b w:val="1"/>
          <w:bCs w:val="1"/>
          <w:color w:val="auto"/>
        </w:rPr>
      </w:pPr>
    </w:p>
    <w:p>
      <w:pPr>
        <w:ind w:right="80" w:firstLine="435"/>
        <w:spacing w:after="0" w:line="305" w:lineRule="auto"/>
        <w:tabs>
          <w:tab w:leader="none" w:pos="746"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V</w:t>
      </w:r>
      <w:r>
        <w:rPr>
          <w:rFonts w:ascii="Arial" w:cs="Arial" w:eastAsia="Arial" w:hAnsi="Arial"/>
          <w:sz w:val="13"/>
          <w:szCs w:val="13"/>
          <w:b w:val="1"/>
          <w:bCs w:val="1"/>
          <w:color w:val="auto"/>
        </w:rPr>
        <w:t>ESTING</w:t>
      </w:r>
      <w:r>
        <w:rPr>
          <w:rFonts w:ascii="Arial" w:cs="Arial" w:eastAsia="Arial" w:hAnsi="Arial"/>
          <w:sz w:val="17"/>
          <w:szCs w:val="17"/>
          <w:b w:val="1"/>
          <w:bCs w:val="1"/>
          <w:color w:val="auto"/>
        </w:rPr>
        <w:t xml:space="preserve">. </w:t>
      </w:r>
      <w:r>
        <w:rPr>
          <w:rFonts w:ascii="Arial" w:cs="Arial" w:eastAsia="Arial" w:hAnsi="Arial"/>
          <w:sz w:val="17"/>
          <w:szCs w:val="17"/>
          <w:color w:val="auto"/>
        </w:rPr>
        <w:t>Your Restricted Stock Units will vest, if at all, in accordance with the vesting schedule provided in the Grant Notice,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contained herein and the terms of the Plan. Vesting will cease upon the termination of your Continuous Service.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500" w:top="268" w:right="519" w:bottom="1440" w:gutter="0" w:footer="0" w:header="0"/>
        </w:sectPr>
      </w:pPr>
    </w:p>
    <w:bookmarkStart w:id="58" w:name="page59"/>
    <w:bookmarkEnd w:id="58"/>
    <w:p>
      <w:pPr>
        <w:ind w:firstLine="435"/>
        <w:spacing w:after="0" w:line="268" w:lineRule="auto"/>
        <w:tabs>
          <w:tab w:leader="none" w:pos="746"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w:t>
      </w:r>
      <w:r>
        <w:rPr>
          <w:rFonts w:ascii="Arial" w:cs="Arial" w:eastAsia="Arial" w:hAnsi="Arial"/>
          <w:sz w:val="13"/>
          <w:szCs w:val="13"/>
          <w:b w:val="1"/>
          <w:bCs w:val="1"/>
          <w:color w:val="auto"/>
        </w:rPr>
        <w:t>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You may become entitled to receive payments equal to any cash dividends and other distributions paid with respect to a</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number of shares of Common Stock to be issued in respect of the Restricted Stock Units covered by your RSU Award. Any such dividends or distributions shall be subject to the same forfeiture restrictions as apply to the Restricted Stock Units and shall be paid at the same time that the corresponding shares are issued in respect of your vested Restricted Stock Units, provided, however that to the extent any such dividends or distributions are paid in shares of Common Stock, then you will automatically be granted a corresponding number of additional Restricted Stock Units subject to the RSU Award (the “</w:t>
      </w:r>
      <w:r>
        <w:rPr>
          <w:rFonts w:ascii="Arial" w:cs="Arial" w:eastAsia="Arial" w:hAnsi="Arial"/>
          <w:sz w:val="17"/>
          <w:szCs w:val="17"/>
          <w:b w:val="1"/>
          <w:bCs w:val="1"/>
          <w:i w:val="1"/>
          <w:iCs w:val="1"/>
          <w:color w:val="auto"/>
        </w:rPr>
        <w:t>Dividend Units</w:t>
      </w:r>
      <w:r>
        <w:rPr>
          <w:rFonts w:ascii="Arial" w:cs="Arial" w:eastAsia="Arial" w:hAnsi="Arial"/>
          <w:sz w:val="17"/>
          <w:szCs w:val="17"/>
          <w:color w:val="auto"/>
        </w:rPr>
        <w:t>”), and further provided that such Dividend Units shall be subject to the same forfeiture restrictions and restrictions on transferability, and same timing requirements for issuance of shares, as apply to the Restricted Stock Units subject to the RSU Award with respect to which the Dividend Units relate.</w:t>
      </w:r>
    </w:p>
    <w:p>
      <w:pPr>
        <w:spacing w:after="0" w:line="175" w:lineRule="exact"/>
        <w:rPr>
          <w:rFonts w:ascii="Arial" w:cs="Arial" w:eastAsia="Arial" w:hAnsi="Arial"/>
          <w:sz w:val="17"/>
          <w:szCs w:val="17"/>
          <w:b w:val="1"/>
          <w:bCs w:val="1"/>
          <w:color w:val="auto"/>
        </w:rPr>
      </w:pPr>
    </w:p>
    <w:p>
      <w:pPr>
        <w:ind w:right="220" w:firstLine="435"/>
        <w:spacing w:after="0" w:line="288" w:lineRule="auto"/>
        <w:tabs>
          <w:tab w:leader="none" w:pos="746"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ITHHOLDING</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further provided in Section 8 of the Plan, you hereby authorize withholding from payroll and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payable to you, and otherwise agree to make adequate provision for, any sums required to satisfy the federal, state, local and foreign tax withholding obligations, if any, which arise in connection with your RSU Award (the “</w:t>
      </w:r>
      <w:r>
        <w:rPr>
          <w:rFonts w:ascii="Arial" w:cs="Arial" w:eastAsia="Arial" w:hAnsi="Arial"/>
          <w:sz w:val="16"/>
          <w:szCs w:val="16"/>
          <w:b w:val="1"/>
          <w:bCs w:val="1"/>
          <w:i w:val="1"/>
          <w:iCs w:val="1"/>
          <w:color w:val="auto"/>
        </w:rPr>
        <w:t>Withholding Obligation</w:t>
      </w:r>
      <w:r>
        <w:rPr>
          <w:rFonts w:ascii="Arial" w:cs="Arial" w:eastAsia="Arial" w:hAnsi="Arial"/>
          <w:sz w:val="16"/>
          <w:szCs w:val="16"/>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269" w:lineRule="exact"/>
        <w:rPr>
          <w:rFonts w:ascii="Arial" w:cs="Arial" w:eastAsia="Arial" w:hAnsi="Arial"/>
          <w:sz w:val="16"/>
          <w:szCs w:val="16"/>
          <w:b w:val="1"/>
          <w:bCs w:val="1"/>
          <w:color w:val="auto"/>
        </w:rPr>
      </w:pPr>
    </w:p>
    <w:p>
      <w:pPr>
        <w:ind w:left="740" w:hanging="305"/>
        <w:spacing w:after="0"/>
        <w:tabs>
          <w:tab w:leader="none" w:pos="7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w:t>
      </w:r>
      <w:r>
        <w:rPr>
          <w:rFonts w:ascii="Arial" w:cs="Arial" w:eastAsia="Arial" w:hAnsi="Arial"/>
          <w:sz w:val="18"/>
          <w:szCs w:val="18"/>
          <w:b w:val="1"/>
          <w:bCs w:val="1"/>
          <w:color w:val="auto"/>
        </w:rPr>
        <w:t>.</w:t>
      </w:r>
    </w:p>
    <w:p>
      <w:pPr>
        <w:spacing w:after="0" w:line="117" w:lineRule="exact"/>
        <w:rPr>
          <w:sz w:val="20"/>
          <w:szCs w:val="20"/>
          <w:color w:val="auto"/>
        </w:rPr>
      </w:pPr>
    </w:p>
    <w:p>
      <w:pPr>
        <w:ind w:left="1360" w:hanging="380"/>
        <w:spacing w:after="0"/>
        <w:tabs>
          <w:tab w:leader="none" w:pos="13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issuance of shares in respect of the Restricted Stock Units is intended to comply with Treasury Regulations</w:t>
      </w:r>
    </w:p>
    <w:p>
      <w:pPr>
        <w:spacing w:after="0" w:line="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4 above, and subject to any different provisions in the Grant Notice). Each issuance date determined by this paragraph is referred to as an “</w:t>
      </w:r>
      <w:r>
        <w:rPr>
          <w:rFonts w:ascii="Arial" w:cs="Arial" w:eastAsia="Arial" w:hAnsi="Arial"/>
          <w:sz w:val="17"/>
          <w:szCs w:val="17"/>
          <w:b w:val="1"/>
          <w:bCs w:val="1"/>
          <w:i w:val="1"/>
          <w:iCs w:val="1"/>
          <w:color w:val="auto"/>
        </w:rPr>
        <w:t>Original Issuance Date</w:t>
      </w:r>
      <w:r>
        <w:rPr>
          <w:rFonts w:ascii="Arial" w:cs="Arial" w:eastAsia="Arial" w:hAnsi="Arial"/>
          <w:sz w:val="17"/>
          <w:szCs w:val="17"/>
          <w:color w:val="auto"/>
        </w:rPr>
        <w:t>.”</w:t>
      </w:r>
    </w:p>
    <w:p>
      <w:pPr>
        <w:spacing w:after="0" w:line="178" w:lineRule="exact"/>
        <w:rPr>
          <w:sz w:val="20"/>
          <w:szCs w:val="20"/>
          <w:color w:val="auto"/>
        </w:rPr>
      </w:pPr>
    </w:p>
    <w:p>
      <w:pPr>
        <w:ind w:left="1380" w:hanging="400"/>
        <w:spacing w:after="0"/>
        <w:tabs>
          <w:tab w:leader="none" w:pos="1380" w:val="left"/>
        </w:tabs>
        <w:numPr>
          <w:ilvl w:val="0"/>
          <w:numId w:val="69"/>
        </w:numPr>
        <w:rPr>
          <w:rFonts w:ascii="Arial" w:cs="Arial" w:eastAsia="Arial" w:hAnsi="Arial"/>
          <w:sz w:val="16"/>
          <w:szCs w:val="16"/>
          <w:b w:val="1"/>
          <w:bCs w:val="1"/>
          <w:color w:val="auto"/>
        </w:rPr>
      </w:pPr>
      <w:r>
        <w:rPr>
          <w:rFonts w:ascii="Arial" w:cs="Arial" w:eastAsia="Arial" w:hAnsi="Arial"/>
          <w:sz w:val="16"/>
          <w:szCs w:val="16"/>
          <w:color w:val="auto"/>
        </w:rPr>
        <w:t>If the Original Issuance Date falls on a date that is not a business day, delivery shall instead occur on the next following business day.</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In addition, if:</w:t>
      </w:r>
    </w:p>
    <w:p>
      <w:pPr>
        <w:spacing w:after="0" w:line="206" w:lineRule="exact"/>
        <w:rPr>
          <w:rFonts w:ascii="Arial" w:cs="Arial" w:eastAsia="Arial" w:hAnsi="Arial"/>
          <w:sz w:val="16"/>
          <w:szCs w:val="16"/>
          <w:b w:val="1"/>
          <w:bCs w:val="1"/>
          <w:color w:val="auto"/>
        </w:rPr>
      </w:pPr>
    </w:p>
    <w:p>
      <w:pPr>
        <w:ind w:right="120" w:firstLine="1416"/>
        <w:spacing w:after="0" w:line="253" w:lineRule="auto"/>
        <w:tabs>
          <w:tab w:leader="none" w:pos="1761"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 Arrangement</w:t>
      </w:r>
      <w:r>
        <w:rPr>
          <w:rFonts w:ascii="Arial" w:cs="Arial" w:eastAsia="Arial" w:hAnsi="Arial"/>
          <w:sz w:val="18"/>
          <w:szCs w:val="18"/>
          <w:color w:val="auto"/>
        </w:rPr>
        <w:t>”)), and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500" w:top="268" w:right="519" w:bottom="1440" w:gutter="0" w:footer="0" w:header="0"/>
        </w:sectPr>
      </w:pPr>
    </w:p>
    <w:bookmarkStart w:id="59" w:name="page60"/>
    <w:bookmarkEnd w:id="59"/>
    <w:p>
      <w:pPr>
        <w:jc w:val="both"/>
        <w:ind w:firstLine="1416"/>
        <w:spacing w:after="0" w:line="274" w:lineRule="auto"/>
        <w:tabs>
          <w:tab w:leader="none" w:pos="1810" w:val="left"/>
        </w:tabs>
        <w:numPr>
          <w:ilvl w:val="2"/>
          <w:numId w:val="7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74" w:lineRule="exact"/>
        <w:rPr>
          <w:rFonts w:ascii="Arial" w:cs="Arial" w:eastAsia="Arial" w:hAnsi="Arial"/>
          <w:sz w:val="17"/>
          <w:szCs w:val="17"/>
          <w:b w:val="1"/>
          <w:bCs w:val="1"/>
          <w:color w:val="auto"/>
        </w:rPr>
      </w:pPr>
    </w:p>
    <w:p>
      <w:pPr>
        <w:ind w:right="120" w:firstLine="1416"/>
        <w:spacing w:after="0" w:line="268" w:lineRule="auto"/>
        <w:tabs>
          <w:tab w:leader="none" w:pos="1860" w:val="left"/>
        </w:tabs>
        <w:numPr>
          <w:ilvl w:val="2"/>
          <w:numId w:val="70"/>
        </w:numPr>
        <w:rPr>
          <w:rFonts w:ascii="Arial" w:cs="Arial" w:eastAsia="Arial" w:hAnsi="Arial"/>
          <w:sz w:val="17"/>
          <w:szCs w:val="17"/>
          <w:b w:val="1"/>
          <w:bCs w:val="1"/>
          <w:color w:val="auto"/>
        </w:rPr>
      </w:pPr>
      <w:r>
        <w:rPr>
          <w:rFonts w:ascii="Arial" w:cs="Arial" w:eastAsia="Arial" w:hAnsi="Arial"/>
          <w:sz w:val="17"/>
          <w:szCs w:val="17"/>
          <w:color w:val="auto"/>
        </w:rPr>
        <w:t>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or on such other date determined by the Company,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79" w:lineRule="exact"/>
        <w:rPr>
          <w:rFonts w:ascii="Arial" w:cs="Arial" w:eastAsia="Arial" w:hAnsi="Arial"/>
          <w:sz w:val="17"/>
          <w:szCs w:val="17"/>
          <w:b w:val="1"/>
          <w:bCs w:val="1"/>
          <w:color w:val="auto"/>
        </w:rPr>
      </w:pPr>
    </w:p>
    <w:p>
      <w:pPr>
        <w:ind w:left="1360" w:hanging="380"/>
        <w:spacing w:after="0"/>
        <w:tabs>
          <w:tab w:leader="none" w:pos="136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To the extent the RSU Award is a Non-Exempt RSU Award, the provisions of Section 11 of the Plan shall apply.</w:t>
      </w:r>
    </w:p>
    <w:p>
      <w:pPr>
        <w:spacing w:after="0" w:line="215" w:lineRule="exact"/>
        <w:rPr>
          <w:rFonts w:ascii="Arial" w:cs="Arial" w:eastAsia="Arial" w:hAnsi="Arial"/>
          <w:sz w:val="18"/>
          <w:szCs w:val="18"/>
          <w:b w:val="1"/>
          <w:bCs w:val="1"/>
          <w:color w:val="auto"/>
        </w:rPr>
      </w:pPr>
    </w:p>
    <w:p>
      <w:pPr>
        <w:ind w:firstLine="435"/>
        <w:spacing w:after="0" w:line="284" w:lineRule="auto"/>
        <w:tabs>
          <w:tab w:leader="none" w:pos="746"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L</w:t>
      </w:r>
      <w:r>
        <w:rPr>
          <w:rFonts w:ascii="Arial" w:cs="Arial" w:eastAsia="Arial" w:hAnsi="Arial"/>
          <w:sz w:val="12"/>
          <w:szCs w:val="12"/>
          <w:b w:val="1"/>
          <w:bCs w:val="1"/>
          <w:color w:val="auto"/>
        </w:rPr>
        <w:t>OCK</w:t>
      </w:r>
      <w:r>
        <w:rPr>
          <w:rFonts w:ascii="Arial" w:cs="Arial" w:eastAsia="Arial" w:hAnsi="Arial"/>
          <w:sz w:val="16"/>
          <w:szCs w:val="16"/>
          <w:b w:val="1"/>
          <w:bCs w:val="1"/>
          <w:color w:val="auto"/>
        </w:rPr>
        <w:t>-U</w:t>
      </w:r>
      <w:r>
        <w:rPr>
          <w:rFonts w:ascii="Arial" w:cs="Arial" w:eastAsia="Arial" w:hAnsi="Arial"/>
          <w:sz w:val="12"/>
          <w:szCs w:val="12"/>
          <w:b w:val="1"/>
          <w:bCs w:val="1"/>
          <w:color w:val="auto"/>
        </w:rPr>
        <w:t>P</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ERIOD</w:t>
      </w:r>
      <w:r>
        <w:rPr>
          <w:rFonts w:ascii="Arial" w:cs="Arial" w:eastAsia="Arial" w:hAnsi="Arial"/>
          <w:sz w:val="16"/>
          <w:szCs w:val="16"/>
          <w:color w:val="auto"/>
        </w:rPr>
        <w:t>. By accepting your RSU Award, you agree that you will not sell, dispose of, transfer, make any short sale of, grant any</w:t>
      </w:r>
      <w:r>
        <w:rPr>
          <w:rFonts w:ascii="Arial" w:cs="Arial" w:eastAsia="Arial" w:hAnsi="Arial"/>
          <w:sz w:val="16"/>
          <w:szCs w:val="16"/>
          <w:b w:val="1"/>
          <w:bCs w:val="1"/>
          <w:color w:val="auto"/>
        </w:rPr>
        <w:t xml:space="preserve"> </w:t>
      </w:r>
      <w:r>
        <w:rPr>
          <w:rFonts w:ascii="Arial" w:cs="Arial" w:eastAsia="Arial" w:hAnsi="Arial"/>
          <w:sz w:val="16"/>
          <w:szCs w:val="16"/>
          <w:color w:val="auto"/>
        </w:rPr>
        <w:t>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7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7. The underwriters of the Company’s stock are intended third party beneficiaries of this Section 7 and will have the right, power and authority to enforce the provisions hereof as though they were a party hereto.</w:t>
      </w:r>
    </w:p>
    <w:p>
      <w:pPr>
        <w:spacing w:after="0" w:line="166" w:lineRule="exact"/>
        <w:rPr>
          <w:rFonts w:ascii="Arial" w:cs="Arial" w:eastAsia="Arial" w:hAnsi="Arial"/>
          <w:sz w:val="16"/>
          <w:szCs w:val="16"/>
          <w:b w:val="1"/>
          <w:bCs w:val="1"/>
          <w:color w:val="auto"/>
        </w:rPr>
      </w:pPr>
    </w:p>
    <w:p>
      <w:pPr>
        <w:ind w:right="140" w:firstLine="435"/>
        <w:spacing w:after="0" w:line="274" w:lineRule="auto"/>
        <w:tabs>
          <w:tab w:leader="none" w:pos="746"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the Plan, your RSU Award is not transferable, except by will or by the applicable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descent and distribution.</w:t>
      </w:r>
    </w:p>
    <w:p>
      <w:pPr>
        <w:spacing w:after="0" w:line="167" w:lineRule="exact"/>
        <w:rPr>
          <w:rFonts w:ascii="Arial" w:cs="Arial" w:eastAsia="Arial" w:hAnsi="Arial"/>
          <w:sz w:val="18"/>
          <w:szCs w:val="18"/>
          <w:b w:val="1"/>
          <w:bCs w:val="1"/>
          <w:color w:val="auto"/>
        </w:rPr>
      </w:pPr>
    </w:p>
    <w:p>
      <w:pPr>
        <w:ind w:right="300" w:firstLine="435"/>
        <w:spacing w:after="0" w:line="261" w:lineRule="auto"/>
        <w:tabs>
          <w:tab w:leader="none" w:pos="746"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RSU Award is subject to the terms of any agreement governing a Corporate Transaction involving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500" w:top="272" w:right="519" w:bottom="1440" w:gutter="0" w:footer="0" w:header="0"/>
        </w:sectPr>
      </w:pPr>
    </w:p>
    <w:bookmarkStart w:id="60" w:name="page61"/>
    <w:bookmarkEnd w:id="60"/>
    <w:p>
      <w:pPr>
        <w:ind w:right="40" w:firstLine="435"/>
        <w:spacing w:after="0" w:line="289" w:lineRule="auto"/>
        <w:tabs>
          <w:tab w:leader="none" w:pos="835" w:val="left"/>
        </w:tabs>
        <w:numPr>
          <w:ilvl w:val="1"/>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w:t>
      </w:r>
      <w:r>
        <w:rPr>
          <w:rFonts w:ascii="Arial" w:cs="Arial" w:eastAsia="Arial" w:hAnsi="Arial"/>
          <w:sz w:val="12"/>
          <w:szCs w:val="12"/>
          <w:b w:val="1"/>
          <w:bCs w:val="1"/>
          <w:color w:val="auto"/>
        </w:rPr>
        <w:t>O</w:t>
      </w:r>
      <w:r>
        <w:rPr>
          <w:rFonts w:ascii="Arial" w:cs="Arial" w:eastAsia="Arial" w:hAnsi="Arial"/>
          <w:sz w:val="16"/>
          <w:szCs w:val="16"/>
          <w:b w:val="1"/>
          <w:bCs w:val="1"/>
          <w:color w:val="auto"/>
        </w:rPr>
        <w:t xml:space="preserve"> L</w:t>
      </w:r>
      <w:r>
        <w:rPr>
          <w:rFonts w:ascii="Arial" w:cs="Arial" w:eastAsia="Arial" w:hAnsi="Arial"/>
          <w:sz w:val="12"/>
          <w:szCs w:val="12"/>
          <w:b w:val="1"/>
          <w:bCs w:val="1"/>
          <w:color w:val="auto"/>
        </w:rPr>
        <w:t>IABILITY FOR</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AXES</w:t>
      </w:r>
      <w:r>
        <w:rPr>
          <w:rFonts w:ascii="Arial" w:cs="Arial" w:eastAsia="Arial" w:hAnsi="Arial"/>
          <w:sz w:val="16"/>
          <w:szCs w:val="16"/>
          <w:color w:val="auto"/>
        </w:rPr>
        <w:t>. As a condition to accepting the RSU Award, you hereby (a) agree to not make any claim against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of its Officers, Directors, Employees or Affiliates related to tax liabilities arising from the RSU Award or other Company compensation and</w:t>
      </w:r>
    </w:p>
    <w:p>
      <w:pPr>
        <w:ind w:right="140"/>
        <w:spacing w:after="0" w:line="255" w:lineRule="auto"/>
        <w:tabs>
          <w:tab w:leader="none" w:pos="2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acknowledge that you were advised to consult with your own personal tax, financial and other legal advisors regarding the tax consequences of the RSU Award and have either done so or knowingly and voluntarily declined to do so.</w:t>
      </w:r>
    </w:p>
    <w:p>
      <w:pPr>
        <w:spacing w:after="0" w:line="183" w:lineRule="exact"/>
        <w:rPr>
          <w:rFonts w:ascii="Arial" w:cs="Arial" w:eastAsia="Arial" w:hAnsi="Arial"/>
          <w:sz w:val="18"/>
          <w:szCs w:val="18"/>
          <w:color w:val="auto"/>
        </w:rPr>
      </w:pPr>
    </w:p>
    <w:p>
      <w:pPr>
        <w:ind w:firstLine="435"/>
        <w:spacing w:after="0" w:line="256" w:lineRule="auto"/>
        <w:tabs>
          <w:tab w:leader="none" w:pos="825"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color w:val="auto"/>
        </w:rPr>
        <w:t>. If any part of this Agreement or the Plan is declared by any court or governmental authority to be unlawful or invalid, such</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4" w:lineRule="exact"/>
        <w:rPr>
          <w:rFonts w:ascii="Arial" w:cs="Arial" w:eastAsia="Arial" w:hAnsi="Arial"/>
          <w:sz w:val="18"/>
          <w:szCs w:val="18"/>
          <w:b w:val="1"/>
          <w:bCs w:val="1"/>
          <w:color w:val="auto"/>
        </w:rPr>
      </w:pPr>
    </w:p>
    <w:p>
      <w:pPr>
        <w:ind w:right="40" w:firstLine="435"/>
        <w:spacing w:after="0" w:line="339" w:lineRule="auto"/>
        <w:tabs>
          <w:tab w:leader="none" w:pos="835" w:val="left"/>
        </w:tabs>
        <w:numPr>
          <w:ilvl w:val="1"/>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You hereby acknowledge receipt of or the right to receive a document providing the information required by Rule</w:t>
      </w:r>
      <w:r>
        <w:rPr>
          <w:rFonts w:ascii="Arial" w:cs="Arial" w:eastAsia="Arial" w:hAnsi="Arial"/>
          <w:sz w:val="16"/>
          <w:szCs w:val="16"/>
          <w:b w:val="1"/>
          <w:bCs w:val="1"/>
          <w:color w:val="auto"/>
        </w:rPr>
        <w:t xml:space="preserve"> </w:t>
      </w:r>
      <w:r>
        <w:rPr>
          <w:rFonts w:ascii="Arial" w:cs="Arial" w:eastAsia="Arial" w:hAnsi="Arial"/>
          <w:sz w:val="16"/>
          <w:szCs w:val="16"/>
          <w:color w:val="auto"/>
        </w:rPr>
        <w:t>428(b)(1) promulgated under the Securities Act, which includes the Prospectus. In addition, you acknowledge receipt of the Company’s Trading Policy.</w:t>
      </w:r>
    </w:p>
    <w:p>
      <w:pPr>
        <w:spacing w:after="0" w:line="120" w:lineRule="exact"/>
        <w:rPr>
          <w:rFonts w:ascii="Arial" w:cs="Arial" w:eastAsia="Arial" w:hAnsi="Arial"/>
          <w:sz w:val="16"/>
          <w:szCs w:val="16"/>
          <w:b w:val="1"/>
          <w:bCs w:val="1"/>
          <w:color w:val="auto"/>
        </w:rPr>
      </w:pPr>
    </w:p>
    <w:p>
      <w:pPr>
        <w:ind w:right="120" w:firstLine="435"/>
        <w:spacing w:after="0" w:line="274" w:lineRule="auto"/>
        <w:tabs>
          <w:tab w:leader="none" w:pos="835"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4"/>
          <w:szCs w:val="14"/>
          <w:b w:val="1"/>
          <w:bCs w:val="1"/>
          <w:color w:val="auto"/>
        </w:rPr>
        <w:t>UESTIONS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have questions regarding these or any other terms and conditions applicable to your RSU Award, including a summary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applicable federal income tax consequences please see the Prospectus.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500" w:top="268" w:right="5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ND</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4"/>
          <w:szCs w:val="14"/>
          <w:b w:val="1"/>
          <w:bCs w:val="1"/>
          <w:color w:val="auto"/>
        </w:rPr>
        <w:t>ESTATED</w:t>
      </w:r>
      <w:r>
        <w:rPr>
          <w:rFonts w:ascii="Arial" w:cs="Arial" w:eastAsia="Arial" w:hAnsi="Arial"/>
          <w:sz w:val="18"/>
          <w:szCs w:val="18"/>
          <w:color w:val="auto"/>
        </w:rPr>
        <w:t xml:space="preserve"> </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effective as of, and contingent upon,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closing of the Company’s initial public offering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Xometry,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Randolph Altschuler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This Agreement amends, restates, and supersedes in its entirety any agreement between the Company and Executive that existed with</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regard to the employment terms detailed below.</w:t>
      </w:r>
    </w:p>
    <w:p>
      <w:pPr>
        <w:spacing w:after="0" w:line="207" w:lineRule="exact"/>
        <w:rPr>
          <w:sz w:val="20"/>
          <w:szCs w:val="20"/>
          <w:color w:val="auto"/>
        </w:rPr>
      </w:pPr>
    </w:p>
    <w:p>
      <w:pPr>
        <w:ind w:right="760" w:firstLine="435"/>
        <w:spacing w:after="0" w:line="300" w:lineRule="auto"/>
        <w:rPr>
          <w:sz w:val="20"/>
          <w:szCs w:val="20"/>
          <w:color w:val="auto"/>
        </w:rPr>
      </w:pPr>
      <w:r>
        <w:rPr>
          <w:rFonts w:ascii="Arial" w:cs="Arial" w:eastAsia="Arial" w:hAnsi="Arial"/>
          <w:sz w:val="17"/>
          <w:szCs w:val="17"/>
          <w:color w:val="auto"/>
        </w:rPr>
        <w:t>The Company desires to continue to employ Executive, in the capacity of full-time Chief Executive Officer pursuant to the terms of this Agreement and, in connection therewith, to compensate Executive for Executive’s personal services to the Company; and</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Executive wishes to continue to be employed by the Company and provide personal services to the Company in return for certain compensation.</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in consideration of the mutual promises and covenants contained herein, the parties agree to the following:</w:t>
      </w:r>
    </w:p>
    <w:p>
      <w:pPr>
        <w:spacing w:after="0" w:line="323" w:lineRule="exact"/>
        <w:rPr>
          <w:sz w:val="20"/>
          <w:szCs w:val="20"/>
          <w:color w:val="auto"/>
        </w:rPr>
      </w:pPr>
    </w:p>
    <w:p>
      <w:pPr>
        <w:ind w:left="800" w:hanging="365"/>
        <w:spacing w:after="0"/>
        <w:tabs>
          <w:tab w:leader="none" w:pos="8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MPLOYMENT BY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OMPANY</w:t>
      </w:r>
      <w:r>
        <w:rPr>
          <w:rFonts w:ascii="Arial" w:cs="Arial" w:eastAsia="Arial" w:hAnsi="Arial"/>
          <w:sz w:val="18"/>
          <w:szCs w:val="18"/>
          <w:b w:val="1"/>
          <w:bCs w:val="1"/>
          <w:color w:val="auto"/>
        </w:rPr>
        <w:t>.</w:t>
      </w:r>
    </w:p>
    <w:p>
      <w:pPr>
        <w:spacing w:after="0" w:line="113" w:lineRule="exact"/>
        <w:rPr>
          <w:sz w:val="20"/>
          <w:szCs w:val="20"/>
          <w:color w:val="auto"/>
        </w:rPr>
      </w:pPr>
    </w:p>
    <w:p>
      <w:pPr>
        <w:ind w:firstLine="980"/>
        <w:spacing w:after="0" w:line="25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Executive shall continue to be employed by the Company on an “at-will” basis, meaning either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Executive may terminate Executive’s employment at any time, with or without cause or advanced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compensation following a termination shall be only as set forth in Section 6.</w:t>
      </w:r>
    </w:p>
    <w:p>
      <w:pPr>
        <w:spacing w:after="0" w:line="190" w:lineRule="exact"/>
        <w:rPr>
          <w:sz w:val="20"/>
          <w:szCs w:val="20"/>
          <w:color w:val="auto"/>
        </w:rPr>
      </w:pPr>
    </w:p>
    <w:p>
      <w:pPr>
        <w:ind w:firstLine="980"/>
        <w:spacing w:after="0" w:line="283"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u w:val="single" w:color="auto"/>
          <w:color w:val="auto"/>
        </w:rPr>
        <w:t>Position</w:t>
      </w:r>
      <w:r>
        <w:rPr>
          <w:rFonts w:ascii="Arial" w:cs="Arial" w:eastAsia="Arial" w:hAnsi="Arial"/>
          <w:sz w:val="17"/>
          <w:szCs w:val="17"/>
          <w:color w:val="auto"/>
        </w:rPr>
        <w:t>. Subject to the terms set forth herein, the Company agrees to continue to employ Executive in the position of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and Executive hereby accepts such continued employment. During the term of Executive’s employment with the Company, Executive will devote Executive’s best efforts and substantially all of Executive’s business time and attention to the business of the Company.</w:t>
      </w:r>
    </w:p>
    <w:p>
      <w:pPr>
        <w:spacing w:after="0" w:line="162" w:lineRule="exact"/>
        <w:rPr>
          <w:sz w:val="20"/>
          <w:szCs w:val="20"/>
          <w:color w:val="auto"/>
        </w:rPr>
      </w:pPr>
    </w:p>
    <w:p>
      <w:pPr>
        <w:ind w:right="40" w:firstLine="980"/>
        <w:spacing w:after="0" w:line="254"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Duties</w:t>
      </w:r>
      <w:r>
        <w:rPr>
          <w:rFonts w:ascii="Arial" w:cs="Arial" w:eastAsia="Arial" w:hAnsi="Arial"/>
          <w:sz w:val="18"/>
          <w:szCs w:val="18"/>
          <w:color w:val="auto"/>
        </w:rPr>
        <w:t>. Executive will report to the Board of Directors performing such duties as are normally associated with Executive’s then-current position and such duties as are assigned to Executive from time to time, subject to the oversight and direction of the Board of Directors. Executive shall perform Executive’s duties under this Agreement principally out of the Company’s office in the Rockville, Maryland area or such other location as assigned. In addition, Executive shall make such business trips to such places as may be necessary or advisable for the efficient operations of the Company.</w:t>
      </w:r>
    </w:p>
    <w:p>
      <w:pPr>
        <w:spacing w:after="0" w:line="186" w:lineRule="exact"/>
        <w:rPr>
          <w:sz w:val="20"/>
          <w:szCs w:val="20"/>
          <w:color w:val="auto"/>
        </w:rPr>
      </w:pPr>
    </w:p>
    <w:p>
      <w:pPr>
        <w:ind w:right="800" w:firstLine="980"/>
        <w:spacing w:after="0" w:line="274"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Company Policies and Benefits</w:t>
      </w:r>
      <w:r>
        <w:rPr>
          <w:rFonts w:ascii="Arial" w:cs="Arial" w:eastAsia="Arial" w:hAnsi="Arial"/>
          <w:sz w:val="18"/>
          <w:szCs w:val="18"/>
          <w:color w:val="auto"/>
        </w:rPr>
        <w:t>. The employment relationship between the parties shall also continue to be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personnel policies and procedures</w:t>
      </w:r>
    </w:p>
    <w:p>
      <w:pPr>
        <w:sectPr>
          <w:pgSz w:w="11900" w:h="16838" w:orient="portrait"/>
          <w:cols w:equalWidth="0" w:num="1">
            <w:col w:w="10880"/>
          </w:cols>
          <w:pgMar w:left="500" w:top="121" w:right="519" w:bottom="1440" w:gutter="0" w:footer="0" w:header="0"/>
        </w:sectPr>
      </w:pPr>
    </w:p>
    <w:bookmarkStart w:id="62" w:name="page63"/>
    <w:bookmarkEnd w:id="62"/>
    <w:p>
      <w:pPr>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 they may be interpreted, adopted, revised or deleted from time to time in the Company’s sole discretion. Executive will be eligible to participate on the same basis as similarly-situated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264" w:lineRule="exact"/>
        <w:rPr>
          <w:sz w:val="20"/>
          <w:szCs w:val="20"/>
          <w:color w:val="auto"/>
        </w:rPr>
      </w:pPr>
    </w:p>
    <w:p>
      <w:pPr>
        <w:ind w:left="800" w:hanging="365"/>
        <w:spacing w:after="0"/>
        <w:tabs>
          <w:tab w:leader="none" w:pos="8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OMPENSATION</w:t>
      </w:r>
      <w:r>
        <w:rPr>
          <w:rFonts w:ascii="Arial" w:cs="Arial" w:eastAsia="Arial" w:hAnsi="Arial"/>
          <w:sz w:val="18"/>
          <w:szCs w:val="18"/>
          <w:color w:val="auto"/>
        </w:rPr>
        <w:t>.</w:t>
      </w:r>
    </w:p>
    <w:p>
      <w:pPr>
        <w:spacing w:after="0" w:line="113" w:lineRule="exact"/>
        <w:rPr>
          <w:sz w:val="20"/>
          <w:szCs w:val="20"/>
          <w:color w:val="auto"/>
        </w:rPr>
      </w:pPr>
    </w:p>
    <w:p>
      <w:pPr>
        <w:ind w:right="40" w:firstLine="980"/>
        <w:spacing w:after="0" w:line="308"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Salary</w:t>
      </w:r>
      <w:r>
        <w:rPr>
          <w:rFonts w:ascii="Arial" w:cs="Arial" w:eastAsia="Arial" w:hAnsi="Arial"/>
          <w:sz w:val="16"/>
          <w:szCs w:val="16"/>
          <w:color w:val="auto"/>
        </w:rPr>
        <w:t>. Commencing on July 1, 2021, Executive shall receive for Executive’s services to be rendered hereunder an initial annualized</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of $420,000, subject to review and adjustment from time to time by the Company in its sole discretion (“</w:t>
      </w: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The Base Salary is payable subject to standard federal and state payroll withholding requirements in accordance with the Company’s standard payroll practices.</w:t>
      </w:r>
    </w:p>
    <w:p>
      <w:pPr>
        <w:spacing w:after="0" w:line="146" w:lineRule="exact"/>
        <w:rPr>
          <w:sz w:val="20"/>
          <w:szCs w:val="20"/>
          <w:color w:val="auto"/>
        </w:rPr>
      </w:pPr>
    </w:p>
    <w:p>
      <w:pPr>
        <w:ind w:right="40" w:firstLine="980"/>
        <w:spacing w:after="0" w:line="265"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Annual Bonus</w:t>
      </w:r>
      <w:r>
        <w:rPr>
          <w:rFonts w:ascii="Arial" w:cs="Arial" w:eastAsia="Arial" w:hAnsi="Arial"/>
          <w:sz w:val="17"/>
          <w:szCs w:val="17"/>
          <w:color w:val="auto"/>
        </w:rPr>
        <w:t>. Commencing as of the Effective Date, Executive shall be eligible to receive an annual performance bonus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2.2 of up to 75% (the “</w:t>
      </w:r>
      <w:r>
        <w:rPr>
          <w:rFonts w:ascii="Arial" w:cs="Arial" w:eastAsia="Arial" w:hAnsi="Arial"/>
          <w:sz w:val="17"/>
          <w:szCs w:val="17"/>
          <w:b w:val="1"/>
          <w:bCs w:val="1"/>
          <w:i w:val="1"/>
          <w:iCs w:val="1"/>
          <w:color w:val="auto"/>
        </w:rPr>
        <w:t>Target Percentage</w:t>
      </w:r>
      <w:r>
        <w:rPr>
          <w:rFonts w:ascii="Arial" w:cs="Arial" w:eastAsia="Arial" w:hAnsi="Arial"/>
          <w:sz w:val="17"/>
          <w:szCs w:val="17"/>
          <w:color w:val="auto"/>
        </w:rPr>
        <w:t>”) of Executive’s then-current Base Salary (“</w:t>
      </w:r>
      <w:r>
        <w:rPr>
          <w:rFonts w:ascii="Arial" w:cs="Arial" w:eastAsia="Arial" w:hAnsi="Arial"/>
          <w:sz w:val="17"/>
          <w:szCs w:val="17"/>
          <w:b w:val="1"/>
          <w:bCs w:val="1"/>
          <w:i w:val="1"/>
          <w:iCs w:val="1"/>
          <w:color w:val="auto"/>
        </w:rPr>
        <w:t>Annual Bonus</w:t>
      </w:r>
      <w:r>
        <w:rPr>
          <w:rFonts w:ascii="Arial" w:cs="Arial" w:eastAsia="Arial" w:hAnsi="Arial"/>
          <w:sz w:val="17"/>
          <w:szCs w:val="17"/>
          <w:color w:val="auto"/>
        </w:rPr>
        <w:t>”). The Annual Bonus will be based upon the assessment of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(or a committee thereof) of Executive’s performance and the Company’s attainment of targeted goals over the applicable calendar year. The Annual Bonus, if any, will be subject to applicable payroll deductions and withholdings. Except as stated herein for the Annual Bonus attributable to 2021, the annual period over which performance is measured for purposes of the Annual Bonus is January 1 through December 31. Following the close of each calendar year, the Company will determine whether Executive has earned the Annual Bonus, and the amount of any Annual Bonus (which can be less than the Target Percentage), based on the set criteria. No amount of the Annual Bonus is guaranteed, and, except as otherwise stated in Sections 6.2, Executive must be an employee in good standing on the Annual Bonus payment date to be eligible to receive an Annual Bonus and no partial or prorated bonuses will be provided. Executive’s eligibility for an Annual Bonus is subject to change in the discretion of the Board (or any authorized committee thereof). Executive’s Annual Bonus, if any, attributable to 2021 under this Section 2.2 shall be prorated for number of days between the Effective Date and December 31, 2021. For the avoidance of doubt, Executive’s eligibility for any annual bonus for the portion of 2021 prior to the Effective Date remains subject to the terms in effect for such time period and is not affected by this Agreement.</w:t>
      </w:r>
    </w:p>
    <w:p>
      <w:pPr>
        <w:spacing w:after="0" w:line="183" w:lineRule="exact"/>
        <w:rPr>
          <w:sz w:val="20"/>
          <w:szCs w:val="20"/>
          <w:color w:val="auto"/>
        </w:rPr>
      </w:pPr>
    </w:p>
    <w:p>
      <w:pPr>
        <w:jc w:val="both"/>
        <w:ind w:right="80" w:firstLine="980"/>
        <w:spacing w:after="0" w:line="261"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Future Equity Awards</w:t>
      </w:r>
      <w:r>
        <w:rPr>
          <w:rFonts w:ascii="Arial" w:cs="Arial" w:eastAsia="Arial" w:hAnsi="Arial"/>
          <w:sz w:val="18"/>
          <w:szCs w:val="18"/>
          <w:color w:val="auto"/>
        </w:rPr>
        <w:t>. Executive remains eligible to be considered for future equity awards as may be determined by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a committee of the Board in its discretion in accordance with the terms of any applicable equity plan or arrangement that may be in effect from time to time.</w:t>
      </w:r>
    </w:p>
    <w:p>
      <w:pPr>
        <w:spacing w:after="0" w:line="179" w:lineRule="exact"/>
        <w:rPr>
          <w:sz w:val="20"/>
          <w:szCs w:val="20"/>
          <w:color w:val="auto"/>
        </w:rPr>
      </w:pPr>
    </w:p>
    <w:p>
      <w:pPr>
        <w:ind w:right="280" w:firstLine="980"/>
        <w:spacing w:after="0" w:line="339"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u w:val="single" w:color="auto"/>
          <w:color w:val="auto"/>
        </w:rPr>
        <w:t>Expense Reimbursement</w:t>
      </w:r>
      <w:r>
        <w:rPr>
          <w:rFonts w:ascii="Arial" w:cs="Arial" w:eastAsia="Arial" w:hAnsi="Arial"/>
          <w:sz w:val="16"/>
          <w:szCs w:val="16"/>
          <w:color w:val="auto"/>
        </w:rPr>
        <w:t>. The Company will reimburse Executive for all reasonable, documented business expenses incurred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Executive’s services hereunder, in accordance with the Company’s business expense reimbursement policies and</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500" w:top="272" w:right="519" w:bottom="1440" w:gutter="0" w:footer="0" w:header="0"/>
        </w:sectPr>
      </w:pPr>
    </w:p>
    <w:bookmarkStart w:id="63" w:name="page64"/>
    <w:bookmarkEnd w:id="63"/>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procedures as may be in effect from time to time. For the avoidance of doubt, to the extent that any reimbursements payable to Executive are subject to the provisions of Section 409A (as defined below): (i) any such reimbursements will be paid no later than December 31 of the year following the year in which the expense was incurred, (ii) the amount of expenses reimbursed in one year will not affect the amount eligible for reimbursement in any subsequent year, and (iii) the right to reimbursement under this Agreement will not be subject to liquidation or exchange for another benefit.</w:t>
      </w:r>
    </w:p>
    <w:p>
      <w:pPr>
        <w:spacing w:after="0" w:line="156" w:lineRule="exact"/>
        <w:rPr>
          <w:sz w:val="20"/>
          <w:szCs w:val="20"/>
          <w:color w:val="auto"/>
        </w:rPr>
      </w:pPr>
    </w:p>
    <w:p>
      <w:pPr>
        <w:ind w:left="740" w:hanging="305"/>
        <w:spacing w:after="0"/>
        <w:tabs>
          <w:tab w:leader="none" w:pos="7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ONFIDENTIAL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NFORMATION</w:t>
      </w:r>
      <w:r>
        <w:rPr>
          <w:rFonts w:ascii="Arial" w:cs="Arial" w:eastAsia="Arial" w:hAnsi="Arial"/>
          <w:sz w:val="18"/>
          <w:szCs w:val="18"/>
          <w:b w:val="1"/>
          <w:bCs w:val="1"/>
          <w:u w:val="single" w:color="auto"/>
          <w:color w:val="auto"/>
        </w:rPr>
        <w:t>, I</w:t>
      </w:r>
      <w:r>
        <w:rPr>
          <w:rFonts w:ascii="Arial" w:cs="Arial" w:eastAsia="Arial" w:hAnsi="Arial"/>
          <w:sz w:val="14"/>
          <w:szCs w:val="14"/>
          <w:b w:val="1"/>
          <w:bCs w:val="1"/>
          <w:u w:val="single" w:color="auto"/>
          <w:color w:val="auto"/>
        </w:rPr>
        <w:t>NVENTIONS</w:t>
      </w:r>
      <w:r>
        <w:rPr>
          <w:rFonts w:ascii="Arial" w:cs="Arial" w:eastAsia="Arial" w:hAnsi="Arial"/>
          <w:sz w:val="18"/>
          <w:szCs w:val="18"/>
          <w:b w:val="1"/>
          <w:bCs w:val="1"/>
          <w:u w:val="single" w:color="auto"/>
          <w:color w:val="auto"/>
        </w:rPr>
        <w:t>, 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OLICITATION</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4"/>
          <w:szCs w:val="14"/>
          <w:b w:val="1"/>
          <w:bCs w:val="1"/>
          <w:u w:val="single" w:color="auto"/>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OMPETITION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w:t>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Executive’s continued employment with the Company, Executive will continue to receive and continue to have access to the Company’s confidential information and trade secrets. Accordingly, and in consideration of the benefits that Executive is eligible to receive under this Agreement, Executive agrees to sign the Company’s Employee Confidential Information, Inventions, Non-Solicitation and Non-Competition Agreement (the “</w:t>
      </w:r>
      <w:r>
        <w:rPr>
          <w:rFonts w:ascii="Arial" w:cs="Arial" w:eastAsia="Arial" w:hAnsi="Arial"/>
          <w:sz w:val="18"/>
          <w:szCs w:val="18"/>
          <w:b w:val="1"/>
          <w:bCs w:val="1"/>
          <w:i w:val="1"/>
          <w:iCs w:val="1"/>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Information Agreement</w:t>
      </w:r>
      <w:r>
        <w:rPr>
          <w:rFonts w:ascii="Arial" w:cs="Arial" w:eastAsia="Arial" w:hAnsi="Arial"/>
          <w:sz w:val="18"/>
          <w:szCs w:val="18"/>
          <w:color w:val="auto"/>
        </w:rPr>
        <w:t>”) attached hereto as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The Confidential Information Agreement may be amended by the parties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regard to this Agreement. The Confidential Information Agreement contains provisions that are intended by the parties to survive and do survive termination or expiration of this Agreement.</w:t>
      </w:r>
    </w:p>
    <w:p>
      <w:pPr>
        <w:spacing w:after="0" w:line="189" w:lineRule="exact"/>
        <w:rPr>
          <w:sz w:val="20"/>
          <w:szCs w:val="20"/>
          <w:color w:val="auto"/>
        </w:rPr>
      </w:pPr>
    </w:p>
    <w:p>
      <w:pPr>
        <w:ind w:right="20" w:firstLine="435"/>
        <w:spacing w:after="0" w:line="269" w:lineRule="auto"/>
        <w:tabs>
          <w:tab w:leader="none" w:pos="746"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t>
      </w:r>
      <w:r>
        <w:rPr>
          <w:rFonts w:ascii="Arial" w:cs="Arial" w:eastAsia="Arial" w:hAnsi="Arial"/>
          <w:sz w:val="13"/>
          <w:szCs w:val="13"/>
          <w:b w:val="1"/>
          <w:bCs w:val="1"/>
          <w:u w:val="single" w:color="auto"/>
          <w:color w:val="auto"/>
        </w:rPr>
        <w:t>UTSIDE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3"/>
          <w:szCs w:val="13"/>
          <w:b w:val="1"/>
          <w:bCs w:val="1"/>
          <w:u w:val="single" w:color="auto"/>
          <w:color w:val="auto"/>
        </w:rPr>
        <w:t>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with the prior written consent of the Board, Executive will not, while employed by the Company, undertake or</w:t>
      </w:r>
      <w:r>
        <w:rPr>
          <w:rFonts w:ascii="Arial" w:cs="Arial" w:eastAsia="Arial" w:hAnsi="Arial"/>
          <w:sz w:val="17"/>
          <w:szCs w:val="17"/>
          <w:b w:val="1"/>
          <w:bCs w:val="1"/>
          <w:color w:val="auto"/>
        </w:rPr>
        <w:t xml:space="preserve"> </w:t>
      </w:r>
      <w:r>
        <w:rPr>
          <w:rFonts w:ascii="Arial" w:cs="Arial" w:eastAsia="Arial" w:hAnsi="Arial"/>
          <w:sz w:val="17"/>
          <w:szCs w:val="17"/>
          <w:color w:val="auto"/>
        </w:rPr>
        <w:t>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Executive’s participation in professional and academic activities; and (iv) such other activities as may be specifically approved by the Board. This restriction shall not, however, preclude Executive from managing personal investments or owning less than one percent (1%) of the total outstanding shares of a publicly-traded company.</w:t>
      </w:r>
    </w:p>
    <w:p>
      <w:pPr>
        <w:spacing w:after="0" w:line="174" w:lineRule="exact"/>
        <w:rPr>
          <w:rFonts w:ascii="Arial" w:cs="Arial" w:eastAsia="Arial" w:hAnsi="Arial"/>
          <w:sz w:val="17"/>
          <w:szCs w:val="17"/>
          <w:b w:val="1"/>
          <w:bCs w:val="1"/>
          <w:color w:val="auto"/>
        </w:rPr>
      </w:pPr>
    </w:p>
    <w:p>
      <w:pPr>
        <w:ind w:right="80" w:firstLine="435"/>
        <w:spacing w:after="0" w:line="254" w:lineRule="auto"/>
        <w:tabs>
          <w:tab w:leader="none" w:pos="746"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ONFLICT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XISTING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represents that Executive’s continued performance of all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5" w:lineRule="exact"/>
        <w:rPr>
          <w:rFonts w:ascii="Arial" w:cs="Arial" w:eastAsia="Arial" w:hAnsi="Arial"/>
          <w:sz w:val="18"/>
          <w:szCs w:val="18"/>
          <w:b w:val="1"/>
          <w:bCs w:val="1"/>
          <w:color w:val="auto"/>
        </w:rPr>
      </w:pPr>
    </w:p>
    <w:p>
      <w:pPr>
        <w:ind w:left="740" w:hanging="305"/>
        <w:spacing w:after="0"/>
        <w:tabs>
          <w:tab w:leader="none" w:pos="74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w:t>
      </w:r>
      <w:r>
        <w:rPr>
          <w:rFonts w:ascii="Arial" w:cs="Arial" w:eastAsia="Arial" w:hAnsi="Arial"/>
          <w:sz w:val="13"/>
          <w:szCs w:val="13"/>
          <w:b w:val="1"/>
          <w:bCs w:val="1"/>
          <w:u w:val="single" w:color="auto"/>
          <w:color w:val="auto"/>
        </w:rPr>
        <w:t>ERMINATION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w:t>
      </w:r>
      <w:r>
        <w:rPr>
          <w:rFonts w:ascii="Arial" w:cs="Arial" w:eastAsia="Arial" w:hAnsi="Arial"/>
          <w:sz w:val="13"/>
          <w:szCs w:val="13"/>
          <w:b w:val="1"/>
          <w:bCs w:val="1"/>
          <w:u w:val="single" w:color="auto"/>
          <w:color w:val="auto"/>
        </w:rPr>
        <w:t>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w:t>
      </w:r>
      <w:r>
        <w:rPr>
          <w:rFonts w:ascii="Arial" w:cs="Arial" w:eastAsia="Arial" w:hAnsi="Arial"/>
          <w:sz w:val="13"/>
          <w:szCs w:val="13"/>
          <w:b w:val="1"/>
          <w:bCs w:val="1"/>
          <w:u w:val="single" w:color="auto"/>
          <w:color w:val="auto"/>
        </w:rPr>
        <w:t>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acknowledge that Executive’s employment relationship with the Company continues to be</w:t>
      </w:r>
    </w:p>
    <w:p>
      <w:pPr>
        <w:spacing w:after="0" w:line="35"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at-will. Either Executive or the Company may terminate the employment relationship at any time, with or without Cause. The provisions in this Section govern the amount of compensation, if any, to be provided to Executive upon termination of employment and do not alter this at-will status.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500" w:top="272" w:right="519" w:bottom="1440" w:gutter="0" w:footer="0" w:header="0"/>
        </w:sectPr>
      </w:pPr>
    </w:p>
    <w:bookmarkStart w:id="64" w:name="page65"/>
    <w:bookmarkEnd w:id="64"/>
    <w:p>
      <w:pPr>
        <w:ind w:right="600" w:firstLine="980"/>
        <w:spacing w:after="0" w:line="27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6.1 </w:t>
      </w:r>
      <w:r>
        <w:rPr>
          <w:rFonts w:ascii="Arial" w:cs="Arial" w:eastAsia="Arial" w:hAnsi="Arial"/>
          <w:sz w:val="18"/>
          <w:szCs w:val="18"/>
          <w:b w:val="1"/>
          <w:bCs w:val="1"/>
          <w:u w:val="single" w:color="auto"/>
          <w:color w:val="auto"/>
        </w:rPr>
        <w:t>Termination by the Company Without Cause or Resignation by Executive for Good Reason (not in Connection with 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w:t>
      </w:r>
    </w:p>
    <w:p>
      <w:pPr>
        <w:spacing w:after="0" w:line="172" w:lineRule="exact"/>
        <w:rPr>
          <w:sz w:val="20"/>
          <w:szCs w:val="20"/>
          <w:color w:val="auto"/>
        </w:rPr>
      </w:pPr>
    </w:p>
    <w:p>
      <w:pPr>
        <w:ind w:firstLine="1416"/>
        <w:spacing w:after="0" w:line="274" w:lineRule="auto"/>
        <w:tabs>
          <w:tab w:leader="none" w:pos="1797"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The Company shall have the right to terminate Executive’s employment with the Company pursuant to this Section 6.1 at any time without “Cause” (as defined in Section 6.3(a) below) by giving notice as described in Section 6.7 of this Agreement. A termination pursuant to Section 6.5 or 6.6 below is not a termination without “Cause” for purposes of receiving the Non-CIC Severance Benefits described in (and as defined in) this Section 6.1 or the CIC Severance Benefits described in (and as defined in) Section 6.2.</w:t>
      </w:r>
    </w:p>
    <w:p>
      <w:pPr>
        <w:spacing w:after="0" w:line="174" w:lineRule="exact"/>
        <w:rPr>
          <w:rFonts w:ascii="Arial" w:cs="Arial" w:eastAsia="Arial" w:hAnsi="Arial"/>
          <w:sz w:val="17"/>
          <w:szCs w:val="17"/>
          <w:b w:val="1"/>
          <w:bCs w:val="1"/>
          <w:color w:val="auto"/>
        </w:rPr>
      </w:pPr>
    </w:p>
    <w:p>
      <w:pPr>
        <w:ind w:right="40" w:firstLine="1416"/>
        <w:spacing w:after="0" w:line="268" w:lineRule="auto"/>
        <w:tabs>
          <w:tab w:leader="none" w:pos="1810"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If the Company terminates Executive’s employment at any time without Cause or Executive terminates Executive’s employment with the Company for “Good Reason” (as defined in Section 6.1(g) below), in either case, at any time except during the Change in Control Measurement Period (both “Change in Control” and “Change in Control Measurement Period” as defined in Section 6.2 below), then Executive shall be entitled to receive the Accrued Obligations (defined in 6.1(d) below). If such termination without Cause or for Good Reason not occurring during the Change in Control Measurement Period constitutes a “separation from service” (as defined under Treasury Regulation Section 1.409A-1(h), without regard to any alternative definition thereunder, a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Executive complies with the obligations in Section 6.1(c) below, Executive shall also be eligible to receive the following “</w:t>
      </w:r>
      <w:r>
        <w:rPr>
          <w:rFonts w:ascii="Arial" w:cs="Arial" w:eastAsia="Arial" w:hAnsi="Arial"/>
          <w:sz w:val="17"/>
          <w:szCs w:val="17"/>
          <w:b w:val="1"/>
          <w:bCs w:val="1"/>
          <w:i w:val="1"/>
          <w:iCs w:val="1"/>
          <w:color w:val="auto"/>
        </w:rPr>
        <w:t>Non-CIC Severance Benefits</w:t>
      </w:r>
      <w:r>
        <w:rPr>
          <w:rFonts w:ascii="Arial" w:cs="Arial" w:eastAsia="Arial" w:hAnsi="Arial"/>
          <w:sz w:val="17"/>
          <w:szCs w:val="17"/>
          <w:color w:val="auto"/>
        </w:rPr>
        <w:t>:”</w:t>
      </w:r>
    </w:p>
    <w:p>
      <w:pPr>
        <w:spacing w:after="0" w:line="179" w:lineRule="exact"/>
        <w:rPr>
          <w:rFonts w:ascii="Arial" w:cs="Arial" w:eastAsia="Arial" w:hAnsi="Arial"/>
          <w:sz w:val="17"/>
          <w:szCs w:val="17"/>
          <w:b w:val="1"/>
          <w:bCs w:val="1"/>
          <w:color w:val="auto"/>
        </w:rPr>
      </w:pPr>
    </w:p>
    <w:p>
      <w:pPr>
        <w:ind w:firstLine="1960"/>
        <w:spacing w:after="0" w:line="292" w:lineRule="auto"/>
        <w:tabs>
          <w:tab w:leader="none" w:pos="2302"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Company will pay Executive severance pay in the form of continuation of Executive’s then-current Base Salary for twelve (12) months (the “</w:t>
      </w:r>
      <w:r>
        <w:rPr>
          <w:rFonts w:ascii="Arial" w:cs="Arial" w:eastAsia="Arial" w:hAnsi="Arial"/>
          <w:sz w:val="16"/>
          <w:szCs w:val="16"/>
          <w:b w:val="1"/>
          <w:bCs w:val="1"/>
          <w:i w:val="1"/>
          <w:iCs w:val="1"/>
          <w:color w:val="auto"/>
        </w:rPr>
        <w:t>Non-CIC Severance</w:t>
      </w:r>
      <w:r>
        <w:rPr>
          <w:rFonts w:ascii="Arial" w:cs="Arial" w:eastAsia="Arial" w:hAnsi="Arial"/>
          <w:sz w:val="16"/>
          <w:szCs w:val="16"/>
          <w:color w:val="auto"/>
        </w:rPr>
        <w:t xml:space="preserve">”). The Non-CIC Severance will be paid in substantially equal installments on the Company’s regular payroll schedule following the termination date, subject to standard deductions and withholdings;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portion of the Non-CIC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w:t>
      </w:r>
    </w:p>
    <w:p>
      <w:pPr>
        <w:spacing w:after="0" w:line="161" w:lineRule="exact"/>
        <w:rPr>
          <w:rFonts w:ascii="Arial" w:cs="Arial" w:eastAsia="Arial" w:hAnsi="Arial"/>
          <w:sz w:val="16"/>
          <w:szCs w:val="16"/>
          <w:color w:val="auto"/>
        </w:rPr>
      </w:pPr>
    </w:p>
    <w:p>
      <w:pPr>
        <w:ind w:right="20" w:firstLine="1960"/>
        <w:spacing w:after="0" w:line="284" w:lineRule="auto"/>
        <w:tabs>
          <w:tab w:leader="none" w:pos="2355" w:val="left"/>
        </w:tabs>
        <w:numPr>
          <w:ilvl w:val="1"/>
          <w:numId w:val="79"/>
        </w:numPr>
        <w:rPr>
          <w:rFonts w:ascii="Arial" w:cs="Arial" w:eastAsia="Arial" w:hAnsi="Arial"/>
          <w:sz w:val="16"/>
          <w:szCs w:val="16"/>
          <w:color w:val="auto"/>
        </w:rPr>
      </w:pPr>
      <w:r>
        <w:rPr>
          <w:rFonts w:ascii="Arial" w:cs="Arial" w:eastAsia="Arial" w:hAnsi="Arial"/>
          <w:sz w:val="16"/>
          <w:szCs w:val="16"/>
          <w:color w:val="auto"/>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twelve (12)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Arial" w:cs="Arial" w:eastAsia="Arial" w:hAnsi="Arial"/>
          <w:sz w:val="16"/>
          <w:szCs w:val="16"/>
          <w:b w:val="1"/>
          <w:bCs w:val="1"/>
          <w:i w:val="1"/>
          <w:iCs w:val="1"/>
          <w:color w:val="auto"/>
        </w:rPr>
        <w:t>Non-CIC COBRA Payment Period</w:t>
      </w:r>
      <w:r>
        <w:rPr>
          <w:rFonts w:ascii="Arial" w:cs="Arial" w:eastAsia="Arial" w:hAnsi="Arial"/>
          <w:sz w:val="16"/>
          <w:szCs w:val="16"/>
          <w:color w:val="auto"/>
        </w:rPr>
        <w:t>”)). Notwithstanding the foregoing, if at any time the Company determines that its payment of COBRA, or state continuation coverage, premiums on Executive’s behalf would result in a violation of applicable law (including, but not limited to, the 2010 Patient Protection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500" w:top="268" w:right="519" w:bottom="1440" w:gutter="0" w:footer="0" w:header="0"/>
        </w:sectPr>
      </w:pPr>
    </w:p>
    <w:bookmarkStart w:id="65" w:name="page66"/>
    <w:bookmarkEnd w:id="65"/>
    <w:p>
      <w:pPr>
        <w:ind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and Affordable Care Act, as amended by the 2010 Health Care and Education Reconciliation Act), then in lieu of paying such premiums pursuant to this Section, the Company shall pay Executive on the last day of each remaining month of the Non-CIC COBRA Payment Period, a fully taxable cash payment equal to the COBRA or state continuation coverage premium for such month, subject to applicable tax withholding, for the remainder of the Non-CIC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 and</w:t>
      </w:r>
    </w:p>
    <w:p>
      <w:pPr>
        <w:spacing w:after="0" w:line="190" w:lineRule="exact"/>
        <w:rPr>
          <w:sz w:val="20"/>
          <w:szCs w:val="20"/>
          <w:color w:val="auto"/>
        </w:rPr>
      </w:pPr>
    </w:p>
    <w:p>
      <w:pPr>
        <w:ind w:right="220" w:firstLine="1960"/>
        <w:spacing w:after="0" w:line="253" w:lineRule="auto"/>
        <w:tabs>
          <w:tab w:leader="none" w:pos="2401"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Company will pay Executive an amount equal to the Annual Bonus under Section 2.2 for the calendar year in which Executive’s termination occurs, prorated for the actual time worked in that calendar year through the Executive’s date of Separation of Service,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w:t>
      </w:r>
    </w:p>
    <w:p>
      <w:pPr>
        <w:spacing w:after="0" w:line="189" w:lineRule="exact"/>
        <w:rPr>
          <w:rFonts w:ascii="Arial" w:cs="Arial" w:eastAsia="Arial" w:hAnsi="Arial"/>
          <w:sz w:val="18"/>
          <w:szCs w:val="18"/>
          <w:color w:val="auto"/>
        </w:rPr>
      </w:pPr>
    </w:p>
    <w:p>
      <w:pPr>
        <w:ind w:firstLine="1416"/>
        <w:spacing w:after="0" w:line="280" w:lineRule="auto"/>
        <w:tabs>
          <w:tab w:leader="none" w:pos="1790" w:val="left"/>
        </w:tabs>
        <w:numPr>
          <w:ilvl w:val="1"/>
          <w:numId w:val="81"/>
        </w:numPr>
        <w:rPr>
          <w:rFonts w:ascii="Arial" w:cs="Arial" w:eastAsia="Arial" w:hAnsi="Arial"/>
          <w:sz w:val="16"/>
          <w:szCs w:val="16"/>
          <w:b w:val="1"/>
          <w:bCs w:val="1"/>
          <w:color w:val="auto"/>
        </w:rPr>
      </w:pPr>
      <w:r>
        <w:rPr>
          <w:rFonts w:ascii="Arial" w:cs="Arial" w:eastAsia="Arial" w:hAnsi="Arial"/>
          <w:sz w:val="16"/>
          <w:szCs w:val="16"/>
          <w:color w:val="auto"/>
        </w:rPr>
        <w:t>Executive will be paid all of the Accrued Obligations on the Company’s first administratively feasible payroll date after Executive’s date of termination from employment or earlier if required by law. Executive shall receive the Non-CIC Severance Benefits pursuant to Section 6.1(b) or the CIC Severance Benefits pursuant to Section 6.2(a) of this Agreement if: (i) by the sixtieth (60th) day following the date of Executive’s Separation from Service, Executive has signed and delivered to the Company a separation agreement containing an effective, general release of claims in favor of the Company and its affiliates and representatives, in the form presented by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which cannot be revoked in whole or part by such date (the date that the Release can no longer be revoked is referred to as the “</w:t>
      </w:r>
      <w:r>
        <w:rPr>
          <w:rFonts w:ascii="Arial" w:cs="Arial" w:eastAsia="Arial" w:hAnsi="Arial"/>
          <w:sz w:val="16"/>
          <w:szCs w:val="16"/>
          <w:b w:val="1"/>
          <w:bCs w:val="1"/>
          <w:i w:val="1"/>
          <w:iCs w:val="1"/>
          <w:color w:val="auto"/>
        </w:rPr>
        <w:t>Release Effective Date</w:t>
      </w:r>
      <w:r>
        <w:rPr>
          <w:rFonts w:ascii="Arial" w:cs="Arial" w:eastAsia="Arial" w:hAnsi="Arial"/>
          <w:sz w:val="16"/>
          <w:szCs w:val="16"/>
          <w:color w:val="auto"/>
        </w:rPr>
        <w:t>”); and (ii) if Executive holds any other positions with the Company or any Affiliate, including a position on the Board, Executive resigns such position(s) to be effective no later than the date of Executive’s termination date (or such other date as requested by the Board); (iii) Executive returns all Company property;</w:t>
      </w:r>
    </w:p>
    <w:p>
      <w:pPr>
        <w:spacing w:after="0" w:line="3" w:lineRule="exact"/>
        <w:rPr>
          <w:rFonts w:ascii="Arial" w:cs="Arial" w:eastAsia="Arial" w:hAnsi="Arial"/>
          <w:sz w:val="16"/>
          <w:szCs w:val="16"/>
          <w:b w:val="1"/>
          <w:bCs w:val="1"/>
          <w:color w:val="auto"/>
        </w:rPr>
      </w:pPr>
    </w:p>
    <w:p>
      <w:pPr>
        <w:jc w:val="both"/>
        <w:ind w:right="340"/>
        <w:spacing w:after="0" w:line="316" w:lineRule="auto"/>
        <w:tabs>
          <w:tab w:leader="none" w:pos="301"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Executive complies with all post-termination obligations under this Agreement and the Confidential Information Agreement; and (v) Executive complies with the terms of the Release, including without limitation any non-disparagement and confidentiality provisions contained in the Release.</w:t>
      </w:r>
    </w:p>
    <w:p>
      <w:pPr>
        <w:spacing w:after="0" w:line="142" w:lineRule="exact"/>
        <w:rPr>
          <w:rFonts w:ascii="Arial" w:cs="Arial" w:eastAsia="Arial" w:hAnsi="Arial"/>
          <w:sz w:val="16"/>
          <w:szCs w:val="16"/>
          <w:color w:val="auto"/>
        </w:rPr>
      </w:pPr>
    </w:p>
    <w:p>
      <w:pPr>
        <w:ind w:firstLine="1416"/>
        <w:spacing w:after="0" w:line="255" w:lineRule="auto"/>
        <w:tabs>
          <w:tab w:leader="none" w:pos="1810"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Accrued Obligations</w:t>
      </w:r>
      <w:r>
        <w:rPr>
          <w:rFonts w:ascii="Arial" w:cs="Arial" w:eastAsia="Arial" w:hAnsi="Arial"/>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87" w:lineRule="exact"/>
        <w:rPr>
          <w:rFonts w:ascii="Arial" w:cs="Arial" w:eastAsia="Arial" w:hAnsi="Arial"/>
          <w:sz w:val="18"/>
          <w:szCs w:val="18"/>
          <w:b w:val="1"/>
          <w:bCs w:val="1"/>
          <w:color w:val="auto"/>
        </w:rPr>
      </w:pPr>
    </w:p>
    <w:p>
      <w:pPr>
        <w:ind w:right="140" w:firstLine="1416"/>
        <w:spacing w:after="0" w:line="306" w:lineRule="auto"/>
        <w:tabs>
          <w:tab w:leader="none" w:pos="1787" w:val="left"/>
        </w:tabs>
        <w:numPr>
          <w:ilvl w:val="1"/>
          <w:numId w:val="82"/>
        </w:numPr>
        <w:rPr>
          <w:rFonts w:ascii="Arial" w:cs="Arial" w:eastAsia="Arial" w:hAnsi="Arial"/>
          <w:sz w:val="16"/>
          <w:szCs w:val="16"/>
          <w:b w:val="1"/>
          <w:bCs w:val="1"/>
          <w:color w:val="auto"/>
        </w:rPr>
      </w:pPr>
      <w:r>
        <w:rPr>
          <w:rFonts w:ascii="Arial" w:cs="Arial" w:eastAsia="Arial" w:hAnsi="Arial"/>
          <w:sz w:val="16"/>
          <w:szCs w:val="16"/>
          <w:color w:val="auto"/>
        </w:rPr>
        <w:t>The Non-CIC Severance Benefits provided to Executive pursuant to this Section 6.1 are in lieu of, and not in addition to, any benefits to which Executive may otherwise be entitled under any Company severance plan, policy, program, or prior agreement with the Company. For avoidance of doubt, Executive shall not be eligible for both the CIC Severance Benefits and the Non-CIC Severance Benefits.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00" w:top="272" w:right="519" w:bottom="1440" w:gutter="0" w:footer="0" w:header="0"/>
        </w:sectPr>
      </w:pPr>
    </w:p>
    <w:bookmarkStart w:id="66" w:name="page67"/>
    <w:bookmarkEnd w:id="66"/>
    <w:p>
      <w:pPr>
        <w:jc w:val="both"/>
        <w:ind w:right="60" w:firstLine="1416"/>
        <w:spacing w:after="0" w:line="281" w:lineRule="auto"/>
        <w:tabs>
          <w:tab w:leader="none" w:pos="1761" w:val="left"/>
        </w:tabs>
        <w:numPr>
          <w:ilvl w:val="1"/>
          <w:numId w:val="8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damages caused by the termination of Executive’s employment without Cause not in connection with a Change in Control would be difficult to ascertain; therefore, the Non-CIC Severance Benefits for which Executive is eligible pursuant to Section 6.1(b) above in exchange for the Release is agreed to by the parties as liquidated damages, to serve as full compensation, and not a penalty.</w:t>
      </w:r>
    </w:p>
    <w:p>
      <w:pPr>
        <w:spacing w:after="0" w:line="167" w:lineRule="exact"/>
        <w:rPr>
          <w:rFonts w:ascii="Arial" w:cs="Arial" w:eastAsia="Arial" w:hAnsi="Arial"/>
          <w:sz w:val="17"/>
          <w:szCs w:val="17"/>
          <w:b w:val="1"/>
          <w:bCs w:val="1"/>
          <w:color w:val="auto"/>
        </w:rPr>
      </w:pPr>
    </w:p>
    <w:p>
      <w:pPr>
        <w:ind w:firstLine="1416"/>
        <w:spacing w:after="0" w:line="280" w:lineRule="auto"/>
        <w:tabs>
          <w:tab w:leader="none" w:pos="1800" w:val="left"/>
        </w:tabs>
        <w:numPr>
          <w:ilvl w:val="1"/>
          <w:numId w:val="83"/>
        </w:numPr>
        <w:rPr>
          <w:rFonts w:ascii="Arial" w:cs="Arial" w:eastAsia="Arial" w:hAnsi="Arial"/>
          <w:sz w:val="16"/>
          <w:szCs w:val="16"/>
          <w:b w:val="1"/>
          <w:bCs w:val="1"/>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xml:space="preserve">” shall mean the occurrence of any of the following events without Executive’s consent: (i) a material reduction in Executive’s Base Salary of at least 10%; (ii) a material reduction in Executive’s duties, authority and responsibilities relative to Executive’s duties, authority, and responsibilities in effect immediately prior to such reduction,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conversion of the Company to a subsidiary, division or unit of an acquiring entity in connection with a change in control, nor a change in title or Executive’s reporting relationships will be deemed a “material reduction” in and of itself; or (iii) the relocation of Executive’s principal place of employment, without Executive’s consent, in a manner that lengthens Executive’s one-way commute distance by fifty (50) or more miles from Executive’s then-current principal place of employment immediately prior to such relocation (disregarding, for this purpose, any required or permitted remote work due to the impact of COVID-19 or a similar occurrence);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termination by Executive shall only be deemed for Good Reason pursuant to this definition if: (1) Executive gives the Company written notice of Executive’s intent to terminate for Good Reason within thirty (30) days following the first occurrence of the condition(s) that Executive believes constitute(s) Good Reason, which notice shall describe such condition(s);</w:t>
      </w:r>
    </w:p>
    <w:p>
      <w:pPr>
        <w:spacing w:after="0" w:line="1" w:lineRule="exact"/>
        <w:rPr>
          <w:rFonts w:ascii="Arial" w:cs="Arial" w:eastAsia="Arial" w:hAnsi="Arial"/>
          <w:sz w:val="16"/>
          <w:szCs w:val="16"/>
          <w:b w:val="1"/>
          <w:bCs w:val="1"/>
          <w:color w:val="auto"/>
        </w:rPr>
      </w:pPr>
    </w:p>
    <w:p>
      <w:pPr>
        <w:ind w:right="40"/>
        <w:spacing w:after="0" w:line="273" w:lineRule="auto"/>
        <w:tabs>
          <w:tab w:leader="none" w:pos="252"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Company fails to remedy such condition(s) within thirty (30) days following receipt of the written notice (the “</w:t>
      </w:r>
      <w:r>
        <w:rPr>
          <w:rFonts w:ascii="Arial" w:cs="Arial" w:eastAsia="Arial" w:hAnsi="Arial"/>
          <w:sz w:val="17"/>
          <w:szCs w:val="17"/>
          <w:b w:val="1"/>
          <w:bCs w:val="1"/>
          <w:i w:val="1"/>
          <w:iCs w:val="1"/>
          <w:color w:val="auto"/>
        </w:rPr>
        <w:t>Cure Period</w:t>
      </w:r>
      <w:r>
        <w:rPr>
          <w:rFonts w:ascii="Arial" w:cs="Arial" w:eastAsia="Arial" w:hAnsi="Arial"/>
          <w:sz w:val="17"/>
          <w:szCs w:val="17"/>
          <w:color w:val="auto"/>
        </w:rPr>
        <w:t>”); (3) the Company has not, prior to receiving such notice from Executive, already informed Executive that Executive’s employment with the Company is being terminated; and (4) Executive voluntarily terminates Executive’s employment within thirty (30) days following the end of the Cure Period.</w:t>
      </w:r>
    </w:p>
    <w:p>
      <w:pPr>
        <w:spacing w:after="0" w:line="277"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Termination by the Company without Cause or Resignation by Executive for Good Reason (in connection with a Change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w:t>
      </w:r>
    </w:p>
    <w:p>
      <w:pPr>
        <w:spacing w:after="0" w:line="100" w:lineRule="exact"/>
        <w:rPr>
          <w:sz w:val="20"/>
          <w:szCs w:val="20"/>
          <w:color w:val="auto"/>
        </w:rPr>
      </w:pPr>
    </w:p>
    <w:p>
      <w:pPr>
        <w:ind w:right="160" w:firstLine="1416"/>
        <w:spacing w:after="0" w:line="292" w:lineRule="auto"/>
        <w:tabs>
          <w:tab w:leader="none" w:pos="1800"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In the event that Executive’s employment is terminated without Cause or Executive resigns for Good Reason, in either case, within three (3) months preceding and twelve (12) months following the effective date of a Change in Control (the “</w:t>
      </w:r>
      <w:r>
        <w:rPr>
          <w:rFonts w:ascii="Arial" w:cs="Arial" w:eastAsia="Arial" w:hAnsi="Arial"/>
          <w:sz w:val="16"/>
          <w:szCs w:val="16"/>
          <w:b w:val="1"/>
          <w:bCs w:val="1"/>
          <w:i w:val="1"/>
          <w:iCs w:val="1"/>
          <w:color w:val="auto"/>
        </w:rPr>
        <w:t>Change in Control Measurement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of the Company, then Executive shall be entitled to the Accrued Obligations and, subject to Executive’s full compliance with Section 6.1(c)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above, including but not limited to the Release requirement and Executive’s continued compliance with obligations to the Company under Executive’s Confidential Information Agreement, then Executive will be eligible for the following “</w:t>
      </w:r>
      <w:r>
        <w:rPr>
          <w:rFonts w:ascii="Arial" w:cs="Arial" w:eastAsia="Arial" w:hAnsi="Arial"/>
          <w:sz w:val="16"/>
          <w:szCs w:val="16"/>
          <w:b w:val="1"/>
          <w:bCs w:val="1"/>
          <w:i w:val="1"/>
          <w:iCs w:val="1"/>
          <w:color w:val="auto"/>
        </w:rPr>
        <w:t>CIC Severance Benefits</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ind w:right="40" w:firstLine="1960"/>
        <w:spacing w:after="0" w:line="270" w:lineRule="auto"/>
        <w:tabs>
          <w:tab w:leader="none" w:pos="230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Company will pay Executive severance pay in the form of continuation of Executive’s then-current Base Salary for twelve (12) months (the “</w:t>
      </w:r>
      <w:r>
        <w:rPr>
          <w:rFonts w:ascii="Arial" w:cs="Arial" w:eastAsia="Arial" w:hAnsi="Arial"/>
          <w:sz w:val="18"/>
          <w:szCs w:val="18"/>
          <w:b w:val="1"/>
          <w:bCs w:val="1"/>
          <w:i w:val="1"/>
          <w:iCs w:val="1"/>
          <w:color w:val="auto"/>
        </w:rPr>
        <w:t>CIC Severance</w:t>
      </w:r>
      <w:r>
        <w:rPr>
          <w:rFonts w:ascii="Arial" w:cs="Arial" w:eastAsia="Arial" w:hAnsi="Arial"/>
          <w:sz w:val="18"/>
          <w:szCs w:val="18"/>
          <w:color w:val="auto"/>
        </w:rPr>
        <w:t>”). The CIC Severance will be paid in substantially equal installments on the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500" w:top="272" w:right="539" w:bottom="1440" w:gutter="0" w:footer="0" w:header="0"/>
        </w:sectPr>
      </w:pPr>
    </w:p>
    <w:bookmarkStart w:id="67" w:name="page68"/>
    <w:bookmarkEnd w:id="67"/>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Company’s regular payroll schedule following the termination date, subject to standard deductions and withholdings;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portion of the 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w:t>
      </w:r>
    </w:p>
    <w:p>
      <w:pPr>
        <w:spacing w:after="0" w:line="150" w:lineRule="exact"/>
        <w:rPr>
          <w:sz w:val="20"/>
          <w:szCs w:val="20"/>
          <w:color w:val="auto"/>
        </w:rPr>
      </w:pPr>
    </w:p>
    <w:p>
      <w:pPr>
        <w:ind w:firstLine="1960"/>
        <w:spacing w:after="0" w:line="282" w:lineRule="auto"/>
        <w:tabs>
          <w:tab w:leader="none" w:pos="23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twelve (12)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Arial" w:cs="Arial" w:eastAsia="Arial" w:hAnsi="Arial"/>
          <w:sz w:val="16"/>
          <w:szCs w:val="16"/>
          <w:b w:val="1"/>
          <w:bCs w:val="1"/>
          <w:i w:val="1"/>
          <w:iCs w:val="1"/>
          <w:color w:val="auto"/>
        </w:rPr>
        <w:t>CIC COBRA Payment Period</w:t>
      </w:r>
      <w:r>
        <w:rPr>
          <w:rFonts w:ascii="Arial" w:cs="Arial" w:eastAsia="Arial" w:hAnsi="Arial"/>
          <w:sz w:val="16"/>
          <w:szCs w:val="16"/>
          <w:color w:val="auto"/>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w:t>
      </w:r>
    </w:p>
    <w:p>
      <w:pPr>
        <w:spacing w:after="0" w:line="172" w:lineRule="exact"/>
        <w:rPr>
          <w:rFonts w:ascii="Arial" w:cs="Arial" w:eastAsia="Arial" w:hAnsi="Arial"/>
          <w:sz w:val="16"/>
          <w:szCs w:val="16"/>
          <w:color w:val="auto"/>
        </w:rPr>
      </w:pPr>
    </w:p>
    <w:p>
      <w:pPr>
        <w:jc w:val="both"/>
        <w:ind w:right="200" w:firstLine="1960"/>
        <w:spacing w:after="0" w:line="258" w:lineRule="auto"/>
        <w:tabs>
          <w:tab w:leader="none" w:pos="240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will make a cash payment to Executive in an amount equal to one (1) times the Target Percentage for the year in which the termination occurs, subject to standard deductions and withholdings, which will be paid in a lump sum on the sixtieth (60th) day following Executive’s date of Separation from Service;</w:t>
      </w:r>
    </w:p>
    <w:p>
      <w:pPr>
        <w:spacing w:after="0" w:line="186" w:lineRule="exact"/>
        <w:rPr>
          <w:rFonts w:ascii="Arial" w:cs="Arial" w:eastAsia="Arial" w:hAnsi="Arial"/>
          <w:sz w:val="18"/>
          <w:szCs w:val="18"/>
          <w:color w:val="auto"/>
        </w:rPr>
      </w:pPr>
    </w:p>
    <w:p>
      <w:pPr>
        <w:ind w:right="380" w:firstLine="1960"/>
        <w:spacing w:after="0" w:line="255" w:lineRule="auto"/>
        <w:tabs>
          <w:tab w:leader="none" w:pos="239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will pay Executive an amount equal to the Annual Bonus under Section 2.2 for the calendar year in which Executive’s termination occurs,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 and</w:t>
      </w:r>
    </w:p>
    <w:p>
      <w:pPr>
        <w:spacing w:after="0" w:line="187" w:lineRule="exact"/>
        <w:rPr>
          <w:rFonts w:ascii="Arial" w:cs="Arial" w:eastAsia="Arial" w:hAnsi="Arial"/>
          <w:sz w:val="18"/>
          <w:szCs w:val="18"/>
          <w:color w:val="auto"/>
        </w:rPr>
      </w:pPr>
    </w:p>
    <w:p>
      <w:pPr>
        <w:ind w:right="20" w:firstLine="1960"/>
        <w:spacing w:after="0" w:line="333" w:lineRule="auto"/>
        <w:tabs>
          <w:tab w:leader="none" w:pos="2345" w:val="left"/>
        </w:tabs>
        <w:numPr>
          <w:ilvl w:val="0"/>
          <w:numId w:val="86"/>
        </w:numPr>
        <w:rPr>
          <w:rFonts w:ascii="Arial" w:cs="Arial" w:eastAsia="Arial" w:hAnsi="Arial"/>
          <w:sz w:val="16"/>
          <w:szCs w:val="16"/>
          <w:color w:val="auto"/>
        </w:rPr>
      </w:pPr>
      <w:r>
        <w:rPr>
          <w:rFonts w:ascii="Arial" w:cs="Arial" w:eastAsia="Arial" w:hAnsi="Arial"/>
          <w:sz w:val="16"/>
          <w:szCs w:val="16"/>
          <w:color w:val="auto"/>
        </w:rPr>
        <w:t>Effective as of Executive’s termination date, the vesting and exercisability of all outstanding equity awards subject only to a time-based vesting schedule that are held by Executive immediately prior to the termination date (if any) shall be accelerated in full.</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500" w:top="272" w:right="519" w:bottom="1440" w:gutter="0" w:footer="0" w:header="0"/>
        </w:sectPr>
      </w:pPr>
    </w:p>
    <w:bookmarkStart w:id="68" w:name="page69"/>
    <w:bookmarkEnd w:id="68"/>
    <w:p>
      <w:pPr>
        <w:ind w:left="1820" w:hanging="404"/>
        <w:spacing w:after="0"/>
        <w:tabs>
          <w:tab w:leader="none" w:pos="1820" w:val="left"/>
        </w:tabs>
        <w:numPr>
          <w:ilvl w:val="0"/>
          <w:numId w:val="8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purposes of this Agreement, 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have the meaning set forth in the Company’s 2021 Equity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Incentive Plan.</w:t>
      </w:r>
    </w:p>
    <w:p>
      <w:pPr>
        <w:spacing w:after="0" w:line="207" w:lineRule="exact"/>
        <w:rPr>
          <w:sz w:val="20"/>
          <w:szCs w:val="20"/>
          <w:color w:val="auto"/>
        </w:rPr>
      </w:pPr>
    </w:p>
    <w:p>
      <w:pPr>
        <w:ind w:right="540" w:firstLine="1416"/>
        <w:spacing w:after="0" w:line="270" w:lineRule="auto"/>
        <w:tabs>
          <w:tab w:leader="none" w:pos="1787"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The CIC Severance Benefits provided to Executive pursuant to this Section 6.2 are in lieu of, and not in addition to, any benefits to which Executive may otherwise be entitled under any Company severance plan, policy or program.</w:t>
      </w:r>
    </w:p>
    <w:p>
      <w:pPr>
        <w:spacing w:after="0" w:line="174" w:lineRule="exact"/>
        <w:rPr>
          <w:rFonts w:ascii="Arial" w:cs="Arial" w:eastAsia="Arial" w:hAnsi="Arial"/>
          <w:sz w:val="18"/>
          <w:szCs w:val="18"/>
          <w:b w:val="1"/>
          <w:bCs w:val="1"/>
          <w:color w:val="auto"/>
        </w:rPr>
      </w:pPr>
    </w:p>
    <w:p>
      <w:pPr>
        <w:ind w:firstLine="1416"/>
        <w:spacing w:after="0" w:line="281" w:lineRule="auto"/>
        <w:tabs>
          <w:tab w:leader="none" w:pos="1801" w:val="left"/>
        </w:tabs>
        <w:numPr>
          <w:ilvl w:val="0"/>
          <w:numId w:val="88"/>
        </w:numPr>
        <w:rPr>
          <w:rFonts w:ascii="Arial" w:cs="Arial" w:eastAsia="Arial" w:hAnsi="Arial"/>
          <w:sz w:val="17"/>
          <w:szCs w:val="17"/>
          <w:b w:val="1"/>
          <w:bCs w:val="1"/>
          <w:color w:val="auto"/>
        </w:rPr>
      </w:pPr>
      <w:r>
        <w:rPr>
          <w:rFonts w:ascii="Arial" w:cs="Arial" w:eastAsia="Arial" w:hAnsi="Arial"/>
          <w:sz w:val="17"/>
          <w:szCs w:val="17"/>
          <w:color w:val="auto"/>
        </w:rPr>
        <w:t>Any damages caused by the termination of Executive’s employment without Cause during the Change in Control Measurement Period would be difficult to ascertain; therefore, the CIC Severance Benefits for which Executive is eligible pursuant to Section 6.2(a) above in exchange for the Release are agreed to by the parties as liquidated damages, to serve as full compensation, and not a penalty.</w:t>
      </w:r>
    </w:p>
    <w:p>
      <w:pPr>
        <w:spacing w:after="0" w:line="270"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Termination by the Company for Cause</w:t>
      </w:r>
      <w:r>
        <w:rPr>
          <w:rFonts w:ascii="Arial" w:cs="Arial" w:eastAsia="Arial" w:hAnsi="Arial"/>
          <w:sz w:val="16"/>
          <w:szCs w:val="16"/>
          <w:color w:val="auto"/>
        </w:rPr>
        <w:t>.</w:t>
      </w:r>
    </w:p>
    <w:p>
      <w:pPr>
        <w:spacing w:after="0" w:line="117" w:lineRule="exact"/>
        <w:rPr>
          <w:sz w:val="20"/>
          <w:szCs w:val="20"/>
          <w:color w:val="auto"/>
        </w:rPr>
      </w:pPr>
    </w:p>
    <w:p>
      <w:pPr>
        <w:ind w:right="40" w:firstLine="980"/>
        <w:spacing w:after="0" w:line="270" w:lineRule="auto"/>
        <w:rPr>
          <w:sz w:val="20"/>
          <w:szCs w:val="20"/>
          <w:color w:val="auto"/>
        </w:rPr>
      </w:pPr>
      <w:r>
        <w:rPr>
          <w:rFonts w:ascii="Arial" w:cs="Arial" w:eastAsia="Arial" w:hAnsi="Arial"/>
          <w:sz w:val="18"/>
          <w:szCs w:val="18"/>
          <w:color w:val="auto"/>
        </w:rPr>
        <w:t>Subject to Section 6.3(b) below, the Company shall have the right to terminate Executive’s employment with the Company at any time for Cause by giving notice as described in Section 6.7 of this Agreement.</w:t>
      </w:r>
    </w:p>
    <w:p>
      <w:pPr>
        <w:spacing w:after="0" w:line="175" w:lineRule="exact"/>
        <w:rPr>
          <w:sz w:val="20"/>
          <w:szCs w:val="20"/>
          <w:color w:val="auto"/>
        </w:rPr>
      </w:pPr>
    </w:p>
    <w:p>
      <w:pPr>
        <w:ind w:firstLine="1416"/>
        <w:spacing w:after="0" w:line="281" w:lineRule="auto"/>
        <w:tabs>
          <w:tab w:leader="none" w:pos="1800" w:val="left"/>
        </w:tabs>
        <w:numPr>
          <w:ilvl w:val="1"/>
          <w:numId w:val="8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for termination shall mean that the Company has determined in its sole discretion that Executive has engaged in any of the following: (i) a material breach of any covenant or condition under this Agreement or any other agreement between the parties; (ii) any act constituting dishonesty, fraud, immoral or disreputable conduct; (iii) any conduct which constitutes a felony under applicable law; (iv) material violation of any Company policy or any act of misconduct; (v) refusal to follow or implement a clear and reasonable directive of the Company; (vi) negligence or incompetence in the performance of Executive’s duties after the expiration of ten (10) days without cure after written notice of such failure; or</w:t>
      </w:r>
    </w:p>
    <w:p>
      <w:pPr>
        <w:spacing w:after="0" w:line="3" w:lineRule="exact"/>
        <w:rPr>
          <w:rFonts w:ascii="Arial" w:cs="Arial" w:eastAsia="Arial" w:hAnsi="Arial"/>
          <w:sz w:val="16"/>
          <w:szCs w:val="16"/>
          <w:b w:val="1"/>
          <w:bCs w:val="1"/>
          <w:color w:val="auto"/>
        </w:rPr>
      </w:pPr>
    </w:p>
    <w:p>
      <w:pPr>
        <w:spacing w:after="0" w:line="267" w:lineRule="auto"/>
        <w:tabs>
          <w:tab w:leader="none" w:pos="351" w:val="left"/>
        </w:tabs>
        <w:numPr>
          <w:ilvl w:val="0"/>
          <w:numId w:val="90"/>
        </w:numPr>
        <w:rPr>
          <w:rFonts w:ascii="Arial" w:cs="Arial" w:eastAsia="Arial" w:hAnsi="Arial"/>
          <w:sz w:val="17"/>
          <w:szCs w:val="17"/>
          <w:color w:val="auto"/>
        </w:rPr>
      </w:pPr>
      <w:r>
        <w:rPr>
          <w:rFonts w:ascii="Arial" w:cs="Arial" w:eastAsia="Arial" w:hAnsi="Arial"/>
          <w:sz w:val="17"/>
          <w:szCs w:val="17"/>
          <w:color w:val="auto"/>
        </w:rPr>
        <w:t>breach of fiduciary duty. For the avoidance of doubt, if the Company determines after Executive’s termination date that it would have had a basis to terminate Executive’s employment for Cause prior to Executive’s departure, then any obligation that the Company otherwise had to provide Executive with the Non-CIC Severance Benefits or the CIC Severance Benefits will immediately cease and Executive will be required to repay the Company for any portion of the Non-CIC Severance Benefits or the CIC Severance Benefits provided by the Company as of such date of notice from the Company (net of tax), to be repaid by Executive within thirty (30) days of demand by the Company.</w:t>
      </w:r>
    </w:p>
    <w:p>
      <w:pPr>
        <w:spacing w:after="0" w:line="180" w:lineRule="exact"/>
        <w:rPr>
          <w:rFonts w:ascii="Arial" w:cs="Arial" w:eastAsia="Arial" w:hAnsi="Arial"/>
          <w:sz w:val="17"/>
          <w:szCs w:val="17"/>
          <w:color w:val="auto"/>
        </w:rPr>
      </w:pPr>
    </w:p>
    <w:p>
      <w:pPr>
        <w:ind w:right="180" w:firstLine="1416"/>
        <w:spacing w:after="0" w:line="258" w:lineRule="auto"/>
        <w:tabs>
          <w:tab w:leader="none" w:pos="1810"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In the event Executive’s employment is terminated at any time for Cause, Executive will not receive the Non-CIC Severance Benefits, the CIC Severance Benefits, or any other severance compensation or benefit, except that, consistent with the Company’s standard payroll policies, the Company shall provide to Executive the Accrued Obligations.</w:t>
      </w:r>
    </w:p>
    <w:p>
      <w:pPr>
        <w:spacing w:after="0" w:line="289"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4"/>
          <w:szCs w:val="14"/>
          <w:b w:val="1"/>
          <w:bCs w:val="1"/>
          <w:u w:val="single" w:color="auto"/>
          <w:color w:val="auto"/>
        </w:rPr>
        <w:t>Resignation by Executive (other than for Good Reason)</w:t>
      </w:r>
      <w:r>
        <w:rPr>
          <w:rFonts w:ascii="Arial" w:cs="Arial" w:eastAsia="Arial" w:hAnsi="Arial"/>
          <w:sz w:val="14"/>
          <w:szCs w:val="14"/>
          <w:color w:val="auto"/>
        </w:rPr>
        <w:t>.</w:t>
      </w:r>
    </w:p>
    <w:p>
      <w:pPr>
        <w:spacing w:after="0" w:line="117" w:lineRule="exact"/>
        <w:rPr>
          <w:sz w:val="20"/>
          <w:szCs w:val="20"/>
          <w:color w:val="auto"/>
        </w:rPr>
      </w:pPr>
    </w:p>
    <w:p>
      <w:pPr>
        <w:ind w:left="1800" w:hanging="384"/>
        <w:spacing w:after="0"/>
        <w:tabs>
          <w:tab w:leader="none" w:pos="1800"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Executive may resign for any reason from Executive’s employment with the Company at any time by giving notice as</w:t>
      </w:r>
    </w:p>
    <w:p>
      <w:pPr>
        <w:spacing w:after="0" w:line="30"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described in Section 6.7.</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500" w:top="272" w:right="539" w:bottom="1440" w:gutter="0" w:footer="0" w:header="0"/>
        </w:sectPr>
      </w:pPr>
    </w:p>
    <w:bookmarkStart w:id="69" w:name="page70"/>
    <w:bookmarkEnd w:id="69"/>
    <w:p>
      <w:pPr>
        <w:ind w:left="-20" w:right="100" w:firstLine="1416"/>
        <w:spacing w:after="0" w:line="281" w:lineRule="auto"/>
        <w:tabs>
          <w:tab w:leader="none" w:pos="1790" w:val="left"/>
        </w:tabs>
        <w:numPr>
          <w:ilvl w:val="0"/>
          <w:numId w:val="9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Executive resigns from Executive’s employment with the Company (other than for Good Reason), Executive will not receive the Non-CIC Severance Benefits, the CIC Severance Benefits, or any other severance compensation or benefit, except that, consistent with the Company’s standard payroll policies, the Company shall provide to Executive the Accrued Obligations.</w:t>
      </w:r>
    </w:p>
    <w:p>
      <w:pPr>
        <w:spacing w:after="0" w:line="270" w:lineRule="exact"/>
        <w:rPr>
          <w:sz w:val="20"/>
          <w:szCs w:val="20"/>
          <w:color w:val="auto"/>
        </w:rPr>
      </w:pPr>
    </w:p>
    <w:p>
      <w:pPr>
        <w:ind w:left="960"/>
        <w:spacing w:after="0"/>
        <w:tabs>
          <w:tab w:leader="none" w:pos="13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u w:val="single" w:color="auto"/>
          <w:color w:val="auto"/>
        </w:rPr>
        <w:t>Termination by Virtue of Death or Disability of Executive</w:t>
      </w:r>
      <w:r>
        <w:rPr>
          <w:rFonts w:ascii="Arial" w:cs="Arial" w:eastAsia="Arial" w:hAnsi="Arial"/>
          <w:sz w:val="16"/>
          <w:szCs w:val="16"/>
          <w:color w:val="auto"/>
        </w:rPr>
        <w:t>.</w:t>
      </w:r>
    </w:p>
    <w:p>
      <w:pPr>
        <w:spacing w:after="0" w:line="117" w:lineRule="exact"/>
        <w:rPr>
          <w:sz w:val="20"/>
          <w:szCs w:val="20"/>
          <w:color w:val="auto"/>
        </w:rPr>
      </w:pPr>
    </w:p>
    <w:p>
      <w:pPr>
        <w:ind w:left="-20" w:right="200" w:firstLine="1416"/>
        <w:spacing w:after="0" w:line="255" w:lineRule="auto"/>
        <w:tabs>
          <w:tab w:leader="none" w:pos="178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be eligible for the Non-CIC Severance Benefits, the CIC Severance Benefits, or any other severance compensation or benefit.</w:t>
      </w:r>
    </w:p>
    <w:p>
      <w:pPr>
        <w:spacing w:after="0" w:line="187" w:lineRule="exact"/>
        <w:rPr>
          <w:rFonts w:ascii="Arial" w:cs="Arial" w:eastAsia="Arial" w:hAnsi="Arial"/>
          <w:sz w:val="18"/>
          <w:szCs w:val="18"/>
          <w:b w:val="1"/>
          <w:bCs w:val="1"/>
          <w:color w:val="auto"/>
        </w:rPr>
      </w:pPr>
    </w:p>
    <w:p>
      <w:pPr>
        <w:ind w:left="-20" w:right="80" w:firstLine="1416"/>
        <w:spacing w:after="0" w:line="266" w:lineRule="auto"/>
        <w:tabs>
          <w:tab w:leader="none" w:pos="1790" w:val="left"/>
        </w:tabs>
        <w:numPr>
          <w:ilvl w:val="0"/>
          <w:numId w:val="93"/>
        </w:numPr>
        <w:rPr>
          <w:rFonts w:ascii="Arial" w:cs="Arial" w:eastAsia="Arial" w:hAnsi="Arial"/>
          <w:sz w:val="17"/>
          <w:szCs w:val="17"/>
          <w:b w:val="1"/>
          <w:bCs w:val="1"/>
          <w:color w:val="auto"/>
        </w:rPr>
      </w:pPr>
      <w:r>
        <w:rPr>
          <w:rFonts w:ascii="Arial" w:cs="Arial" w:eastAsia="Arial" w:hAnsi="Arial"/>
          <w:sz w:val="17"/>
          <w:szCs w:val="17"/>
          <w:color w:val="auto"/>
        </w:rPr>
        <w:t>Subject to applicable state and federal law, the Company shall at all times have the right, upon written notice to the Executive, to terminate this Agreement based on Executive’s Disability (as defined below). Termination by the Company of Executive’s employment based on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Non-CIC Severance Benefits, the CIC Severance Benefits, or any other severance compensation or benefit, except that, pursuant to the Company’s standard payroll policies, the Company shall provide to Executive the Accrued Obligations.</w:t>
      </w:r>
    </w:p>
    <w:p>
      <w:pPr>
        <w:spacing w:after="0" w:line="288" w:lineRule="exact"/>
        <w:rPr>
          <w:sz w:val="20"/>
          <w:szCs w:val="20"/>
          <w:color w:val="auto"/>
        </w:rPr>
      </w:pPr>
    </w:p>
    <w:p>
      <w:pPr>
        <w:ind w:left="960"/>
        <w:spacing w:after="0"/>
        <w:tabs>
          <w:tab w:leader="none" w:pos="13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u w:val="single" w:color="auto"/>
          <w:color w:val="auto"/>
        </w:rPr>
        <w:t>Notice; Effective Date of Termination</w:t>
      </w:r>
      <w:r>
        <w:rPr>
          <w:rFonts w:ascii="Arial" w:cs="Arial" w:eastAsia="Arial" w:hAnsi="Arial"/>
          <w:sz w:val="16"/>
          <w:szCs w:val="16"/>
          <w:color w:val="auto"/>
        </w:rPr>
        <w:t>.</w:t>
      </w:r>
    </w:p>
    <w:p>
      <w:pPr>
        <w:spacing w:after="0" w:line="117" w:lineRule="exact"/>
        <w:rPr>
          <w:sz w:val="20"/>
          <w:szCs w:val="20"/>
          <w:color w:val="auto"/>
        </w:rPr>
      </w:pPr>
    </w:p>
    <w:p>
      <w:pPr>
        <w:ind w:left="1780" w:hanging="384"/>
        <w:spacing w:after="0"/>
        <w:tabs>
          <w:tab w:leader="none" w:pos="178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Termination of Executive’s employment pursuant to this Agreement shall be effective on the earliest of:</w:t>
      </w:r>
    </w:p>
    <w:p>
      <w:pPr>
        <w:spacing w:after="0" w:line="219" w:lineRule="exact"/>
        <w:rPr>
          <w:rFonts w:ascii="Arial" w:cs="Arial" w:eastAsia="Arial" w:hAnsi="Arial"/>
          <w:sz w:val="18"/>
          <w:szCs w:val="18"/>
          <w:b w:val="1"/>
          <w:bCs w:val="1"/>
          <w:color w:val="auto"/>
        </w:rPr>
      </w:pPr>
    </w:p>
    <w:p>
      <w:pPr>
        <w:ind w:left="-20" w:right="340" w:firstLine="1960"/>
        <w:spacing w:after="0" w:line="258" w:lineRule="auto"/>
        <w:tabs>
          <w:tab w:leader="none" w:pos="2285" w:val="left"/>
        </w:tabs>
        <w:numPr>
          <w:ilvl w:val="1"/>
          <w:numId w:val="94"/>
        </w:numPr>
        <w:rPr>
          <w:rFonts w:ascii="Arial" w:cs="Arial" w:eastAsia="Arial" w:hAnsi="Arial"/>
          <w:sz w:val="18"/>
          <w:szCs w:val="18"/>
          <w:color w:val="auto"/>
        </w:rPr>
      </w:pPr>
      <w:r>
        <w:rPr>
          <w:rFonts w:ascii="Arial" w:cs="Arial" w:eastAsia="Arial" w:hAnsi="Arial"/>
          <w:sz w:val="18"/>
          <w:szCs w:val="18"/>
          <w:color w:val="auto"/>
        </w:rPr>
        <w:t>immediately after the Company gives notice to Executive of Executive’s termination, with or without Cause, unless pursuant to Section 6.3(a)(vi) in which case ten (10) days after notice if not cured, or unless the Company specifies a later date, in which case, termination shall be effective as of such later date;</w:t>
      </w:r>
    </w:p>
    <w:p>
      <w:pPr>
        <w:spacing w:after="0" w:line="186" w:lineRule="exact"/>
        <w:rPr>
          <w:rFonts w:ascii="Arial" w:cs="Arial" w:eastAsia="Arial" w:hAnsi="Arial"/>
          <w:sz w:val="18"/>
          <w:szCs w:val="18"/>
          <w:color w:val="auto"/>
        </w:rPr>
      </w:pPr>
    </w:p>
    <w:p>
      <w:pPr>
        <w:ind w:left="2340" w:hanging="400"/>
        <w:spacing w:after="0"/>
        <w:tabs>
          <w:tab w:leader="none" w:pos="23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immediately upon Executive’s death;</w:t>
      </w:r>
    </w:p>
    <w:p>
      <w:pPr>
        <w:spacing w:after="0" w:line="219" w:lineRule="exact"/>
        <w:rPr>
          <w:rFonts w:ascii="Arial" w:cs="Arial" w:eastAsia="Arial" w:hAnsi="Arial"/>
          <w:sz w:val="18"/>
          <w:szCs w:val="18"/>
          <w:color w:val="auto"/>
        </w:rPr>
      </w:pPr>
    </w:p>
    <w:p>
      <w:pPr>
        <w:ind w:left="-20" w:firstLine="1960"/>
        <w:spacing w:after="0" w:line="258" w:lineRule="auto"/>
        <w:tabs>
          <w:tab w:leader="none" w:pos="2384"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immediately after the Company gives written notice to Executive of Executive’s termination on account of Executive’s Disability, unless the Company specifies a later separation date, in which case, termination shall be effective as of such later separation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Executive has not returned to the full-time performance of Executive’s duties prior to such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40"/>
          </w:cols>
          <w:pgMar w:left="520" w:top="272" w:right="539" w:bottom="1440" w:gutter="0" w:footer="0" w:header="0"/>
        </w:sectPr>
      </w:pPr>
    </w:p>
    <w:bookmarkStart w:id="70" w:name="page71"/>
    <w:bookmarkEnd w:id="70"/>
    <w:p>
      <w:pPr>
        <w:jc w:val="both"/>
        <w:ind w:right="300" w:firstLine="1960"/>
        <w:spacing w:after="0" w:line="255" w:lineRule="auto"/>
        <w:tabs>
          <w:tab w:leader="none" w:pos="2394"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except as addressed by Section 6.7(a)(v), thirty (30) days after Executive gives written notice to the Company of Executive’s resignation for any reason,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set a separation date at any time between the date of notice and the date of resignation, in which case Executive’s resignation shall be effective as of such other date. Executive will receive compensation through any required notice period; or</w:t>
      </w:r>
    </w:p>
    <w:p>
      <w:pPr>
        <w:spacing w:after="0" w:line="187" w:lineRule="exact"/>
        <w:rPr>
          <w:rFonts w:ascii="Arial" w:cs="Arial" w:eastAsia="Arial" w:hAnsi="Arial"/>
          <w:sz w:val="18"/>
          <w:szCs w:val="18"/>
          <w:color w:val="auto"/>
        </w:rPr>
      </w:pPr>
    </w:p>
    <w:p>
      <w:pPr>
        <w:ind w:left="2340" w:hanging="380"/>
        <w:spacing w:after="0"/>
        <w:tabs>
          <w:tab w:leader="none" w:pos="2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a termination for Good Reason, immediately upon Executive’s full satisfaction of the requirements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Section 6.1(g).</w:t>
      </w:r>
    </w:p>
    <w:p>
      <w:pPr>
        <w:spacing w:after="0" w:line="207" w:lineRule="exact"/>
        <w:rPr>
          <w:sz w:val="20"/>
          <w:szCs w:val="20"/>
          <w:color w:val="auto"/>
        </w:rPr>
      </w:pPr>
    </w:p>
    <w:p>
      <w:pPr>
        <w:jc w:val="both"/>
        <w:ind w:firstLine="1416"/>
        <w:spacing w:after="0" w:line="255" w:lineRule="auto"/>
        <w:tabs>
          <w:tab w:leader="none" w:pos="181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In the event notice of a termination under subsection (a)(i)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w:t>
      </w:r>
    </w:p>
    <w:p>
      <w:pPr>
        <w:spacing w:after="0" w:line="184" w:lineRule="exact"/>
        <w:rPr>
          <w:sz w:val="20"/>
          <w:szCs w:val="20"/>
          <w:color w:val="auto"/>
        </w:rPr>
      </w:pPr>
    </w:p>
    <w:p>
      <w:pPr>
        <w:ind w:right="60" w:firstLine="980"/>
        <w:spacing w:after="0" w:line="256"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Cooperation With Company After Termination of Employment</w:t>
      </w:r>
      <w:r>
        <w:rPr>
          <w:rFonts w:ascii="Arial" w:cs="Arial" w:eastAsia="Arial" w:hAnsi="Arial"/>
          <w:sz w:val="18"/>
          <w:szCs w:val="18"/>
          <w:color w:val="auto"/>
        </w:rPr>
        <w:t>. Following termination of Executive’s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shall reasonably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w:t>
      </w:r>
    </w:p>
    <w:p>
      <w:pPr>
        <w:spacing w:after="0" w:line="184" w:lineRule="exact"/>
        <w:rPr>
          <w:sz w:val="20"/>
          <w:szCs w:val="20"/>
          <w:color w:val="auto"/>
        </w:rPr>
      </w:pPr>
    </w:p>
    <w:p>
      <w:pPr>
        <w:ind w:right="440" w:firstLine="980"/>
        <w:spacing w:after="0" w:line="274"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 Executive agrees that should Executive’s employment be terminated for any reason, Executive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resigned from any and all positions with the Company and its subsidiaries.</w:t>
      </w:r>
    </w:p>
    <w:p>
      <w:pPr>
        <w:spacing w:after="0" w:line="275"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4"/>
          <w:szCs w:val="14"/>
          <w:b w:val="1"/>
          <w:bCs w:val="1"/>
          <w:u w:val="single" w:color="auto"/>
          <w:color w:val="auto"/>
        </w:rPr>
        <w:t>Application of Section 409A</w:t>
      </w:r>
      <w:r>
        <w:rPr>
          <w:rFonts w:ascii="Arial" w:cs="Arial" w:eastAsia="Arial" w:hAnsi="Arial"/>
          <w:sz w:val="14"/>
          <w:szCs w:val="14"/>
          <w:color w:val="auto"/>
        </w:rPr>
        <w:t>.</w:t>
      </w:r>
    </w:p>
    <w:p>
      <w:pPr>
        <w:spacing w:after="0" w:line="117" w:lineRule="exact"/>
        <w:rPr>
          <w:sz w:val="20"/>
          <w:szCs w:val="20"/>
          <w:color w:val="auto"/>
        </w:rPr>
      </w:pPr>
    </w:p>
    <w:p>
      <w:pPr>
        <w:jc w:val="both"/>
        <w:ind w:right="180" w:firstLine="1416"/>
        <w:spacing w:after="0" w:line="296" w:lineRule="auto"/>
        <w:tabs>
          <w:tab w:leader="none" w:pos="1800" w:val="left"/>
        </w:tabs>
        <w:numPr>
          <w:ilvl w:val="0"/>
          <w:numId w:val="97"/>
        </w:numPr>
        <w:rPr>
          <w:rFonts w:ascii="Arial" w:cs="Arial" w:eastAsia="Arial" w:hAnsi="Arial"/>
          <w:sz w:val="16"/>
          <w:szCs w:val="16"/>
          <w:b w:val="1"/>
          <w:bCs w:val="1"/>
          <w:color w:val="auto"/>
        </w:rPr>
      </w:pPr>
      <w:r>
        <w:rPr>
          <w:rFonts w:ascii="Arial" w:cs="Arial" w:eastAsia="Arial" w:hAnsi="Arial"/>
          <w:sz w:val="16"/>
          <w:szCs w:val="16"/>
          <w:color w:val="auto"/>
        </w:rPr>
        <w:t>It is intended that all of the compensation payable under this Agreement, to the greatest extent possible, either complies with the requirements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the regulations and other guidance thereunder and any state law of similar effect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or satisfies one or more of the exemptions from the application of Section 409A, and this Agreement will be construed in a manner consistent with such intention, incorporating by reference all required definitions and payment terms.</w:t>
      </w:r>
    </w:p>
    <w:p>
      <w:pPr>
        <w:spacing w:after="0" w:line="159" w:lineRule="exact"/>
        <w:rPr>
          <w:rFonts w:ascii="Arial" w:cs="Arial" w:eastAsia="Arial" w:hAnsi="Arial"/>
          <w:sz w:val="16"/>
          <w:szCs w:val="16"/>
          <w:b w:val="1"/>
          <w:bCs w:val="1"/>
          <w:color w:val="auto"/>
        </w:rPr>
      </w:pPr>
    </w:p>
    <w:p>
      <w:pPr>
        <w:ind w:right="540" w:firstLine="1416"/>
        <w:spacing w:after="0" w:line="270" w:lineRule="auto"/>
        <w:tabs>
          <w:tab w:leader="none" w:pos="1810" w:val="left"/>
        </w:tabs>
        <w:numPr>
          <w:ilvl w:val="0"/>
          <w:numId w:val="97"/>
        </w:numPr>
        <w:rPr>
          <w:rFonts w:ascii="Arial" w:cs="Arial" w:eastAsia="Arial" w:hAnsi="Arial"/>
          <w:sz w:val="17"/>
          <w:szCs w:val="17"/>
          <w:b w:val="1"/>
          <w:bCs w:val="1"/>
          <w:color w:val="auto"/>
        </w:rPr>
      </w:pPr>
      <w:r>
        <w:rPr>
          <w:rFonts w:ascii="Arial" w:cs="Arial" w:eastAsia="Arial" w:hAnsi="Arial"/>
          <w:sz w:val="17"/>
          <w:szCs w:val="17"/>
          <w:color w:val="auto"/>
        </w:rPr>
        <w:t>No severance payments will be made under this Agreement unless Executive’s termination of employment constitutes a Separation from Service. For purposes of Section 409A (including, without limitation, for purposes of Treasury Regulations</w:t>
      </w:r>
    </w:p>
    <w:p>
      <w:pPr>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w:t>
      </w:r>
    </w:p>
    <w:p>
      <w:pPr>
        <w:spacing w:after="0" w:line="191" w:lineRule="exact"/>
        <w:rPr>
          <w:rFonts w:ascii="Arial" w:cs="Arial" w:eastAsia="Arial" w:hAnsi="Arial"/>
          <w:sz w:val="17"/>
          <w:szCs w:val="17"/>
          <w:b w:val="1"/>
          <w:bCs w:val="1"/>
          <w:color w:val="auto"/>
        </w:rPr>
      </w:pPr>
    </w:p>
    <w:p>
      <w:pPr>
        <w:jc w:val="both"/>
        <w:ind w:right="100" w:firstLine="1416"/>
        <w:spacing w:after="0" w:line="258" w:lineRule="auto"/>
        <w:tabs>
          <w:tab w:leader="none" w:pos="1787"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To the extent that any severance payments are deferred compensation under Section 409A, and are not otherwise exempt from the application of Section 409A, then, to the extent required to comply with Section 409A, if the period during which Executive may consider and sign the Release spans two calendar years, the severance payments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500" w:top="272" w:right="539" w:bottom="1440" w:gutter="0" w:footer="0" w:header="0"/>
        </w:sectPr>
      </w:pPr>
    </w:p>
    <w:bookmarkStart w:id="71" w:name="page72"/>
    <w:bookmarkEnd w:id="7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6.10(c); and (ii) commence paying the balance of the severance benefits in accordance with the applicable payment schedule set forth in Sections 6.1 and 6.2. No interest shall be due on any amounts deferred pursuant to this Section 6.10(c).</w:t>
      </w:r>
    </w:p>
    <w:p>
      <w:pPr>
        <w:spacing w:after="0" w:line="167" w:lineRule="exact"/>
        <w:rPr>
          <w:sz w:val="20"/>
          <w:szCs w:val="20"/>
          <w:color w:val="auto"/>
        </w:rPr>
      </w:pPr>
    </w:p>
    <w:p>
      <w:pPr>
        <w:ind w:right="280" w:firstLine="1416"/>
        <w:spacing w:after="0" w:line="255" w:lineRule="auto"/>
        <w:tabs>
          <w:tab w:leader="none" w:pos="1807"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w:t>
      </w:r>
    </w:p>
    <w:p>
      <w:pPr>
        <w:spacing w:after="0" w:line="187" w:lineRule="exact"/>
        <w:rPr>
          <w:rFonts w:ascii="Arial" w:cs="Arial" w:eastAsia="Arial" w:hAnsi="Arial"/>
          <w:sz w:val="18"/>
          <w:szCs w:val="18"/>
          <w:b w:val="1"/>
          <w:bCs w:val="1"/>
          <w:color w:val="auto"/>
        </w:rPr>
      </w:pPr>
    </w:p>
    <w:p>
      <w:pPr>
        <w:ind w:right="380" w:firstLine="1416"/>
        <w:spacing w:after="0" w:line="281" w:lineRule="auto"/>
        <w:tabs>
          <w:tab w:leader="none" w:pos="1790"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270"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u w:val="single" w:color="auto"/>
          <w:color w:val="auto"/>
        </w:rPr>
        <w:t>Excise Tax Adjustment</w:t>
      </w:r>
      <w:r>
        <w:rPr>
          <w:rFonts w:ascii="Arial" w:cs="Arial" w:eastAsia="Arial" w:hAnsi="Arial"/>
          <w:sz w:val="16"/>
          <w:szCs w:val="16"/>
          <w:color w:val="auto"/>
        </w:rPr>
        <w:t>.</w:t>
      </w:r>
    </w:p>
    <w:p>
      <w:pPr>
        <w:spacing w:after="0" w:line="117" w:lineRule="exact"/>
        <w:rPr>
          <w:sz w:val="20"/>
          <w:szCs w:val="20"/>
          <w:color w:val="auto"/>
        </w:rPr>
      </w:pPr>
    </w:p>
    <w:p>
      <w:pPr>
        <w:ind w:left="1800" w:hanging="384"/>
        <w:spacing w:after="0"/>
        <w:tabs>
          <w:tab w:leader="none" w:pos="1800" w:val="left"/>
        </w:tabs>
        <w:numPr>
          <w:ilvl w:val="1"/>
          <w:numId w:val="99"/>
        </w:numPr>
        <w:rPr>
          <w:rFonts w:ascii="Arial" w:cs="Arial" w:eastAsia="Arial" w:hAnsi="Arial"/>
          <w:sz w:val="17"/>
          <w:szCs w:val="17"/>
          <w:b w:val="1"/>
          <w:bCs w:val="1"/>
          <w:color w:val="auto"/>
        </w:rPr>
      </w:pPr>
      <w:r>
        <w:rPr>
          <w:rFonts w:ascii="Arial" w:cs="Arial" w:eastAsia="Arial" w:hAnsi="Arial"/>
          <w:sz w:val="17"/>
          <w:szCs w:val="17"/>
          <w:color w:val="auto"/>
        </w:rPr>
        <w:t>If any payment or benefit Executive will or may receive from the Company or otherwise (a “</w:t>
      </w:r>
      <w:r>
        <w:rPr>
          <w:rFonts w:ascii="Arial" w:cs="Arial" w:eastAsia="Arial" w:hAnsi="Arial"/>
          <w:sz w:val="17"/>
          <w:szCs w:val="17"/>
          <w:b w:val="1"/>
          <w:bCs w:val="1"/>
          <w:i w:val="1"/>
          <w:iCs w:val="1"/>
          <w:color w:val="auto"/>
        </w:rPr>
        <w:t>280G Payment</w:t>
      </w:r>
      <w:r>
        <w:rPr>
          <w:rFonts w:ascii="Arial" w:cs="Arial" w:eastAsia="Arial" w:hAnsi="Arial"/>
          <w:sz w:val="17"/>
          <w:szCs w:val="17"/>
          <w:color w:val="auto"/>
        </w:rPr>
        <w:t>”) would</w:t>
      </w:r>
    </w:p>
    <w:p>
      <w:pPr>
        <w:spacing w:after="0" w:line="30" w:lineRule="exact"/>
        <w:rPr>
          <w:rFonts w:ascii="Arial" w:cs="Arial" w:eastAsia="Arial" w:hAnsi="Arial"/>
          <w:sz w:val="17"/>
          <w:szCs w:val="17"/>
          <w:b w:val="1"/>
          <w:bCs w:val="1"/>
          <w:color w:val="auto"/>
        </w:rPr>
      </w:pPr>
    </w:p>
    <w:p>
      <w:pPr>
        <w:ind w:right="40"/>
        <w:spacing w:after="0" w:line="282" w:lineRule="auto"/>
        <w:tabs>
          <w:tab w:leader="none" w:pos="21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constitute a “parachute payment” within the meaning of Section 280G of the Code, and (ii) but for this Section,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any such 280G Payment provided pursuant to this Agreement (a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shall be equal to the Reduced Amount. The “</w:t>
      </w:r>
      <w:r>
        <w:rPr>
          <w:rFonts w:ascii="Arial" w:cs="Arial" w:eastAsia="Arial" w:hAnsi="Arial"/>
          <w:sz w:val="16"/>
          <w:szCs w:val="16"/>
          <w:b w:val="1"/>
          <w:bCs w:val="1"/>
          <w:i w:val="1"/>
          <w:iCs w:val="1"/>
          <w:color w:val="auto"/>
        </w:rPr>
        <w:t>Reduced Amount</w:t>
      </w:r>
      <w:r>
        <w:rPr>
          <w:rFonts w:ascii="Arial" w:cs="Arial" w:eastAsia="Arial" w:hAnsi="Arial"/>
          <w:sz w:val="16"/>
          <w:szCs w:val="16"/>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6"/>
          <w:szCs w:val="16"/>
          <w:b w:val="1"/>
          <w:bCs w:val="1"/>
          <w:i w:val="1"/>
          <w:iCs w:val="1"/>
          <w:color w:val="auto"/>
        </w:rPr>
        <w:t>Reduction Method</w:t>
      </w:r>
      <w:r>
        <w:rPr>
          <w:rFonts w:ascii="Arial" w:cs="Arial" w:eastAsia="Arial" w:hAnsi="Arial"/>
          <w:sz w:val="16"/>
          <w:szCs w:val="16"/>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b w:val="1"/>
          <w:bCs w:val="1"/>
          <w:i w:val="1"/>
          <w:iCs w:val="1"/>
          <w:color w:val="auto"/>
        </w:rPr>
        <w:t>Pro Rata Reduction Method</w:t>
      </w:r>
      <w:r>
        <w:rPr>
          <w:rFonts w:ascii="Arial" w:cs="Arial" w:eastAsia="Arial" w:hAnsi="Arial"/>
          <w:sz w:val="16"/>
          <w:szCs w:val="16"/>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500" w:top="272" w:right="519" w:bottom="1440" w:gutter="0" w:footer="0" w:header="0"/>
        </w:sectPr>
      </w:pPr>
    </w:p>
    <w:bookmarkStart w:id="72" w:name="page73"/>
    <w:bookmarkEnd w:id="72"/>
    <w:p>
      <w:pPr>
        <w:ind w:right="20" w:firstLine="1416"/>
        <w:spacing w:after="0" w:line="267" w:lineRule="auto"/>
        <w:tabs>
          <w:tab w:leader="none" w:pos="1810" w:val="left"/>
        </w:tabs>
        <w:numPr>
          <w:ilvl w:val="0"/>
          <w:numId w:val="10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any provision of this Section 6.11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81" w:lineRule="exact"/>
        <w:rPr>
          <w:rFonts w:ascii="Arial" w:cs="Arial" w:eastAsia="Arial" w:hAnsi="Arial"/>
          <w:sz w:val="17"/>
          <w:szCs w:val="17"/>
          <w:b w:val="1"/>
          <w:bCs w:val="1"/>
          <w:color w:val="auto"/>
        </w:rPr>
      </w:pPr>
    </w:p>
    <w:p>
      <w:pPr>
        <w:ind w:right="100" w:firstLine="1416"/>
        <w:spacing w:after="0" w:line="266" w:lineRule="auto"/>
        <w:tabs>
          <w:tab w:leader="none" w:pos="1790" w:val="left"/>
        </w:tabs>
        <w:numPr>
          <w:ilvl w:val="0"/>
          <w:numId w:val="101"/>
        </w:numPr>
        <w:rPr>
          <w:rFonts w:ascii="Arial" w:cs="Arial" w:eastAsia="Arial" w:hAnsi="Arial"/>
          <w:sz w:val="17"/>
          <w:szCs w:val="17"/>
          <w:b w:val="1"/>
          <w:bCs w:val="1"/>
          <w:color w:val="auto"/>
        </w:rPr>
      </w:pPr>
      <w:r>
        <w:rPr>
          <w:rFonts w:ascii="Arial" w:cs="Arial" w:eastAsia="Arial" w:hAnsi="Arial"/>
          <w:sz w:val="17"/>
          <w:szCs w:val="17"/>
          <w:color w:val="auto"/>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6.11.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spacing w:after="0" w:line="184" w:lineRule="exact"/>
        <w:rPr>
          <w:rFonts w:ascii="Arial" w:cs="Arial" w:eastAsia="Arial" w:hAnsi="Arial"/>
          <w:sz w:val="17"/>
          <w:szCs w:val="17"/>
          <w:b w:val="1"/>
          <w:bCs w:val="1"/>
          <w:color w:val="auto"/>
        </w:rPr>
      </w:pPr>
    </w:p>
    <w:p>
      <w:pPr>
        <w:ind w:firstLine="1416"/>
        <w:spacing w:after="0" w:line="271" w:lineRule="auto"/>
        <w:tabs>
          <w:tab w:leader="none" w:pos="1810" w:val="left"/>
        </w:tabs>
        <w:numPr>
          <w:ilvl w:val="0"/>
          <w:numId w:val="101"/>
        </w:numPr>
        <w:rPr>
          <w:rFonts w:ascii="Arial" w:cs="Arial" w:eastAsia="Arial" w:hAnsi="Arial"/>
          <w:sz w:val="17"/>
          <w:szCs w:val="17"/>
          <w:b w:val="1"/>
          <w:bCs w:val="1"/>
          <w:color w:val="auto"/>
        </w:rPr>
      </w:pPr>
      <w:r>
        <w:rPr>
          <w:rFonts w:ascii="Arial" w:cs="Arial" w:eastAsia="Arial" w:hAnsi="Arial"/>
          <w:sz w:val="17"/>
          <w:szCs w:val="17"/>
          <w:color w:val="auto"/>
        </w:rPr>
        <w:t>If Executive receives a Payment for which the Reduced Amount was determined pursuant to clause (x) of Section 6.11(a) and the Internal Revenue Service determines thereafter that some portion of the Payment is subject to the Excise Tax, Executive agrees to promptly return to the Company a sufficient amount of the Payment (after reduction pursuant to clause (x) of Section 6.11(a)) so that no portion of the remaining Payment is subject to the Excise Tax. For the avoidance of doubt, if the Reduced Amount was determined pursuant to clause (y) of Section 6.11(a), Executive shall have no obligation to return any portion of the Payment pursuant to the preceding sentence.</w:t>
      </w:r>
    </w:p>
    <w:p>
      <w:pPr>
        <w:spacing w:after="0" w:line="280" w:lineRule="exact"/>
        <w:rPr>
          <w:sz w:val="20"/>
          <w:szCs w:val="20"/>
          <w:color w:val="auto"/>
        </w:rPr>
      </w:pPr>
    </w:p>
    <w:p>
      <w:pPr>
        <w:ind w:left="740" w:hanging="305"/>
        <w:spacing w:after="0"/>
        <w:tabs>
          <w:tab w:leader="none" w:pos="7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color w:val="auto"/>
        </w:rPr>
        <w:t>.</w:t>
      </w:r>
    </w:p>
    <w:p>
      <w:pPr>
        <w:spacing w:after="0" w:line="113" w:lineRule="exact"/>
        <w:rPr>
          <w:sz w:val="20"/>
          <w:szCs w:val="20"/>
          <w:color w:val="auto"/>
        </w:rPr>
      </w:pPr>
    </w:p>
    <w:p>
      <w:pPr>
        <w:ind w:firstLine="980"/>
        <w:spacing w:after="0" w:line="254"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required hereunder to be in writing shall be deemed effectively given: (a) upon personal delivery to the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be notified, (b) when sent by electronic mail, telex or confirmed facsimile if sent during normal business hours of the recipient, and if not, then on the next business day, (c) five (5) days after having been sent by registered or certified mail, return receipt requested, postage prepaid, or (d) one (1) day after deposit with a nationally-recognized overnight courier, specifying next-day delivery, with written verification of receipt. All communications shall be sent to the Company at its primary office location and to Executive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500" w:top="272" w:right="559" w:bottom="1440" w:gutter="0" w:footer="0" w:header="0"/>
        </w:sectPr>
      </w:pPr>
    </w:p>
    <w:bookmarkStart w:id="73" w:name="page74"/>
    <w:bookmarkEnd w:id="73"/>
    <w:p>
      <w:pPr>
        <w:ind w:right="240"/>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at Executive’s address as listed on the Company payroll or Executive’s Company-provided email address, or at such other address as the Company or Executive may designate by ten (10) days’ advance written notice to the other.</w:t>
      </w:r>
    </w:p>
    <w:p>
      <w:pPr>
        <w:spacing w:after="0" w:line="171" w:lineRule="exact"/>
        <w:rPr>
          <w:sz w:val="20"/>
          <w:szCs w:val="20"/>
          <w:color w:val="auto"/>
        </w:rPr>
      </w:pPr>
    </w:p>
    <w:p>
      <w:pPr>
        <w:ind w:firstLine="980"/>
        <w:spacing w:after="0" w:line="298"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Agreement will be interpreted in such manner as to be effective and valid</w:t>
      </w:r>
      <w:r>
        <w:rPr>
          <w:rFonts w:ascii="Arial" w:cs="Arial" w:eastAsia="Arial" w:hAnsi="Arial"/>
          <w:sz w:val="16"/>
          <w:szCs w:val="16"/>
          <w:b w:val="1"/>
          <w:bCs w:val="1"/>
          <w:color w:val="auto"/>
        </w:rPr>
        <w:t xml:space="preserve"> </w:t>
      </w:r>
      <w:r>
        <w:rPr>
          <w:rFonts w:ascii="Arial" w:cs="Arial" w:eastAsia="Arial" w:hAnsi="Arial"/>
          <w:sz w:val="16"/>
          <w:szCs w:val="16"/>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54" w:lineRule="exact"/>
        <w:rPr>
          <w:sz w:val="20"/>
          <w:szCs w:val="20"/>
          <w:color w:val="auto"/>
        </w:rPr>
      </w:pPr>
    </w:p>
    <w:p>
      <w:pPr>
        <w:ind w:right="100" w:firstLine="980"/>
        <w:spacing w:after="0" w:line="274"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If either party should waive any breach of any provisions of this Agreement, Executive or it shall not thereby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waived any preceding or succeeding breach of the same or any other provision of this Agreement.</w:t>
      </w:r>
    </w:p>
    <w:p>
      <w:pPr>
        <w:spacing w:after="0" w:line="168" w:lineRule="exact"/>
        <w:rPr>
          <w:sz w:val="20"/>
          <w:szCs w:val="20"/>
          <w:color w:val="auto"/>
        </w:rPr>
      </w:pPr>
    </w:p>
    <w:p>
      <w:pPr>
        <w:ind w:right="100" w:firstLine="980"/>
        <w:spacing w:after="0" w:line="267"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u w:val="single" w:color="auto"/>
          <w:color w:val="auto"/>
        </w:rPr>
        <w:t>Complete Agreement</w:t>
      </w:r>
      <w:r>
        <w:rPr>
          <w:rFonts w:ascii="Arial" w:cs="Arial" w:eastAsia="Arial" w:hAnsi="Arial"/>
          <w:sz w:val="17"/>
          <w:szCs w:val="17"/>
          <w:color w:val="auto"/>
        </w:rPr>
        <w:t>. This Agreement constitutes the entire agreement between Executive and the Company with regard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or are entering into a separate Confidential Information Agreement in connection herewith and have or may enter into separate agreements related to equity awards.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78" w:lineRule="exact"/>
        <w:rPr>
          <w:sz w:val="20"/>
          <w:szCs w:val="20"/>
          <w:color w:val="auto"/>
        </w:rPr>
      </w:pPr>
    </w:p>
    <w:p>
      <w:pPr>
        <w:ind w:firstLine="980"/>
        <w:spacing w:after="0" w:line="274"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separate counterparts, any one of which need not contain signatures of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one party, but all of which taken together will constitute one and the same agreement.</w:t>
      </w:r>
    </w:p>
    <w:p>
      <w:pPr>
        <w:spacing w:after="0" w:line="168" w:lineRule="exact"/>
        <w:rPr>
          <w:sz w:val="20"/>
          <w:szCs w:val="20"/>
          <w:color w:val="auto"/>
        </w:rPr>
      </w:pPr>
    </w:p>
    <w:p>
      <w:pPr>
        <w:ind w:right="140" w:firstLine="980"/>
        <w:spacing w:after="0" w:line="274"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sections hereof are inserted for convenience only and shall not be deemed to constitute a part hereof</w:t>
      </w:r>
      <w:r>
        <w:rPr>
          <w:rFonts w:ascii="Arial" w:cs="Arial" w:eastAsia="Arial" w:hAnsi="Arial"/>
          <w:sz w:val="18"/>
          <w:szCs w:val="18"/>
          <w:b w:val="1"/>
          <w:bCs w:val="1"/>
          <w:color w:val="auto"/>
        </w:rPr>
        <w:t xml:space="preserve"> </w:t>
      </w:r>
      <w:r>
        <w:rPr>
          <w:rFonts w:ascii="Arial" w:cs="Arial" w:eastAsia="Arial" w:hAnsi="Arial"/>
          <w:sz w:val="18"/>
          <w:szCs w:val="18"/>
          <w:color w:val="auto"/>
        </w:rPr>
        <w:t>nor to affect the meaning thereof.</w:t>
      </w:r>
    </w:p>
    <w:p>
      <w:pPr>
        <w:spacing w:after="0" w:line="168" w:lineRule="exact"/>
        <w:rPr>
          <w:sz w:val="20"/>
          <w:szCs w:val="20"/>
          <w:color w:val="auto"/>
        </w:rPr>
      </w:pPr>
    </w:p>
    <w:p>
      <w:pPr>
        <w:ind w:right="80" w:firstLine="980"/>
        <w:spacing w:after="0" w:line="252"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Company shall assign this Agreement and its rights and obligations hereunder in whole, but not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500" w:top="272" w:right="519" w:bottom="1440" w:gutter="0" w:footer="0" w:header="0"/>
        </w:sectPr>
      </w:pPr>
    </w:p>
    <w:bookmarkStart w:id="74" w:name="page75"/>
    <w:bookmarkEnd w:id="74"/>
    <w:p>
      <w:pPr>
        <w:ind w:firstLine="980"/>
        <w:spacing w:after="0" w:line="27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7.8 </w:t>
      </w: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All questions concerning the construction, validity and interpretation of this Agreement will be governed by the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Maryland.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have executed this Amended and Restated Employment Agreement on the day and year first written above.</w:t>
      </w:r>
    </w:p>
    <w:p>
      <w:pPr>
        <w:spacing w:after="0" w:line="270"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13335</wp:posOffset>
            </wp:positionV>
            <wp:extent cx="23977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Sophia MacDonald</w:t>
      </w:r>
    </w:p>
    <w:p>
      <w:pPr>
        <w:spacing w:after="0" w:line="19"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8"/>
          <w:szCs w:val="18"/>
          <w:color w:val="auto"/>
        </w:rPr>
        <w:t>Title:</w:t>
        <w:tab/>
        <w:t>Chief People Officer</w:t>
      </w:r>
    </w:p>
    <w:p>
      <w:pPr>
        <w:spacing w:after="0" w:line="20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318135</wp:posOffset>
            </wp:positionV>
            <wp:extent cx="27622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276225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Randolph Altschuler</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0"/>
          </w:cols>
          <w:pgMar w:left="500" w:top="268" w:right="57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CONFIDENTIAL INFORMATION, INVENTIONS, NON-SOLICITATION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NON-COMPETITION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68"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10.13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0" w:lineRule="exact"/>
        <w:rPr>
          <w:sz w:val="20"/>
          <w:szCs w:val="20"/>
          <w:color w:val="auto"/>
        </w:rPr>
      </w:pPr>
    </w:p>
    <w:p>
      <w:pPr>
        <w:ind w:right="60" w:firstLine="435"/>
        <w:spacing w:after="0" w:line="25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ND</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4"/>
          <w:szCs w:val="14"/>
          <w:b w:val="1"/>
          <w:bCs w:val="1"/>
          <w:color w:val="auto"/>
        </w:rPr>
        <w:t>ESTATED</w:t>
      </w:r>
      <w:r>
        <w:rPr>
          <w:rFonts w:ascii="Arial" w:cs="Arial" w:eastAsia="Arial" w:hAnsi="Arial"/>
          <w:sz w:val="18"/>
          <w:szCs w:val="18"/>
          <w:color w:val="auto"/>
        </w:rPr>
        <w:t xml:space="preserve"> </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effective as of, and contingent upon, the closing of the Company’s initial public offering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Xometry,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James Rallo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This Agreement amends, restates, and supersedes in its entirety the Executive Employment Agreement between the Company and Executive that was effective April 13, 2020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188" w:lineRule="exact"/>
        <w:rPr>
          <w:sz w:val="20"/>
          <w:szCs w:val="20"/>
          <w:color w:val="auto"/>
        </w:rPr>
      </w:pPr>
    </w:p>
    <w:p>
      <w:pPr>
        <w:ind w:right="820" w:firstLine="435"/>
        <w:spacing w:after="0" w:line="300" w:lineRule="auto"/>
        <w:rPr>
          <w:sz w:val="20"/>
          <w:szCs w:val="20"/>
          <w:color w:val="auto"/>
        </w:rPr>
      </w:pPr>
      <w:r>
        <w:rPr>
          <w:rFonts w:ascii="Arial" w:cs="Arial" w:eastAsia="Arial" w:hAnsi="Arial"/>
          <w:sz w:val="17"/>
          <w:szCs w:val="17"/>
          <w:color w:val="auto"/>
        </w:rPr>
        <w:t>The Company desires to continue to employ Executive, in the capacity of full-time Chief Financial Officer pursuant to the terms of this Agreement and, in connection therewith, to compensate Executive for Executive’s personal services to the Company; and</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Executive wishes to continue to be employed by the Company and provide personal services to the Company in return for certain compensation.</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in consideration of the mutual promises and covenants contained herein, the parties agree to the following:</w:t>
      </w:r>
    </w:p>
    <w:p>
      <w:pPr>
        <w:spacing w:after="0" w:line="323" w:lineRule="exact"/>
        <w:rPr>
          <w:sz w:val="20"/>
          <w:szCs w:val="20"/>
          <w:color w:val="auto"/>
        </w:rPr>
      </w:pPr>
    </w:p>
    <w:p>
      <w:pPr>
        <w:ind w:left="740" w:hanging="305"/>
        <w:spacing w:after="0"/>
        <w:tabs>
          <w:tab w:leader="none" w:pos="7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MPLOYMENT BY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OMPANY</w:t>
      </w:r>
      <w:r>
        <w:rPr>
          <w:rFonts w:ascii="Arial" w:cs="Arial" w:eastAsia="Arial" w:hAnsi="Arial"/>
          <w:sz w:val="18"/>
          <w:szCs w:val="18"/>
          <w:b w:val="1"/>
          <w:bCs w:val="1"/>
          <w:color w:val="auto"/>
        </w:rPr>
        <w:t>.</w:t>
      </w:r>
    </w:p>
    <w:p>
      <w:pPr>
        <w:spacing w:after="0" w:line="113" w:lineRule="exact"/>
        <w:rPr>
          <w:sz w:val="20"/>
          <w:szCs w:val="20"/>
          <w:color w:val="auto"/>
        </w:rPr>
      </w:pPr>
    </w:p>
    <w:p>
      <w:pPr>
        <w:ind w:firstLine="980"/>
        <w:spacing w:after="0" w:line="25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Executive shall continue to be employed by the Company on an “at-will” basis, meaning either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Executive may terminate Executive’s employment at any time, with or without cause or advanced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compensation following a termination shall be only as set forth in Section 6.</w:t>
      </w:r>
    </w:p>
    <w:p>
      <w:pPr>
        <w:spacing w:after="0" w:line="190" w:lineRule="exact"/>
        <w:rPr>
          <w:sz w:val="20"/>
          <w:szCs w:val="20"/>
          <w:color w:val="auto"/>
        </w:rPr>
      </w:pPr>
    </w:p>
    <w:p>
      <w:pPr>
        <w:ind w:right="60" w:firstLine="980"/>
        <w:spacing w:after="0" w:line="283"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u w:val="single" w:color="auto"/>
          <w:color w:val="auto"/>
        </w:rPr>
        <w:t>Position</w:t>
      </w:r>
      <w:r>
        <w:rPr>
          <w:rFonts w:ascii="Arial" w:cs="Arial" w:eastAsia="Arial" w:hAnsi="Arial"/>
          <w:sz w:val="17"/>
          <w:szCs w:val="17"/>
          <w:color w:val="auto"/>
        </w:rPr>
        <w:t>. Subject to the terms set forth herein, the Company agrees to continue to employ Executive in the position of Chief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Officer, and Executive hereby accepts such continued employment. During the term of Executive’s employment with the Company, Executive will devote Executive’s best efforts and substantially all of Executive’s business time and attention to the business of the Company.</w:t>
      </w:r>
    </w:p>
    <w:p>
      <w:pPr>
        <w:spacing w:after="0" w:line="162" w:lineRule="exact"/>
        <w:rPr>
          <w:sz w:val="20"/>
          <w:szCs w:val="20"/>
          <w:color w:val="auto"/>
        </w:rPr>
      </w:pPr>
    </w:p>
    <w:p>
      <w:pPr>
        <w:ind w:right="240" w:firstLine="980"/>
        <w:spacing w:after="0" w:line="254"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Duties</w:t>
      </w:r>
      <w:r>
        <w:rPr>
          <w:rFonts w:ascii="Arial" w:cs="Arial" w:eastAsia="Arial" w:hAnsi="Arial"/>
          <w:sz w:val="18"/>
          <w:szCs w:val="18"/>
          <w:color w:val="auto"/>
        </w:rPr>
        <w:t>. Executive will report to the Chief Executive Officer performing such duties as are normally associated with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then-current position and such duties as are assigned to Executive from time to time, subject to the oversight and direction of the Chief Executive Officer. Executive shall perform Executive’s duties under this Agreement principally out of the Company’s office in the Rockville, Maryland area or such other location as assigned. In addition, Executive shall make such business trips to such places as may be necessary or advisable for the efficient operations of the Company.</w:t>
      </w:r>
    </w:p>
    <w:p>
      <w:pPr>
        <w:spacing w:after="0" w:line="186" w:lineRule="exact"/>
        <w:rPr>
          <w:sz w:val="20"/>
          <w:szCs w:val="20"/>
          <w:color w:val="auto"/>
        </w:rPr>
      </w:pPr>
    </w:p>
    <w:p>
      <w:pPr>
        <w:ind w:right="800" w:firstLine="980"/>
        <w:spacing w:after="0" w:line="274"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Company Policies and Benefits</w:t>
      </w:r>
      <w:r>
        <w:rPr>
          <w:rFonts w:ascii="Arial" w:cs="Arial" w:eastAsia="Arial" w:hAnsi="Arial"/>
          <w:sz w:val="18"/>
          <w:szCs w:val="18"/>
          <w:color w:val="auto"/>
        </w:rPr>
        <w:t>. The employment relationship between the parties shall also continue to be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personnel policies and procedures</w:t>
      </w:r>
    </w:p>
    <w:p>
      <w:pPr>
        <w:sectPr>
          <w:pgSz w:w="11900" w:h="16838" w:orient="portrait"/>
          <w:cols w:equalWidth="0" w:num="1">
            <w:col w:w="10880"/>
          </w:cols>
          <w:pgMar w:left="500" w:top="121" w:right="519" w:bottom="1440" w:gutter="0" w:footer="0" w:header="0"/>
        </w:sectPr>
      </w:pPr>
    </w:p>
    <w:bookmarkStart w:id="77" w:name="page78"/>
    <w:bookmarkEnd w:id="77"/>
    <w:p>
      <w:pPr>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 they may be interpreted, adopted, revised or deleted from time to time in the Company’s sole discretion. Executive will be eligible to participate on the same basis as similarly-situated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264" w:lineRule="exact"/>
        <w:rPr>
          <w:sz w:val="20"/>
          <w:szCs w:val="20"/>
          <w:color w:val="auto"/>
        </w:rPr>
      </w:pPr>
    </w:p>
    <w:p>
      <w:pPr>
        <w:ind w:left="740" w:hanging="305"/>
        <w:spacing w:after="0"/>
        <w:tabs>
          <w:tab w:leader="none" w:pos="7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OMPENSATION</w:t>
      </w:r>
      <w:r>
        <w:rPr>
          <w:rFonts w:ascii="Arial" w:cs="Arial" w:eastAsia="Arial" w:hAnsi="Arial"/>
          <w:sz w:val="18"/>
          <w:szCs w:val="18"/>
          <w:b w:val="1"/>
          <w:bCs w:val="1"/>
          <w:color w:val="auto"/>
        </w:rPr>
        <w:t>.</w:t>
      </w:r>
    </w:p>
    <w:p>
      <w:pPr>
        <w:spacing w:after="0" w:line="113" w:lineRule="exact"/>
        <w:rPr>
          <w:sz w:val="20"/>
          <w:szCs w:val="20"/>
          <w:color w:val="auto"/>
        </w:rPr>
      </w:pPr>
    </w:p>
    <w:p>
      <w:pPr>
        <w:ind w:right="40" w:firstLine="980"/>
        <w:spacing w:after="0" w:line="308"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Salary</w:t>
      </w:r>
      <w:r>
        <w:rPr>
          <w:rFonts w:ascii="Arial" w:cs="Arial" w:eastAsia="Arial" w:hAnsi="Arial"/>
          <w:sz w:val="16"/>
          <w:szCs w:val="16"/>
          <w:color w:val="auto"/>
        </w:rPr>
        <w:t>. Commencing on July 1, 2021, Executive shall receive for Executive’s services to be rendered hereunder an initial annualized</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of $370,000, subject to review and adjustment from time to time by the Company in its sole discretion (“</w:t>
      </w: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The Base Salary is payable subject to standard federal and state payroll withholding requirements in accordance with the Company’s standard payroll practices.</w:t>
      </w:r>
    </w:p>
    <w:p>
      <w:pPr>
        <w:spacing w:after="0" w:line="146" w:lineRule="exact"/>
        <w:rPr>
          <w:sz w:val="20"/>
          <w:szCs w:val="20"/>
          <w:color w:val="auto"/>
        </w:rPr>
      </w:pPr>
    </w:p>
    <w:p>
      <w:pPr>
        <w:ind w:right="40" w:firstLine="980"/>
        <w:spacing w:after="0" w:line="265"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Annual Bonus</w:t>
      </w:r>
      <w:r>
        <w:rPr>
          <w:rFonts w:ascii="Arial" w:cs="Arial" w:eastAsia="Arial" w:hAnsi="Arial"/>
          <w:sz w:val="17"/>
          <w:szCs w:val="17"/>
          <w:color w:val="auto"/>
        </w:rPr>
        <w:t>. Commencing as of the Effective Date, Executive shall be eligible to receive an annual performance bonus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2.2 of up to 50% (the “</w:t>
      </w:r>
      <w:r>
        <w:rPr>
          <w:rFonts w:ascii="Arial" w:cs="Arial" w:eastAsia="Arial" w:hAnsi="Arial"/>
          <w:sz w:val="17"/>
          <w:szCs w:val="17"/>
          <w:b w:val="1"/>
          <w:bCs w:val="1"/>
          <w:i w:val="1"/>
          <w:iCs w:val="1"/>
          <w:color w:val="auto"/>
        </w:rPr>
        <w:t>Target Percentage</w:t>
      </w:r>
      <w:r>
        <w:rPr>
          <w:rFonts w:ascii="Arial" w:cs="Arial" w:eastAsia="Arial" w:hAnsi="Arial"/>
          <w:sz w:val="17"/>
          <w:szCs w:val="17"/>
          <w:color w:val="auto"/>
        </w:rPr>
        <w:t>”) of Executive’s then-current Base Salary (“</w:t>
      </w:r>
      <w:r>
        <w:rPr>
          <w:rFonts w:ascii="Arial" w:cs="Arial" w:eastAsia="Arial" w:hAnsi="Arial"/>
          <w:sz w:val="17"/>
          <w:szCs w:val="17"/>
          <w:b w:val="1"/>
          <w:bCs w:val="1"/>
          <w:i w:val="1"/>
          <w:iCs w:val="1"/>
          <w:color w:val="auto"/>
        </w:rPr>
        <w:t>Annual Bonus</w:t>
      </w:r>
      <w:r>
        <w:rPr>
          <w:rFonts w:ascii="Arial" w:cs="Arial" w:eastAsia="Arial" w:hAnsi="Arial"/>
          <w:sz w:val="17"/>
          <w:szCs w:val="17"/>
          <w:color w:val="auto"/>
        </w:rPr>
        <w:t>”). The Annual Bonus will be based upon the assessment of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(or a committee thereof) of Executive’s performance and the Company’s attainment of targeted goals over the applicable calendar year. The Annual Bonus, if any, will be subject to applicable payroll deductions and withholdings. Except as stated herein for the Annual Bonus attributable to 2021, the annual period over which performance is measured for purposes of the Annual Bonus is January 1 through December 31. Following the close of each calendar year, the Company will determine whether Executive has earned the Annual Bonus, and the amount of any Annual Bonus (which can be less than the Target Percentage), based on the set criteria. No amount of the Annual Bonus is guaranteed, and, except as otherwise stated in Sections 6.2, Executive must be an employee in good standing on the Annual Bonus payment date to be eligible to receive an Annual Bonus and no partial or prorated bonuses will be provided. Executive’s eligibility for an Annual Bonus is subject to change in the discretion of the Board (or any authorized committee thereof). Executive’s Annual Bonus, if any, attributable to 2021 under this Section 2.2 shall be prorated for number of days between the Effective Date and December 31, 2021. For the avoidance of doubt, Executive’s eligibility for any annual bonus for the portion of 2021 prior to the Effective Date remains subject to the terms in effect for such time period and is not affected by this Agreement.</w:t>
      </w:r>
    </w:p>
    <w:p>
      <w:pPr>
        <w:spacing w:after="0" w:line="183" w:lineRule="exact"/>
        <w:rPr>
          <w:sz w:val="20"/>
          <w:szCs w:val="20"/>
          <w:color w:val="auto"/>
        </w:rPr>
      </w:pPr>
    </w:p>
    <w:p>
      <w:pPr>
        <w:jc w:val="both"/>
        <w:ind w:right="80" w:firstLine="980"/>
        <w:spacing w:after="0" w:line="261"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Future Equity Awards</w:t>
      </w:r>
      <w:r>
        <w:rPr>
          <w:rFonts w:ascii="Arial" w:cs="Arial" w:eastAsia="Arial" w:hAnsi="Arial"/>
          <w:sz w:val="18"/>
          <w:szCs w:val="18"/>
          <w:color w:val="auto"/>
        </w:rPr>
        <w:t>. Executive remains eligible to be considered for future equity awards as may be determined by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a committee of the Board in its discretion in accordance with the terms of any applicable equity plan or arrangement that may be in effect from time to time.</w:t>
      </w:r>
    </w:p>
    <w:p>
      <w:pPr>
        <w:spacing w:after="0" w:line="179" w:lineRule="exact"/>
        <w:rPr>
          <w:sz w:val="20"/>
          <w:szCs w:val="20"/>
          <w:color w:val="auto"/>
        </w:rPr>
      </w:pPr>
    </w:p>
    <w:p>
      <w:pPr>
        <w:ind w:right="280" w:firstLine="980"/>
        <w:spacing w:after="0" w:line="339"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u w:val="single" w:color="auto"/>
          <w:color w:val="auto"/>
        </w:rPr>
        <w:t>Expense Reimbursement</w:t>
      </w:r>
      <w:r>
        <w:rPr>
          <w:rFonts w:ascii="Arial" w:cs="Arial" w:eastAsia="Arial" w:hAnsi="Arial"/>
          <w:sz w:val="16"/>
          <w:szCs w:val="16"/>
          <w:color w:val="auto"/>
        </w:rPr>
        <w:t>. The Company will reimburse Executive for all reasonable, documented business expenses incurred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Executive’s services hereunder, in accordance with the Company’s business expense reimbursement policies and</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500" w:top="272" w:right="519" w:bottom="1440" w:gutter="0" w:footer="0" w:header="0"/>
        </w:sectPr>
      </w:pPr>
    </w:p>
    <w:bookmarkStart w:id="78" w:name="page79"/>
    <w:bookmarkEnd w:id="78"/>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procedures as may be in effect from time to time. For the avoidance of doubt, to the extent that any reimbursements payable to Executive are subject to the provisions of Section 409A (as defined below): (i) any such reimbursements will be paid no later than December 31 of the year following the year in which the expense was incurred, (ii) the amount of expenses reimbursed in one year will not affect the amount eligible for reimbursement in any subsequent year, and (iii) the right to reimbursement under this Agreement will not be subject to liquidation or exchange for another benefit.</w:t>
      </w:r>
    </w:p>
    <w:p>
      <w:pPr>
        <w:spacing w:after="0" w:line="156" w:lineRule="exact"/>
        <w:rPr>
          <w:sz w:val="20"/>
          <w:szCs w:val="20"/>
          <w:color w:val="auto"/>
        </w:rPr>
      </w:pPr>
    </w:p>
    <w:p>
      <w:pPr>
        <w:ind w:left="740" w:hanging="305"/>
        <w:spacing w:after="0"/>
        <w:tabs>
          <w:tab w:leader="none" w:pos="7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ONFIDENTIAL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NFORMATION</w:t>
      </w:r>
      <w:r>
        <w:rPr>
          <w:rFonts w:ascii="Arial" w:cs="Arial" w:eastAsia="Arial" w:hAnsi="Arial"/>
          <w:sz w:val="18"/>
          <w:szCs w:val="18"/>
          <w:b w:val="1"/>
          <w:bCs w:val="1"/>
          <w:u w:val="single" w:color="auto"/>
          <w:color w:val="auto"/>
        </w:rPr>
        <w:t>, I</w:t>
      </w:r>
      <w:r>
        <w:rPr>
          <w:rFonts w:ascii="Arial" w:cs="Arial" w:eastAsia="Arial" w:hAnsi="Arial"/>
          <w:sz w:val="14"/>
          <w:szCs w:val="14"/>
          <w:b w:val="1"/>
          <w:bCs w:val="1"/>
          <w:u w:val="single" w:color="auto"/>
          <w:color w:val="auto"/>
        </w:rPr>
        <w:t>NVENTIONS</w:t>
      </w:r>
      <w:r>
        <w:rPr>
          <w:rFonts w:ascii="Arial" w:cs="Arial" w:eastAsia="Arial" w:hAnsi="Arial"/>
          <w:sz w:val="18"/>
          <w:szCs w:val="18"/>
          <w:b w:val="1"/>
          <w:bCs w:val="1"/>
          <w:u w:val="single" w:color="auto"/>
          <w:color w:val="auto"/>
        </w:rPr>
        <w:t>, 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OLICITATION</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4"/>
          <w:szCs w:val="14"/>
          <w:b w:val="1"/>
          <w:bCs w:val="1"/>
          <w:u w:val="single" w:color="auto"/>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OMPETITION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w:t>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Executive’s continued employment with the Company, Executive will continue to receive and continue to have access to the Company’s confidential information and trade secrets. Accordingly, and in consideration of the benefits that Executive is eligible to receive under this Agreement, Executive agrees to sign the Company’s Employee Confidential Information, Inventions, Non-Solicitation and Non-Competition Agreement (the “</w:t>
      </w:r>
      <w:r>
        <w:rPr>
          <w:rFonts w:ascii="Arial" w:cs="Arial" w:eastAsia="Arial" w:hAnsi="Arial"/>
          <w:sz w:val="18"/>
          <w:szCs w:val="18"/>
          <w:b w:val="1"/>
          <w:bCs w:val="1"/>
          <w:i w:val="1"/>
          <w:iCs w:val="1"/>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Information Agreement</w:t>
      </w:r>
      <w:r>
        <w:rPr>
          <w:rFonts w:ascii="Arial" w:cs="Arial" w:eastAsia="Arial" w:hAnsi="Arial"/>
          <w:sz w:val="18"/>
          <w:szCs w:val="18"/>
          <w:color w:val="auto"/>
        </w:rPr>
        <w:t>”) attached hereto as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The Confidential Information Agreement may be amended by the parties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regard to this Agreement. The Confidential Information Agreement contains provisions that are intended by the parties to survive and do survive termination or expiration of this Agreement.</w:t>
      </w:r>
    </w:p>
    <w:p>
      <w:pPr>
        <w:spacing w:after="0" w:line="189" w:lineRule="exact"/>
        <w:rPr>
          <w:sz w:val="20"/>
          <w:szCs w:val="20"/>
          <w:color w:val="auto"/>
        </w:rPr>
      </w:pPr>
    </w:p>
    <w:p>
      <w:pPr>
        <w:ind w:right="20" w:firstLine="435"/>
        <w:spacing w:after="0" w:line="269" w:lineRule="auto"/>
        <w:tabs>
          <w:tab w:leader="none" w:pos="746"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t>
      </w:r>
      <w:r>
        <w:rPr>
          <w:rFonts w:ascii="Arial" w:cs="Arial" w:eastAsia="Arial" w:hAnsi="Arial"/>
          <w:sz w:val="13"/>
          <w:szCs w:val="13"/>
          <w:b w:val="1"/>
          <w:bCs w:val="1"/>
          <w:u w:val="single" w:color="auto"/>
          <w:color w:val="auto"/>
        </w:rPr>
        <w:t>UTSIDE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3"/>
          <w:szCs w:val="13"/>
          <w:b w:val="1"/>
          <w:bCs w:val="1"/>
          <w:u w:val="single" w:color="auto"/>
          <w:color w:val="auto"/>
        </w:rPr>
        <w:t>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with the prior written consent of the Board, Executive will not, while employed by the Company, undertake or</w:t>
      </w:r>
      <w:r>
        <w:rPr>
          <w:rFonts w:ascii="Arial" w:cs="Arial" w:eastAsia="Arial" w:hAnsi="Arial"/>
          <w:sz w:val="17"/>
          <w:szCs w:val="17"/>
          <w:b w:val="1"/>
          <w:bCs w:val="1"/>
          <w:color w:val="auto"/>
        </w:rPr>
        <w:t xml:space="preserve"> </w:t>
      </w:r>
      <w:r>
        <w:rPr>
          <w:rFonts w:ascii="Arial" w:cs="Arial" w:eastAsia="Arial" w:hAnsi="Arial"/>
          <w:sz w:val="17"/>
          <w:szCs w:val="17"/>
          <w:color w:val="auto"/>
        </w:rPr>
        <w:t>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Executive’s participation in professional and academic activities; and (iv) such other activities as may be specifically approved by the Board. This restriction shall not, however, preclude Executive from managing personal investments or owning less than one percent (1%) of the total outstanding shares of a publicly-traded company.</w:t>
      </w:r>
    </w:p>
    <w:p>
      <w:pPr>
        <w:spacing w:after="0" w:line="174" w:lineRule="exact"/>
        <w:rPr>
          <w:rFonts w:ascii="Arial" w:cs="Arial" w:eastAsia="Arial" w:hAnsi="Arial"/>
          <w:sz w:val="17"/>
          <w:szCs w:val="17"/>
          <w:b w:val="1"/>
          <w:bCs w:val="1"/>
          <w:color w:val="auto"/>
        </w:rPr>
      </w:pPr>
    </w:p>
    <w:p>
      <w:pPr>
        <w:ind w:right="80" w:firstLine="435"/>
        <w:spacing w:after="0" w:line="254" w:lineRule="auto"/>
        <w:tabs>
          <w:tab w:leader="none" w:pos="746"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ONFLICT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XISTING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represents that Executive’s continued performance of all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5" w:lineRule="exact"/>
        <w:rPr>
          <w:rFonts w:ascii="Arial" w:cs="Arial" w:eastAsia="Arial" w:hAnsi="Arial"/>
          <w:sz w:val="18"/>
          <w:szCs w:val="18"/>
          <w:b w:val="1"/>
          <w:bCs w:val="1"/>
          <w:color w:val="auto"/>
        </w:rPr>
      </w:pPr>
    </w:p>
    <w:p>
      <w:pPr>
        <w:ind w:left="740" w:hanging="305"/>
        <w:spacing w:after="0"/>
        <w:tabs>
          <w:tab w:leader="none" w:pos="74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w:t>
      </w:r>
      <w:r>
        <w:rPr>
          <w:rFonts w:ascii="Arial" w:cs="Arial" w:eastAsia="Arial" w:hAnsi="Arial"/>
          <w:sz w:val="13"/>
          <w:szCs w:val="13"/>
          <w:b w:val="1"/>
          <w:bCs w:val="1"/>
          <w:u w:val="single" w:color="auto"/>
          <w:color w:val="auto"/>
        </w:rPr>
        <w:t>ERMINATION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w:t>
      </w:r>
      <w:r>
        <w:rPr>
          <w:rFonts w:ascii="Arial" w:cs="Arial" w:eastAsia="Arial" w:hAnsi="Arial"/>
          <w:sz w:val="13"/>
          <w:szCs w:val="13"/>
          <w:b w:val="1"/>
          <w:bCs w:val="1"/>
          <w:u w:val="single" w:color="auto"/>
          <w:color w:val="auto"/>
        </w:rPr>
        <w:t>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w:t>
      </w:r>
      <w:r>
        <w:rPr>
          <w:rFonts w:ascii="Arial" w:cs="Arial" w:eastAsia="Arial" w:hAnsi="Arial"/>
          <w:sz w:val="13"/>
          <w:szCs w:val="13"/>
          <w:b w:val="1"/>
          <w:bCs w:val="1"/>
          <w:u w:val="single" w:color="auto"/>
          <w:color w:val="auto"/>
        </w:rPr>
        <w:t>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acknowledge that Executive’s employment relationship with the Company continues to be</w:t>
      </w:r>
    </w:p>
    <w:p>
      <w:pPr>
        <w:spacing w:after="0" w:line="35"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at-will. Either Executive or the Company may terminate the employment relationship at any time, with or without Cause. The provisions in this Section govern the amount of compensation, if any, to be provided to Executive upon termination of employment and do not alter this at-will status.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500" w:top="272" w:right="519" w:bottom="1440" w:gutter="0" w:footer="0" w:header="0"/>
        </w:sectPr>
      </w:pPr>
    </w:p>
    <w:bookmarkStart w:id="79" w:name="page80"/>
    <w:bookmarkEnd w:id="79"/>
    <w:p>
      <w:pPr>
        <w:ind w:right="600" w:firstLine="980"/>
        <w:spacing w:after="0" w:line="27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6.1 </w:t>
      </w:r>
      <w:r>
        <w:rPr>
          <w:rFonts w:ascii="Arial" w:cs="Arial" w:eastAsia="Arial" w:hAnsi="Arial"/>
          <w:sz w:val="18"/>
          <w:szCs w:val="18"/>
          <w:b w:val="1"/>
          <w:bCs w:val="1"/>
          <w:u w:val="single" w:color="auto"/>
          <w:color w:val="auto"/>
        </w:rPr>
        <w:t>Termination by the Company Without Cause or Resignation by Executive for Good Reason (not in Connection with 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w:t>
      </w:r>
    </w:p>
    <w:p>
      <w:pPr>
        <w:spacing w:after="0" w:line="65" w:lineRule="exact"/>
        <w:rPr>
          <w:sz w:val="20"/>
          <w:szCs w:val="20"/>
          <w:color w:val="auto"/>
        </w:rPr>
      </w:pPr>
    </w:p>
    <w:p>
      <w:pPr>
        <w:ind w:firstLine="1416"/>
        <w:spacing w:after="0" w:line="274" w:lineRule="auto"/>
        <w:tabs>
          <w:tab w:leader="none" w:pos="1797" w:val="left"/>
        </w:tabs>
        <w:numPr>
          <w:ilvl w:val="0"/>
          <w:numId w:val="107"/>
        </w:numPr>
        <w:rPr>
          <w:rFonts w:ascii="Arial" w:cs="Arial" w:eastAsia="Arial" w:hAnsi="Arial"/>
          <w:sz w:val="17"/>
          <w:szCs w:val="17"/>
          <w:b w:val="1"/>
          <w:bCs w:val="1"/>
          <w:color w:val="auto"/>
        </w:rPr>
      </w:pPr>
      <w:r>
        <w:rPr>
          <w:rFonts w:ascii="Arial" w:cs="Arial" w:eastAsia="Arial" w:hAnsi="Arial"/>
          <w:sz w:val="17"/>
          <w:szCs w:val="17"/>
          <w:color w:val="auto"/>
        </w:rPr>
        <w:t>The Company shall have the right to terminate Executive’s employment with the Company pursuant to this Section 6.1 at any time without “Cause” (as defined in Section 6.3(a) below) by giving notice as described in Section 6.7 of this Agreement. A termination pursuant to Section 6.5 or 6.6 below is not a termination without “Cause” for purposes of receiving the Non-CIC Severance Benefits described in (and as defined in) this Section 6.1 or the CIC Severance Benefits described in (and as defined in) Section 6.2.</w:t>
      </w:r>
    </w:p>
    <w:p>
      <w:pPr>
        <w:spacing w:after="0" w:line="174" w:lineRule="exact"/>
        <w:rPr>
          <w:rFonts w:ascii="Arial" w:cs="Arial" w:eastAsia="Arial" w:hAnsi="Arial"/>
          <w:sz w:val="17"/>
          <w:szCs w:val="17"/>
          <w:b w:val="1"/>
          <w:bCs w:val="1"/>
          <w:color w:val="auto"/>
        </w:rPr>
      </w:pPr>
    </w:p>
    <w:p>
      <w:pPr>
        <w:ind w:right="40" w:firstLine="1416"/>
        <w:spacing w:after="0" w:line="268" w:lineRule="auto"/>
        <w:tabs>
          <w:tab w:leader="none" w:pos="1810" w:val="left"/>
        </w:tabs>
        <w:numPr>
          <w:ilvl w:val="0"/>
          <w:numId w:val="107"/>
        </w:numPr>
        <w:rPr>
          <w:rFonts w:ascii="Arial" w:cs="Arial" w:eastAsia="Arial" w:hAnsi="Arial"/>
          <w:sz w:val="17"/>
          <w:szCs w:val="17"/>
          <w:b w:val="1"/>
          <w:bCs w:val="1"/>
          <w:color w:val="auto"/>
        </w:rPr>
      </w:pPr>
      <w:r>
        <w:rPr>
          <w:rFonts w:ascii="Arial" w:cs="Arial" w:eastAsia="Arial" w:hAnsi="Arial"/>
          <w:sz w:val="17"/>
          <w:szCs w:val="17"/>
          <w:color w:val="auto"/>
        </w:rPr>
        <w:t>If the Company terminates Executive’s employment at any time without Cause or Executive terminates Executive’s employment with the Company for “Good Reason” (as defined in Section 6.1(g) below), in either case, at any time except during the Change in Control Measurement Period (both “Change in Control” and “Change in Control Measurement Period” as defined in Section 6.2 below), then Executive shall be entitled to receive the Accrued Obligations (defined in 6.1(d) below). If such termination without Cause or for Good Reason not occurring during the Change in Control Measurement Period constitutes a “separation from service” (as defined under Treasury Regulation Section 1.409A-1(h), without regard to any alternative definition thereunder, a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Executive complies with the obligations in Section 6.1(c) below, Executive shall also be eligible to receive the following “</w:t>
      </w:r>
      <w:r>
        <w:rPr>
          <w:rFonts w:ascii="Arial" w:cs="Arial" w:eastAsia="Arial" w:hAnsi="Arial"/>
          <w:sz w:val="17"/>
          <w:szCs w:val="17"/>
          <w:b w:val="1"/>
          <w:bCs w:val="1"/>
          <w:i w:val="1"/>
          <w:iCs w:val="1"/>
          <w:color w:val="auto"/>
        </w:rPr>
        <w:t>Non-CIC Severance Benefits</w:t>
      </w:r>
      <w:r>
        <w:rPr>
          <w:rFonts w:ascii="Arial" w:cs="Arial" w:eastAsia="Arial" w:hAnsi="Arial"/>
          <w:sz w:val="17"/>
          <w:szCs w:val="17"/>
          <w:color w:val="auto"/>
        </w:rPr>
        <w:t>:”</w:t>
      </w:r>
    </w:p>
    <w:p>
      <w:pPr>
        <w:spacing w:after="0" w:line="179" w:lineRule="exact"/>
        <w:rPr>
          <w:rFonts w:ascii="Arial" w:cs="Arial" w:eastAsia="Arial" w:hAnsi="Arial"/>
          <w:sz w:val="17"/>
          <w:szCs w:val="17"/>
          <w:b w:val="1"/>
          <w:bCs w:val="1"/>
          <w:color w:val="auto"/>
        </w:rPr>
      </w:pPr>
    </w:p>
    <w:p>
      <w:pPr>
        <w:ind w:firstLine="1960"/>
        <w:spacing w:after="0" w:line="292" w:lineRule="auto"/>
        <w:tabs>
          <w:tab w:leader="none" w:pos="2302"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Company will pay Executive severance pay in the form of continuation of Executive’s then-current Base Salary for twelve (12) months (the “</w:t>
      </w:r>
      <w:r>
        <w:rPr>
          <w:rFonts w:ascii="Arial" w:cs="Arial" w:eastAsia="Arial" w:hAnsi="Arial"/>
          <w:sz w:val="16"/>
          <w:szCs w:val="16"/>
          <w:b w:val="1"/>
          <w:bCs w:val="1"/>
          <w:i w:val="1"/>
          <w:iCs w:val="1"/>
          <w:color w:val="auto"/>
        </w:rPr>
        <w:t>Non-CIC Severance</w:t>
      </w:r>
      <w:r>
        <w:rPr>
          <w:rFonts w:ascii="Arial" w:cs="Arial" w:eastAsia="Arial" w:hAnsi="Arial"/>
          <w:sz w:val="16"/>
          <w:szCs w:val="16"/>
          <w:color w:val="auto"/>
        </w:rPr>
        <w:t xml:space="preserve">”). The Non-CIC Severance will be paid in substantially equal installments on the Company’s regular payroll schedule following the termination date, subject to standard deductions and withholdings;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portion of the Non-CIC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w:t>
      </w:r>
    </w:p>
    <w:p>
      <w:pPr>
        <w:spacing w:after="0" w:line="161" w:lineRule="exact"/>
        <w:rPr>
          <w:rFonts w:ascii="Arial" w:cs="Arial" w:eastAsia="Arial" w:hAnsi="Arial"/>
          <w:sz w:val="16"/>
          <w:szCs w:val="16"/>
          <w:color w:val="auto"/>
        </w:rPr>
      </w:pPr>
    </w:p>
    <w:p>
      <w:pPr>
        <w:ind w:right="20" w:firstLine="1960"/>
        <w:spacing w:after="0" w:line="284" w:lineRule="auto"/>
        <w:tabs>
          <w:tab w:leader="none" w:pos="235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twelve (12)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Arial" w:cs="Arial" w:eastAsia="Arial" w:hAnsi="Arial"/>
          <w:sz w:val="16"/>
          <w:szCs w:val="16"/>
          <w:b w:val="1"/>
          <w:bCs w:val="1"/>
          <w:i w:val="1"/>
          <w:iCs w:val="1"/>
          <w:color w:val="auto"/>
        </w:rPr>
        <w:t>Non-CIC COBRA Payment Period</w:t>
      </w:r>
      <w:r>
        <w:rPr>
          <w:rFonts w:ascii="Arial" w:cs="Arial" w:eastAsia="Arial" w:hAnsi="Arial"/>
          <w:sz w:val="16"/>
          <w:szCs w:val="16"/>
          <w:color w:val="auto"/>
        </w:rPr>
        <w:t>”)). Notwithstanding the foregoing, if at any time the Company determines that its payment of COBRA, or state continuation coverage, premiums on Executive’s behalf would result in a violation of applicable law (including, but not limited to, the 2010 Patient Protection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500" w:top="268" w:right="519" w:bottom="1440" w:gutter="0" w:footer="0" w:header="0"/>
        </w:sectPr>
      </w:pPr>
    </w:p>
    <w:bookmarkStart w:id="80" w:name="page81"/>
    <w:bookmarkEnd w:id="80"/>
    <w:p>
      <w:pPr>
        <w:ind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and Affordable Care Act, as amended by the 2010 Health Care and Education Reconciliation Act), then in lieu of paying such premiums pursuant to this Section, the Company shall pay Executive on the last day of each remaining month of the Non-CIC COBRA Payment Period, a fully taxable cash payment equal to the COBRA or state continuation coverage premium for such month, subject to applicable tax withholding, for the remainder of the Non-CIC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 and</w:t>
      </w:r>
    </w:p>
    <w:p>
      <w:pPr>
        <w:spacing w:after="0" w:line="190" w:lineRule="exact"/>
        <w:rPr>
          <w:sz w:val="20"/>
          <w:szCs w:val="20"/>
          <w:color w:val="auto"/>
        </w:rPr>
      </w:pPr>
    </w:p>
    <w:p>
      <w:pPr>
        <w:ind w:right="220" w:firstLine="1960"/>
        <w:spacing w:after="0" w:line="253" w:lineRule="auto"/>
        <w:tabs>
          <w:tab w:leader="none" w:pos="2401"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Company will pay Executive an amount equal to the Annual Bonus under Section 2.2 for the calendar year in which Executive’s termination occurs, prorated for the actual time worked in that calendar year through the Executive’s date of Separation of Service,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w:t>
      </w:r>
    </w:p>
    <w:p>
      <w:pPr>
        <w:spacing w:after="0" w:line="189" w:lineRule="exact"/>
        <w:rPr>
          <w:rFonts w:ascii="Arial" w:cs="Arial" w:eastAsia="Arial" w:hAnsi="Arial"/>
          <w:sz w:val="18"/>
          <w:szCs w:val="18"/>
          <w:color w:val="auto"/>
        </w:rPr>
      </w:pPr>
    </w:p>
    <w:p>
      <w:pPr>
        <w:ind w:firstLine="1416"/>
        <w:spacing w:after="0" w:line="280" w:lineRule="auto"/>
        <w:tabs>
          <w:tab w:leader="none" w:pos="1790" w:val="left"/>
        </w:tabs>
        <w:numPr>
          <w:ilvl w:val="1"/>
          <w:numId w:val="109"/>
        </w:numPr>
        <w:rPr>
          <w:rFonts w:ascii="Arial" w:cs="Arial" w:eastAsia="Arial" w:hAnsi="Arial"/>
          <w:sz w:val="16"/>
          <w:szCs w:val="16"/>
          <w:b w:val="1"/>
          <w:bCs w:val="1"/>
          <w:color w:val="auto"/>
        </w:rPr>
      </w:pPr>
      <w:r>
        <w:rPr>
          <w:rFonts w:ascii="Arial" w:cs="Arial" w:eastAsia="Arial" w:hAnsi="Arial"/>
          <w:sz w:val="16"/>
          <w:szCs w:val="16"/>
          <w:color w:val="auto"/>
        </w:rPr>
        <w:t>Executive will be paid all of the Accrued Obligations on the Company’s first administratively feasible payroll date after Executive’s date of termination from employment or earlier if required by law. Executive shall receive the Non-CIC Severance Benefits pursuant to Section 6.1(b) or the CIC Severance Benefits pursuant to Section 6.2(a) of this Agreement if: (i) by the sixtieth (60th) day following the date of Executive’s Separation from Service, Executive has signed and delivered to the Company a separation agreement containing an effective, general release of claims in favor of the Company and its affiliates and representatives, in the form presented by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which cannot be revoked in whole or part by such date (the date that the Release can no longer be revoked is referred to as the “</w:t>
      </w:r>
      <w:r>
        <w:rPr>
          <w:rFonts w:ascii="Arial" w:cs="Arial" w:eastAsia="Arial" w:hAnsi="Arial"/>
          <w:sz w:val="16"/>
          <w:szCs w:val="16"/>
          <w:b w:val="1"/>
          <w:bCs w:val="1"/>
          <w:i w:val="1"/>
          <w:iCs w:val="1"/>
          <w:color w:val="auto"/>
        </w:rPr>
        <w:t>Release Effective Date</w:t>
      </w:r>
      <w:r>
        <w:rPr>
          <w:rFonts w:ascii="Arial" w:cs="Arial" w:eastAsia="Arial" w:hAnsi="Arial"/>
          <w:sz w:val="16"/>
          <w:szCs w:val="16"/>
          <w:color w:val="auto"/>
        </w:rPr>
        <w:t>”); and (ii) if Executive holds any other positions with the Company or any Affiliate, including a position on the Board, Executive resigns such position(s) to be effective no later than the date of Executive’s termination date (or such other date as requested by the Board); (iii) Executive returns all Company property;</w:t>
      </w:r>
    </w:p>
    <w:p>
      <w:pPr>
        <w:spacing w:after="0" w:line="3" w:lineRule="exact"/>
        <w:rPr>
          <w:rFonts w:ascii="Arial" w:cs="Arial" w:eastAsia="Arial" w:hAnsi="Arial"/>
          <w:sz w:val="16"/>
          <w:szCs w:val="16"/>
          <w:b w:val="1"/>
          <w:bCs w:val="1"/>
          <w:color w:val="auto"/>
        </w:rPr>
      </w:pPr>
    </w:p>
    <w:p>
      <w:pPr>
        <w:jc w:val="both"/>
        <w:ind w:right="340"/>
        <w:spacing w:after="0" w:line="316" w:lineRule="auto"/>
        <w:tabs>
          <w:tab w:leader="none" w:pos="30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Executive complies with all post-termination obligations under this Agreement and the Confidential Information Agreement; and (v) Executive complies with the terms of the Release, including without limitation any non-disparagement and confidentiality provisions contained in the Release.</w:t>
      </w:r>
    </w:p>
    <w:p>
      <w:pPr>
        <w:spacing w:after="0" w:line="142" w:lineRule="exact"/>
        <w:rPr>
          <w:rFonts w:ascii="Arial" w:cs="Arial" w:eastAsia="Arial" w:hAnsi="Arial"/>
          <w:sz w:val="16"/>
          <w:szCs w:val="16"/>
          <w:color w:val="auto"/>
        </w:rPr>
      </w:pPr>
    </w:p>
    <w:p>
      <w:pPr>
        <w:ind w:firstLine="1416"/>
        <w:spacing w:after="0" w:line="255" w:lineRule="auto"/>
        <w:tabs>
          <w:tab w:leader="none" w:pos="1810" w:val="left"/>
        </w:tabs>
        <w:numPr>
          <w:ilvl w:val="1"/>
          <w:numId w:val="110"/>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Accrued Obligations</w:t>
      </w:r>
      <w:r>
        <w:rPr>
          <w:rFonts w:ascii="Arial" w:cs="Arial" w:eastAsia="Arial" w:hAnsi="Arial"/>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87" w:lineRule="exact"/>
        <w:rPr>
          <w:rFonts w:ascii="Arial" w:cs="Arial" w:eastAsia="Arial" w:hAnsi="Arial"/>
          <w:sz w:val="18"/>
          <w:szCs w:val="18"/>
          <w:b w:val="1"/>
          <w:bCs w:val="1"/>
          <w:color w:val="auto"/>
        </w:rPr>
      </w:pPr>
    </w:p>
    <w:p>
      <w:pPr>
        <w:ind w:right="140" w:firstLine="1416"/>
        <w:spacing w:after="0" w:line="306" w:lineRule="auto"/>
        <w:tabs>
          <w:tab w:leader="none" w:pos="1787" w:val="left"/>
        </w:tabs>
        <w:numPr>
          <w:ilvl w:val="1"/>
          <w:numId w:val="110"/>
        </w:numPr>
        <w:rPr>
          <w:rFonts w:ascii="Arial" w:cs="Arial" w:eastAsia="Arial" w:hAnsi="Arial"/>
          <w:sz w:val="16"/>
          <w:szCs w:val="16"/>
          <w:b w:val="1"/>
          <w:bCs w:val="1"/>
          <w:color w:val="auto"/>
        </w:rPr>
      </w:pPr>
      <w:r>
        <w:rPr>
          <w:rFonts w:ascii="Arial" w:cs="Arial" w:eastAsia="Arial" w:hAnsi="Arial"/>
          <w:sz w:val="16"/>
          <w:szCs w:val="16"/>
          <w:color w:val="auto"/>
        </w:rPr>
        <w:t>The Non-CIC Severance Benefits provided to Executive pursuant to this Section 6.1 are in lieu of, and not in addition to, any benefits to which Executive may otherwise be entitled under any Company severance plan, policy, program, or prior agreement with the Company. For avoidance of doubt, Executive shall not be eligible for both the CIC Severance Benefits and the Non-CIC Severance Benefits.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00" w:top="272" w:right="519" w:bottom="1440" w:gutter="0" w:footer="0" w:header="0"/>
        </w:sectPr>
      </w:pPr>
    </w:p>
    <w:bookmarkStart w:id="81" w:name="page82"/>
    <w:bookmarkEnd w:id="81"/>
    <w:p>
      <w:pPr>
        <w:jc w:val="both"/>
        <w:ind w:right="60" w:firstLine="1416"/>
        <w:spacing w:after="0" w:line="281" w:lineRule="auto"/>
        <w:tabs>
          <w:tab w:leader="none" w:pos="1761" w:val="left"/>
        </w:tabs>
        <w:numPr>
          <w:ilvl w:val="1"/>
          <w:numId w:val="11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damages caused by the termination of Executive’s employment without Cause not in connection with a Change in Control would be difficult to ascertain; therefore, the Non-CIC Severance Benefits for which Executive is eligible pursuant to Section 6.1(b) above in exchange for the Release is agreed to by the parties as liquidated damages, to serve as full compensation, and not a penalty.</w:t>
      </w:r>
    </w:p>
    <w:p>
      <w:pPr>
        <w:spacing w:after="0" w:line="167" w:lineRule="exact"/>
        <w:rPr>
          <w:rFonts w:ascii="Arial" w:cs="Arial" w:eastAsia="Arial" w:hAnsi="Arial"/>
          <w:sz w:val="17"/>
          <w:szCs w:val="17"/>
          <w:b w:val="1"/>
          <w:bCs w:val="1"/>
          <w:color w:val="auto"/>
        </w:rPr>
      </w:pPr>
    </w:p>
    <w:p>
      <w:pPr>
        <w:ind w:firstLine="1416"/>
        <w:spacing w:after="0" w:line="280" w:lineRule="auto"/>
        <w:tabs>
          <w:tab w:leader="none" w:pos="1800" w:val="left"/>
        </w:tabs>
        <w:numPr>
          <w:ilvl w:val="1"/>
          <w:numId w:val="111"/>
        </w:numPr>
        <w:rPr>
          <w:rFonts w:ascii="Arial" w:cs="Arial" w:eastAsia="Arial" w:hAnsi="Arial"/>
          <w:sz w:val="16"/>
          <w:szCs w:val="16"/>
          <w:b w:val="1"/>
          <w:bCs w:val="1"/>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xml:space="preserve">” shall mean the occurrence of any of the following events without Executive’s consent: (i) a material reduction in Executive’s Base Salary of at least 10%; (ii) a material reduction in Executive’s duties, authority and responsibilities relative to Executive’s duties, authority, and responsibilities in effect immediately prior to such reduction,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conversion of the Company to a subsidiary, division or unit of an acquiring entity in connection with a change in control, nor a change in title or Executive’s reporting relationships will be deemed a “material reduction” in and of itself; or (iii) the relocation of Executive’s principal place of employment, without Executive’s consent, in a manner that lengthens Executive’s one-way commute distance by fifty (50) or more miles from Executive’s then-current principal place of employment immediately prior to such relocation (disregarding, for this purpose, any required or permitted remote work due to the impact of COVID-19 or a similar occurrence);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termination by Executive shall only be deemed for Good Reason pursuant to this definition if: (1) Executive gives the Company written notice of Executive’s intent to terminate for Good Reason within thirty (30) days following the first occurrence of the condition(s) that Executive believes constitute(s) Good Reason, which notice shall describe such condition(s);</w:t>
      </w:r>
    </w:p>
    <w:p>
      <w:pPr>
        <w:spacing w:after="0" w:line="1" w:lineRule="exact"/>
        <w:rPr>
          <w:rFonts w:ascii="Arial" w:cs="Arial" w:eastAsia="Arial" w:hAnsi="Arial"/>
          <w:sz w:val="16"/>
          <w:szCs w:val="16"/>
          <w:b w:val="1"/>
          <w:bCs w:val="1"/>
          <w:color w:val="auto"/>
        </w:rPr>
      </w:pPr>
    </w:p>
    <w:p>
      <w:pPr>
        <w:ind w:right="40"/>
        <w:spacing w:after="0" w:line="273" w:lineRule="auto"/>
        <w:tabs>
          <w:tab w:leader="none" w:pos="25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Company fails to remedy such condition(s) within thirty (30) days following receipt of the written notice (the “</w:t>
      </w:r>
      <w:r>
        <w:rPr>
          <w:rFonts w:ascii="Arial" w:cs="Arial" w:eastAsia="Arial" w:hAnsi="Arial"/>
          <w:sz w:val="17"/>
          <w:szCs w:val="17"/>
          <w:b w:val="1"/>
          <w:bCs w:val="1"/>
          <w:i w:val="1"/>
          <w:iCs w:val="1"/>
          <w:color w:val="auto"/>
        </w:rPr>
        <w:t>Cure Period</w:t>
      </w:r>
      <w:r>
        <w:rPr>
          <w:rFonts w:ascii="Arial" w:cs="Arial" w:eastAsia="Arial" w:hAnsi="Arial"/>
          <w:sz w:val="17"/>
          <w:szCs w:val="17"/>
          <w:color w:val="auto"/>
        </w:rPr>
        <w:t>”); (3) the Company has not, prior to receiving such notice from Executive, already informed Executive that Executive’s employment with the Company is being terminated; and (4) Executive voluntarily terminates Executive’s employment within thirty (30) days following the end of the Cure Period.</w:t>
      </w:r>
    </w:p>
    <w:p>
      <w:pPr>
        <w:spacing w:after="0" w:line="277"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Termination by the Company without Cause or Resignation by Executive for Good Reason (in connection with a Change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w:t>
      </w:r>
    </w:p>
    <w:p>
      <w:pPr>
        <w:spacing w:after="0" w:line="100" w:lineRule="exact"/>
        <w:rPr>
          <w:sz w:val="20"/>
          <w:szCs w:val="20"/>
          <w:color w:val="auto"/>
        </w:rPr>
      </w:pPr>
    </w:p>
    <w:p>
      <w:pPr>
        <w:ind w:right="160" w:firstLine="1416"/>
        <w:spacing w:after="0" w:line="292" w:lineRule="auto"/>
        <w:tabs>
          <w:tab w:leader="none" w:pos="1800"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In the event that Executive’s employment is terminated without Cause or Executive resigns for Good Reason, in either case, within three (3) months preceding and twelve (12) months following the effective date of a Change in Control (the “</w:t>
      </w:r>
      <w:r>
        <w:rPr>
          <w:rFonts w:ascii="Arial" w:cs="Arial" w:eastAsia="Arial" w:hAnsi="Arial"/>
          <w:sz w:val="16"/>
          <w:szCs w:val="16"/>
          <w:b w:val="1"/>
          <w:bCs w:val="1"/>
          <w:i w:val="1"/>
          <w:iCs w:val="1"/>
          <w:color w:val="auto"/>
        </w:rPr>
        <w:t>Change in Control Measurement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of the Company, then Executive shall be entitled to the Accrued Obligations and, subject to Executive’s full compliance with Section 6.1(c)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above, including but not limited to the Release requirement and Executive’s continued compliance with obligations to the Company under Executive’s Confidential Information Agreement, then Executive will be eligible for the following “</w:t>
      </w:r>
      <w:r>
        <w:rPr>
          <w:rFonts w:ascii="Arial" w:cs="Arial" w:eastAsia="Arial" w:hAnsi="Arial"/>
          <w:sz w:val="16"/>
          <w:szCs w:val="16"/>
          <w:b w:val="1"/>
          <w:bCs w:val="1"/>
          <w:i w:val="1"/>
          <w:iCs w:val="1"/>
          <w:color w:val="auto"/>
        </w:rPr>
        <w:t>CIC Severance Benefits</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ind w:right="40" w:firstLine="1960"/>
        <w:spacing w:after="0" w:line="270" w:lineRule="auto"/>
        <w:tabs>
          <w:tab w:leader="none" w:pos="230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will pay Executive severance pay in the form of continuation of Executive’s then-current Base Salary for twelve (12) months (the “</w:t>
      </w:r>
      <w:r>
        <w:rPr>
          <w:rFonts w:ascii="Arial" w:cs="Arial" w:eastAsia="Arial" w:hAnsi="Arial"/>
          <w:sz w:val="18"/>
          <w:szCs w:val="18"/>
          <w:b w:val="1"/>
          <w:bCs w:val="1"/>
          <w:i w:val="1"/>
          <w:iCs w:val="1"/>
          <w:color w:val="auto"/>
        </w:rPr>
        <w:t>CIC Severance</w:t>
      </w:r>
      <w:r>
        <w:rPr>
          <w:rFonts w:ascii="Arial" w:cs="Arial" w:eastAsia="Arial" w:hAnsi="Arial"/>
          <w:sz w:val="18"/>
          <w:szCs w:val="18"/>
          <w:color w:val="auto"/>
        </w:rPr>
        <w:t>”). The CIC Severance will be paid in substantially equal installments on the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500" w:top="272" w:right="539" w:bottom="1440" w:gutter="0" w:footer="0" w:header="0"/>
        </w:sectPr>
      </w:pPr>
    </w:p>
    <w:bookmarkStart w:id="82" w:name="page83"/>
    <w:bookmarkEnd w:id="82"/>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Company’s regular payroll schedule following the termination date, subject to standard deductions and withholdings;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portion of the 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w:t>
      </w:r>
    </w:p>
    <w:p>
      <w:pPr>
        <w:spacing w:after="0" w:line="150" w:lineRule="exact"/>
        <w:rPr>
          <w:sz w:val="20"/>
          <w:szCs w:val="20"/>
          <w:color w:val="auto"/>
        </w:rPr>
      </w:pPr>
    </w:p>
    <w:p>
      <w:pPr>
        <w:ind w:firstLine="1960"/>
        <w:spacing w:after="0" w:line="282" w:lineRule="auto"/>
        <w:tabs>
          <w:tab w:leader="none" w:pos="235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twelve (12)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Arial" w:cs="Arial" w:eastAsia="Arial" w:hAnsi="Arial"/>
          <w:sz w:val="16"/>
          <w:szCs w:val="16"/>
          <w:b w:val="1"/>
          <w:bCs w:val="1"/>
          <w:i w:val="1"/>
          <w:iCs w:val="1"/>
          <w:color w:val="auto"/>
        </w:rPr>
        <w:t>CIC COBRA Payment Period</w:t>
      </w:r>
      <w:r>
        <w:rPr>
          <w:rFonts w:ascii="Arial" w:cs="Arial" w:eastAsia="Arial" w:hAnsi="Arial"/>
          <w:sz w:val="16"/>
          <w:szCs w:val="16"/>
          <w:color w:val="auto"/>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w:t>
      </w:r>
    </w:p>
    <w:p>
      <w:pPr>
        <w:spacing w:after="0" w:line="172" w:lineRule="exact"/>
        <w:rPr>
          <w:rFonts w:ascii="Arial" w:cs="Arial" w:eastAsia="Arial" w:hAnsi="Arial"/>
          <w:sz w:val="16"/>
          <w:szCs w:val="16"/>
          <w:color w:val="auto"/>
        </w:rPr>
      </w:pPr>
    </w:p>
    <w:p>
      <w:pPr>
        <w:jc w:val="both"/>
        <w:ind w:right="200" w:firstLine="1960"/>
        <w:spacing w:after="0" w:line="258" w:lineRule="auto"/>
        <w:tabs>
          <w:tab w:leader="none" w:pos="24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will make a cash payment to Executive in an amount equal to one (1) times the Target Percentage for the year in which the termination occurs, subject to standard deductions and withholdings, which will be paid in a lump sum on the sixtieth (60th) day following Executive’s date of Separation from Service;</w:t>
      </w:r>
    </w:p>
    <w:p>
      <w:pPr>
        <w:spacing w:after="0" w:line="186" w:lineRule="exact"/>
        <w:rPr>
          <w:rFonts w:ascii="Arial" w:cs="Arial" w:eastAsia="Arial" w:hAnsi="Arial"/>
          <w:sz w:val="18"/>
          <w:szCs w:val="18"/>
          <w:color w:val="auto"/>
        </w:rPr>
      </w:pPr>
    </w:p>
    <w:p>
      <w:pPr>
        <w:ind w:right="380" w:firstLine="1960"/>
        <w:spacing w:after="0" w:line="255" w:lineRule="auto"/>
        <w:tabs>
          <w:tab w:leader="none" w:pos="239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will pay Executive an amount equal to the Annual Bonus under Section 2.2 for the calendar year in which Executive’s termination occurs,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 and</w:t>
      </w:r>
    </w:p>
    <w:p>
      <w:pPr>
        <w:spacing w:after="0" w:line="187" w:lineRule="exact"/>
        <w:rPr>
          <w:rFonts w:ascii="Arial" w:cs="Arial" w:eastAsia="Arial" w:hAnsi="Arial"/>
          <w:sz w:val="18"/>
          <w:szCs w:val="18"/>
          <w:color w:val="auto"/>
        </w:rPr>
      </w:pPr>
    </w:p>
    <w:p>
      <w:pPr>
        <w:ind w:right="20" w:firstLine="1960"/>
        <w:spacing w:after="0" w:line="333" w:lineRule="auto"/>
        <w:tabs>
          <w:tab w:leader="none" w:pos="234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Effective as of Executive’s termination date, the vesting and exercisability of all outstanding equity awards subject only to a time-based vesting schedule that are held by Executive immediately prior to the termination date (if any) shall be accelerated in full.</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500" w:top="272" w:right="519" w:bottom="1440" w:gutter="0" w:footer="0" w:header="0"/>
        </w:sectPr>
      </w:pPr>
    </w:p>
    <w:bookmarkStart w:id="83" w:name="page84"/>
    <w:bookmarkEnd w:id="83"/>
    <w:p>
      <w:pPr>
        <w:ind w:left="1820" w:hanging="404"/>
        <w:spacing w:after="0"/>
        <w:tabs>
          <w:tab w:leader="none" w:pos="1820"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purposes of this Agreement, 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have the meaning set forth in the Company’s 2021 Equity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Incentive Plan.</w:t>
      </w:r>
    </w:p>
    <w:p>
      <w:pPr>
        <w:spacing w:after="0" w:line="207" w:lineRule="exact"/>
        <w:rPr>
          <w:sz w:val="20"/>
          <w:szCs w:val="20"/>
          <w:color w:val="auto"/>
        </w:rPr>
      </w:pPr>
    </w:p>
    <w:p>
      <w:pPr>
        <w:ind w:right="540" w:firstLine="1416"/>
        <w:spacing w:after="0" w:line="270" w:lineRule="auto"/>
        <w:tabs>
          <w:tab w:leader="none" w:pos="1787"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The CIC Severance Benefits provided to Executive pursuant to this Section 6.2 are in lieu of, and not in addition to, any benefits to which Executive may otherwise be entitled under any Company severance plan, policy or program.</w:t>
      </w:r>
    </w:p>
    <w:p>
      <w:pPr>
        <w:spacing w:after="0" w:line="174" w:lineRule="exact"/>
        <w:rPr>
          <w:rFonts w:ascii="Arial" w:cs="Arial" w:eastAsia="Arial" w:hAnsi="Arial"/>
          <w:sz w:val="18"/>
          <w:szCs w:val="18"/>
          <w:b w:val="1"/>
          <w:bCs w:val="1"/>
          <w:color w:val="auto"/>
        </w:rPr>
      </w:pPr>
    </w:p>
    <w:p>
      <w:pPr>
        <w:ind w:firstLine="1416"/>
        <w:spacing w:after="0" w:line="281" w:lineRule="auto"/>
        <w:tabs>
          <w:tab w:leader="none" w:pos="1801" w:val="left"/>
        </w:tabs>
        <w:numPr>
          <w:ilvl w:val="0"/>
          <w:numId w:val="116"/>
        </w:numPr>
        <w:rPr>
          <w:rFonts w:ascii="Arial" w:cs="Arial" w:eastAsia="Arial" w:hAnsi="Arial"/>
          <w:sz w:val="17"/>
          <w:szCs w:val="17"/>
          <w:b w:val="1"/>
          <w:bCs w:val="1"/>
          <w:color w:val="auto"/>
        </w:rPr>
      </w:pPr>
      <w:r>
        <w:rPr>
          <w:rFonts w:ascii="Arial" w:cs="Arial" w:eastAsia="Arial" w:hAnsi="Arial"/>
          <w:sz w:val="17"/>
          <w:szCs w:val="17"/>
          <w:color w:val="auto"/>
        </w:rPr>
        <w:t>Any damages caused by the termination of Executive’s employment without Cause during the Change in Control Measurement Period would be difficult to ascertain; therefore, the CIC Severance Benefits for which Executive is eligible pursuant to Section 6.2(a) above in exchange for the Release are agreed to by the parties as liquidated damages, to serve as full compensation, and not a penalty.</w:t>
      </w:r>
    </w:p>
    <w:p>
      <w:pPr>
        <w:spacing w:after="0" w:line="270"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Termination by the Company for Cause</w:t>
      </w:r>
      <w:r>
        <w:rPr>
          <w:rFonts w:ascii="Arial" w:cs="Arial" w:eastAsia="Arial" w:hAnsi="Arial"/>
          <w:sz w:val="16"/>
          <w:szCs w:val="16"/>
          <w:color w:val="auto"/>
        </w:rPr>
        <w:t>.</w:t>
      </w:r>
    </w:p>
    <w:p>
      <w:pPr>
        <w:spacing w:after="0" w:line="117" w:lineRule="exact"/>
        <w:rPr>
          <w:sz w:val="20"/>
          <w:szCs w:val="20"/>
          <w:color w:val="auto"/>
        </w:rPr>
      </w:pPr>
    </w:p>
    <w:p>
      <w:pPr>
        <w:ind w:right="40" w:firstLine="980"/>
        <w:spacing w:after="0" w:line="270" w:lineRule="auto"/>
        <w:rPr>
          <w:sz w:val="20"/>
          <w:szCs w:val="20"/>
          <w:color w:val="auto"/>
        </w:rPr>
      </w:pPr>
      <w:r>
        <w:rPr>
          <w:rFonts w:ascii="Arial" w:cs="Arial" w:eastAsia="Arial" w:hAnsi="Arial"/>
          <w:sz w:val="18"/>
          <w:szCs w:val="18"/>
          <w:color w:val="auto"/>
        </w:rPr>
        <w:t>Subject to Section 6.3(b) below, the Company shall have the right to terminate Executive’s employment with the Company at any time for Cause by giving notice as described in Section 6.7 of this Agreement.</w:t>
      </w:r>
    </w:p>
    <w:p>
      <w:pPr>
        <w:spacing w:after="0" w:line="175" w:lineRule="exact"/>
        <w:rPr>
          <w:sz w:val="20"/>
          <w:szCs w:val="20"/>
          <w:color w:val="auto"/>
        </w:rPr>
      </w:pPr>
    </w:p>
    <w:p>
      <w:pPr>
        <w:ind w:firstLine="1416"/>
        <w:spacing w:after="0" w:line="281" w:lineRule="auto"/>
        <w:tabs>
          <w:tab w:leader="none" w:pos="1800" w:val="left"/>
        </w:tabs>
        <w:numPr>
          <w:ilvl w:val="1"/>
          <w:numId w:val="11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for termination shall mean that the Company has determined in its sole discretion that Executive has engaged in any of the following: (i) a material breach of any covenant or condition under this Agreement or any other agreement between the parties; (ii) any act constituting dishonesty, fraud, immoral or disreputable conduct; (iii) any conduct which constitutes a felony under applicable law; (iv) material violation of any Company policy or any act of misconduct; (v) refusal to follow or implement a clear and reasonable directive of the Company; (vi) negligence or incompetence in the performance of Executive’s duties after the expiration of ten (10) days without cure after written notice of such failure; or</w:t>
      </w:r>
    </w:p>
    <w:p>
      <w:pPr>
        <w:spacing w:after="0" w:line="3" w:lineRule="exact"/>
        <w:rPr>
          <w:rFonts w:ascii="Arial" w:cs="Arial" w:eastAsia="Arial" w:hAnsi="Arial"/>
          <w:sz w:val="16"/>
          <w:szCs w:val="16"/>
          <w:b w:val="1"/>
          <w:bCs w:val="1"/>
          <w:color w:val="auto"/>
        </w:rPr>
      </w:pPr>
    </w:p>
    <w:p>
      <w:pPr>
        <w:spacing w:after="0" w:line="267" w:lineRule="auto"/>
        <w:tabs>
          <w:tab w:leader="none" w:pos="35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breach of fiduciary duty. For the avoidance of doubt, if the Company determines after Executive’s termination date that it would have had a basis to terminate Executive’s employment for Cause prior to Executive’s departure, then any obligation that the Company otherwise had to provide Executive with the Non-CIC Severance Benefits or the CIC Severance Benefits will immediately cease and Executive will be required to repay the Company for any portion of the Non-CIC Severance Benefits or the CIC Severance Benefits provided by the Company as of such date of notice from the Company (net of tax), to be repaid by Executive within thirty (30) days of demand by the Company.</w:t>
      </w:r>
    </w:p>
    <w:p>
      <w:pPr>
        <w:spacing w:after="0" w:line="180" w:lineRule="exact"/>
        <w:rPr>
          <w:rFonts w:ascii="Arial" w:cs="Arial" w:eastAsia="Arial" w:hAnsi="Arial"/>
          <w:sz w:val="17"/>
          <w:szCs w:val="17"/>
          <w:color w:val="auto"/>
        </w:rPr>
      </w:pPr>
    </w:p>
    <w:p>
      <w:pPr>
        <w:ind w:right="180" w:firstLine="1416"/>
        <w:spacing w:after="0" w:line="258" w:lineRule="auto"/>
        <w:tabs>
          <w:tab w:leader="none" w:pos="1810" w:val="left"/>
        </w:tabs>
        <w:numPr>
          <w:ilvl w:val="1"/>
          <w:numId w:val="118"/>
        </w:numPr>
        <w:rPr>
          <w:rFonts w:ascii="Arial" w:cs="Arial" w:eastAsia="Arial" w:hAnsi="Arial"/>
          <w:sz w:val="18"/>
          <w:szCs w:val="18"/>
          <w:b w:val="1"/>
          <w:bCs w:val="1"/>
          <w:color w:val="auto"/>
        </w:rPr>
      </w:pPr>
      <w:r>
        <w:rPr>
          <w:rFonts w:ascii="Arial" w:cs="Arial" w:eastAsia="Arial" w:hAnsi="Arial"/>
          <w:sz w:val="18"/>
          <w:szCs w:val="18"/>
          <w:color w:val="auto"/>
        </w:rPr>
        <w:t>In the event Executive’s employment is terminated at any time for Cause, Executive will not receive the Non-CIC Severance Benefits, the CIC Severance Benefits, or any other severance compensation or benefit, except that, consistent with the Company’s standard payroll policies, the Company shall provide to Executive the Accrued Obligations.</w:t>
      </w:r>
    </w:p>
    <w:p>
      <w:pPr>
        <w:spacing w:after="0" w:line="289"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4"/>
          <w:szCs w:val="14"/>
          <w:b w:val="1"/>
          <w:bCs w:val="1"/>
          <w:u w:val="single" w:color="auto"/>
          <w:color w:val="auto"/>
        </w:rPr>
        <w:t>Resignation by Executive (other than for Good Reason)</w:t>
      </w:r>
      <w:r>
        <w:rPr>
          <w:rFonts w:ascii="Arial" w:cs="Arial" w:eastAsia="Arial" w:hAnsi="Arial"/>
          <w:sz w:val="14"/>
          <w:szCs w:val="14"/>
          <w:color w:val="auto"/>
        </w:rPr>
        <w:t>.</w:t>
      </w:r>
    </w:p>
    <w:p>
      <w:pPr>
        <w:spacing w:after="0" w:line="117" w:lineRule="exact"/>
        <w:rPr>
          <w:sz w:val="20"/>
          <w:szCs w:val="20"/>
          <w:color w:val="auto"/>
        </w:rPr>
      </w:pPr>
    </w:p>
    <w:p>
      <w:pPr>
        <w:ind w:left="1800" w:hanging="384"/>
        <w:spacing w:after="0"/>
        <w:tabs>
          <w:tab w:leader="none" w:pos="1800" w:val="left"/>
        </w:tabs>
        <w:numPr>
          <w:ilvl w:val="0"/>
          <w:numId w:val="119"/>
        </w:numPr>
        <w:rPr>
          <w:rFonts w:ascii="Arial" w:cs="Arial" w:eastAsia="Arial" w:hAnsi="Arial"/>
          <w:sz w:val="17"/>
          <w:szCs w:val="17"/>
          <w:b w:val="1"/>
          <w:bCs w:val="1"/>
          <w:color w:val="auto"/>
        </w:rPr>
      </w:pPr>
      <w:r>
        <w:rPr>
          <w:rFonts w:ascii="Arial" w:cs="Arial" w:eastAsia="Arial" w:hAnsi="Arial"/>
          <w:sz w:val="17"/>
          <w:szCs w:val="17"/>
          <w:color w:val="auto"/>
        </w:rPr>
        <w:t>Executive may resign for any reason from Executive’s employment with the Company at any time by giving notice as</w:t>
      </w:r>
    </w:p>
    <w:p>
      <w:pPr>
        <w:spacing w:after="0" w:line="30"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described in Section 6.7.</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500" w:top="272" w:right="539" w:bottom="1440" w:gutter="0" w:footer="0" w:header="0"/>
        </w:sectPr>
      </w:pPr>
    </w:p>
    <w:bookmarkStart w:id="84" w:name="page85"/>
    <w:bookmarkEnd w:id="84"/>
    <w:p>
      <w:pPr>
        <w:ind w:left="-20" w:right="100" w:firstLine="1416"/>
        <w:spacing w:after="0" w:line="281" w:lineRule="auto"/>
        <w:tabs>
          <w:tab w:leader="none" w:pos="1790" w:val="left"/>
        </w:tabs>
        <w:numPr>
          <w:ilvl w:val="0"/>
          <w:numId w:val="12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Executive resigns from Executive’s employment with the Company (other than for Good Reason), Executive will not receive the Non-CIC Severance Benefits, the CIC Severance Benefits, or any other severance compensation or benefit, except that, consistent with the Company’s standard payroll policies, the Company shall provide to Executive the Accrued Obligations.</w:t>
      </w:r>
    </w:p>
    <w:p>
      <w:pPr>
        <w:spacing w:after="0" w:line="270" w:lineRule="exact"/>
        <w:rPr>
          <w:sz w:val="20"/>
          <w:szCs w:val="20"/>
          <w:color w:val="auto"/>
        </w:rPr>
      </w:pPr>
    </w:p>
    <w:p>
      <w:pPr>
        <w:ind w:left="960"/>
        <w:spacing w:after="0"/>
        <w:tabs>
          <w:tab w:leader="none" w:pos="13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u w:val="single" w:color="auto"/>
          <w:color w:val="auto"/>
        </w:rPr>
        <w:t>Termination by Virtue of Death or Disability of Executive</w:t>
      </w:r>
      <w:r>
        <w:rPr>
          <w:rFonts w:ascii="Arial" w:cs="Arial" w:eastAsia="Arial" w:hAnsi="Arial"/>
          <w:sz w:val="16"/>
          <w:szCs w:val="16"/>
          <w:color w:val="auto"/>
        </w:rPr>
        <w:t>.</w:t>
      </w:r>
    </w:p>
    <w:p>
      <w:pPr>
        <w:spacing w:after="0" w:line="117" w:lineRule="exact"/>
        <w:rPr>
          <w:sz w:val="20"/>
          <w:szCs w:val="20"/>
          <w:color w:val="auto"/>
        </w:rPr>
      </w:pPr>
    </w:p>
    <w:p>
      <w:pPr>
        <w:ind w:left="-20" w:right="200" w:firstLine="1416"/>
        <w:spacing w:after="0" w:line="255" w:lineRule="auto"/>
        <w:tabs>
          <w:tab w:leader="none" w:pos="178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be eligible for the Non-CIC Severance Benefits, the CIC Severance Benefits, or any other severance compensation or benefit.</w:t>
      </w:r>
    </w:p>
    <w:p>
      <w:pPr>
        <w:spacing w:after="0" w:line="187" w:lineRule="exact"/>
        <w:rPr>
          <w:rFonts w:ascii="Arial" w:cs="Arial" w:eastAsia="Arial" w:hAnsi="Arial"/>
          <w:sz w:val="18"/>
          <w:szCs w:val="18"/>
          <w:b w:val="1"/>
          <w:bCs w:val="1"/>
          <w:color w:val="auto"/>
        </w:rPr>
      </w:pPr>
    </w:p>
    <w:p>
      <w:pPr>
        <w:ind w:left="-20" w:right="80" w:firstLine="1416"/>
        <w:spacing w:after="0" w:line="266" w:lineRule="auto"/>
        <w:tabs>
          <w:tab w:leader="none" w:pos="1790"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auto"/>
        </w:rPr>
        <w:t>Subject to applicable state and federal law, the Company shall at all times have the right, upon written notice to the Executive, to terminate this Agreement based on Executive’s Disability (as defined below). Termination by the Company of Executive’s employment based on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Non-CIC Severance Benefits, the CIC Severance Benefits, or any other severance compensation or benefit, except that, pursuant to the Company’s standard payroll policies, the Company shall provide to Executive the Accrued Obligations.</w:t>
      </w:r>
    </w:p>
    <w:p>
      <w:pPr>
        <w:spacing w:after="0" w:line="288" w:lineRule="exact"/>
        <w:rPr>
          <w:sz w:val="20"/>
          <w:szCs w:val="20"/>
          <w:color w:val="auto"/>
        </w:rPr>
      </w:pPr>
    </w:p>
    <w:p>
      <w:pPr>
        <w:ind w:left="960"/>
        <w:spacing w:after="0"/>
        <w:tabs>
          <w:tab w:leader="none" w:pos="13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u w:val="single" w:color="auto"/>
          <w:color w:val="auto"/>
        </w:rPr>
        <w:t>Notice; Effective Date of Termination</w:t>
      </w:r>
      <w:r>
        <w:rPr>
          <w:rFonts w:ascii="Arial" w:cs="Arial" w:eastAsia="Arial" w:hAnsi="Arial"/>
          <w:sz w:val="16"/>
          <w:szCs w:val="16"/>
          <w:color w:val="auto"/>
        </w:rPr>
        <w:t>.</w:t>
      </w:r>
    </w:p>
    <w:p>
      <w:pPr>
        <w:spacing w:after="0" w:line="117" w:lineRule="exact"/>
        <w:rPr>
          <w:sz w:val="20"/>
          <w:szCs w:val="20"/>
          <w:color w:val="auto"/>
        </w:rPr>
      </w:pPr>
    </w:p>
    <w:p>
      <w:pPr>
        <w:ind w:left="1780" w:hanging="384"/>
        <w:spacing w:after="0"/>
        <w:tabs>
          <w:tab w:leader="none" w:pos="178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Termination of Executive’s employment pursuant to this Agreement shall be effective on the earliest of:</w:t>
      </w:r>
    </w:p>
    <w:p>
      <w:pPr>
        <w:spacing w:after="0" w:line="219" w:lineRule="exact"/>
        <w:rPr>
          <w:rFonts w:ascii="Arial" w:cs="Arial" w:eastAsia="Arial" w:hAnsi="Arial"/>
          <w:sz w:val="18"/>
          <w:szCs w:val="18"/>
          <w:b w:val="1"/>
          <w:bCs w:val="1"/>
          <w:color w:val="auto"/>
        </w:rPr>
      </w:pPr>
    </w:p>
    <w:p>
      <w:pPr>
        <w:ind w:left="-20" w:right="340" w:firstLine="1960"/>
        <w:spacing w:after="0" w:line="258" w:lineRule="auto"/>
        <w:tabs>
          <w:tab w:leader="none" w:pos="228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immediately after the Company gives notice to Executive of Executive’s termination, with or without Cause, unless pursuant to Section 6.3(a)(vi) in which case ten (10) days after notice if not cured, or unless the Company specifies a later date, in which case, termination shall be effective as of such later date;</w:t>
      </w:r>
    </w:p>
    <w:p>
      <w:pPr>
        <w:spacing w:after="0" w:line="186" w:lineRule="exact"/>
        <w:rPr>
          <w:rFonts w:ascii="Arial" w:cs="Arial" w:eastAsia="Arial" w:hAnsi="Arial"/>
          <w:sz w:val="18"/>
          <w:szCs w:val="18"/>
          <w:color w:val="auto"/>
        </w:rPr>
      </w:pPr>
    </w:p>
    <w:p>
      <w:pPr>
        <w:ind w:left="2340" w:hanging="400"/>
        <w:spacing w:after="0"/>
        <w:tabs>
          <w:tab w:leader="none" w:pos="23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immediately upon Executive’s death;</w:t>
      </w:r>
    </w:p>
    <w:p>
      <w:pPr>
        <w:spacing w:after="0" w:line="219" w:lineRule="exact"/>
        <w:rPr>
          <w:rFonts w:ascii="Arial" w:cs="Arial" w:eastAsia="Arial" w:hAnsi="Arial"/>
          <w:sz w:val="18"/>
          <w:szCs w:val="18"/>
          <w:color w:val="auto"/>
        </w:rPr>
      </w:pPr>
    </w:p>
    <w:p>
      <w:pPr>
        <w:ind w:left="-20" w:firstLine="1960"/>
        <w:spacing w:after="0" w:line="258" w:lineRule="auto"/>
        <w:tabs>
          <w:tab w:leader="none" w:pos="238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immediately after the Company gives written notice to Executive of Executive’s termination on account of Executive’s Disability, unless the Company specifies a later separation date, in which case, termination shall be effective as of such later separation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Executive has not returned to the full-time performance of Executive’s duties prior to such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40"/>
          </w:cols>
          <w:pgMar w:left="520" w:top="272" w:right="539" w:bottom="1440" w:gutter="0" w:footer="0" w:header="0"/>
        </w:sectPr>
      </w:pPr>
    </w:p>
    <w:bookmarkStart w:id="85" w:name="page86"/>
    <w:bookmarkEnd w:id="85"/>
    <w:p>
      <w:pPr>
        <w:jc w:val="both"/>
        <w:ind w:right="300" w:firstLine="1960"/>
        <w:spacing w:after="0" w:line="255" w:lineRule="auto"/>
        <w:tabs>
          <w:tab w:leader="none" w:pos="2394" w:val="left"/>
        </w:tabs>
        <w:numPr>
          <w:ilvl w:val="1"/>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except as addressed by Section 6.7(a)(v), thirty (30) days after Executive gives written notice to the Company of Executive’s resignation for any reason,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set a separation date at any time between the date of notice and the date of resignation, in which case Executive’s resignation shall be effective as of such other date. Executive will receive compensation through any required notice period; or</w:t>
      </w:r>
    </w:p>
    <w:p>
      <w:pPr>
        <w:spacing w:after="0" w:line="187" w:lineRule="exact"/>
        <w:rPr>
          <w:rFonts w:ascii="Arial" w:cs="Arial" w:eastAsia="Arial" w:hAnsi="Arial"/>
          <w:sz w:val="18"/>
          <w:szCs w:val="18"/>
          <w:color w:val="auto"/>
        </w:rPr>
      </w:pPr>
    </w:p>
    <w:p>
      <w:pPr>
        <w:ind w:left="2300" w:hanging="379"/>
        <w:spacing w:after="0"/>
        <w:tabs>
          <w:tab w:leader="none" w:pos="2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a termination for Good Reason, immediately upon Executive’s full satisfaction of the requirements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Section 6.1(g).</w:t>
      </w:r>
    </w:p>
    <w:p>
      <w:pPr>
        <w:spacing w:after="0" w:line="207" w:lineRule="exact"/>
        <w:rPr>
          <w:sz w:val="20"/>
          <w:szCs w:val="20"/>
          <w:color w:val="auto"/>
        </w:rPr>
      </w:pPr>
    </w:p>
    <w:p>
      <w:pPr>
        <w:jc w:val="both"/>
        <w:ind w:firstLine="1416"/>
        <w:spacing w:after="0" w:line="255" w:lineRule="auto"/>
        <w:tabs>
          <w:tab w:leader="none" w:pos="181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In the event notice of a termination under subsection (a)(i)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w:t>
      </w:r>
    </w:p>
    <w:p>
      <w:pPr>
        <w:spacing w:after="0" w:line="184" w:lineRule="exact"/>
        <w:rPr>
          <w:sz w:val="20"/>
          <w:szCs w:val="20"/>
          <w:color w:val="auto"/>
        </w:rPr>
      </w:pPr>
    </w:p>
    <w:p>
      <w:pPr>
        <w:ind w:right="60" w:firstLine="980"/>
        <w:spacing w:after="0" w:line="256"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Cooperation With Company After Termination of Employment</w:t>
      </w:r>
      <w:r>
        <w:rPr>
          <w:rFonts w:ascii="Arial" w:cs="Arial" w:eastAsia="Arial" w:hAnsi="Arial"/>
          <w:sz w:val="18"/>
          <w:szCs w:val="18"/>
          <w:color w:val="auto"/>
        </w:rPr>
        <w:t>. Following termination of Executive’s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shall reasonably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w:t>
      </w:r>
    </w:p>
    <w:p>
      <w:pPr>
        <w:spacing w:after="0" w:line="184" w:lineRule="exact"/>
        <w:rPr>
          <w:sz w:val="20"/>
          <w:szCs w:val="20"/>
          <w:color w:val="auto"/>
        </w:rPr>
      </w:pPr>
    </w:p>
    <w:p>
      <w:pPr>
        <w:ind w:right="440" w:firstLine="980"/>
        <w:spacing w:after="0" w:line="274"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 Executive agrees that should Executive’s employment be terminated for any reason, Executive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resigned from any and all positions with the Company and its subsidiaries.</w:t>
      </w:r>
    </w:p>
    <w:p>
      <w:pPr>
        <w:spacing w:after="0" w:line="275"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4"/>
          <w:szCs w:val="14"/>
          <w:b w:val="1"/>
          <w:bCs w:val="1"/>
          <w:u w:val="single" w:color="auto"/>
          <w:color w:val="auto"/>
        </w:rPr>
        <w:t>Application of Section 409A</w:t>
      </w:r>
      <w:r>
        <w:rPr>
          <w:rFonts w:ascii="Arial" w:cs="Arial" w:eastAsia="Arial" w:hAnsi="Arial"/>
          <w:sz w:val="14"/>
          <w:szCs w:val="14"/>
          <w:color w:val="auto"/>
        </w:rPr>
        <w:t>.</w:t>
      </w:r>
    </w:p>
    <w:p>
      <w:pPr>
        <w:spacing w:after="0" w:line="117" w:lineRule="exact"/>
        <w:rPr>
          <w:sz w:val="20"/>
          <w:szCs w:val="20"/>
          <w:color w:val="auto"/>
        </w:rPr>
      </w:pPr>
    </w:p>
    <w:p>
      <w:pPr>
        <w:jc w:val="both"/>
        <w:ind w:right="180" w:firstLine="1416"/>
        <w:spacing w:after="0" w:line="296" w:lineRule="auto"/>
        <w:tabs>
          <w:tab w:leader="none" w:pos="1800" w:val="left"/>
        </w:tabs>
        <w:numPr>
          <w:ilvl w:val="0"/>
          <w:numId w:val="126"/>
        </w:numPr>
        <w:rPr>
          <w:rFonts w:ascii="Arial" w:cs="Arial" w:eastAsia="Arial" w:hAnsi="Arial"/>
          <w:sz w:val="16"/>
          <w:szCs w:val="16"/>
          <w:b w:val="1"/>
          <w:bCs w:val="1"/>
          <w:color w:val="auto"/>
        </w:rPr>
      </w:pPr>
      <w:r>
        <w:rPr>
          <w:rFonts w:ascii="Arial" w:cs="Arial" w:eastAsia="Arial" w:hAnsi="Arial"/>
          <w:sz w:val="16"/>
          <w:szCs w:val="16"/>
          <w:color w:val="auto"/>
        </w:rPr>
        <w:t>It is intended that all of the compensation payable under this Agreement, to the greatest extent possible, either complies with the requirements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the regulations and other guidance thereunder and any state law of similar effect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or satisfies one or more of the exemptions from the application of Section 409A, and this Agreement will be construed in a manner consistent with such intention, incorporating by reference all required definitions and payment terms.</w:t>
      </w:r>
    </w:p>
    <w:p>
      <w:pPr>
        <w:spacing w:after="0" w:line="159" w:lineRule="exact"/>
        <w:rPr>
          <w:rFonts w:ascii="Arial" w:cs="Arial" w:eastAsia="Arial" w:hAnsi="Arial"/>
          <w:sz w:val="16"/>
          <w:szCs w:val="16"/>
          <w:b w:val="1"/>
          <w:bCs w:val="1"/>
          <w:color w:val="auto"/>
        </w:rPr>
      </w:pPr>
    </w:p>
    <w:p>
      <w:pPr>
        <w:ind w:right="540" w:firstLine="1416"/>
        <w:spacing w:after="0" w:line="270" w:lineRule="auto"/>
        <w:tabs>
          <w:tab w:leader="none" w:pos="1810"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No severance payments will be made under this Agreement unless Executive’s termination of employment constitutes a Separation from Service. For purposes of Section 409A (including, without limitation, for purposes of Treasury Regulations</w:t>
      </w:r>
    </w:p>
    <w:p>
      <w:pPr>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w:t>
      </w:r>
    </w:p>
    <w:p>
      <w:pPr>
        <w:spacing w:after="0" w:line="191" w:lineRule="exact"/>
        <w:rPr>
          <w:rFonts w:ascii="Arial" w:cs="Arial" w:eastAsia="Arial" w:hAnsi="Arial"/>
          <w:sz w:val="17"/>
          <w:szCs w:val="17"/>
          <w:b w:val="1"/>
          <w:bCs w:val="1"/>
          <w:color w:val="auto"/>
        </w:rPr>
      </w:pPr>
    </w:p>
    <w:p>
      <w:pPr>
        <w:jc w:val="both"/>
        <w:ind w:right="100" w:firstLine="1416"/>
        <w:spacing w:after="0" w:line="258" w:lineRule="auto"/>
        <w:tabs>
          <w:tab w:leader="none" w:pos="1787"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To the extent that any severance payments are deferred compensation under Section 409A, and are not otherwise exempt from the application of Section 409A, then, to the extent required to comply with Section 409A, if the period during which Executive may consider and sign the Release spans two calendar years, the severance payments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500" w:top="272" w:right="539" w:bottom="1440" w:gutter="0" w:footer="0" w:header="0"/>
        </w:sectPr>
      </w:pPr>
    </w:p>
    <w:bookmarkStart w:id="86" w:name="page87"/>
    <w:bookmarkEnd w:id="8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6.10(c); and (ii) commence paying the balance of the severance benefits in accordance with the applicable payment schedule set forth in Sections 6.1 and 6.2. No interest shall be due on any amounts deferred pursuant to this Section 6.10(c).</w:t>
      </w:r>
    </w:p>
    <w:p>
      <w:pPr>
        <w:spacing w:after="0" w:line="167" w:lineRule="exact"/>
        <w:rPr>
          <w:sz w:val="20"/>
          <w:szCs w:val="20"/>
          <w:color w:val="auto"/>
        </w:rPr>
      </w:pPr>
    </w:p>
    <w:p>
      <w:pPr>
        <w:ind w:right="280" w:firstLine="1416"/>
        <w:spacing w:after="0" w:line="255" w:lineRule="auto"/>
        <w:tabs>
          <w:tab w:leader="none" w:pos="1807"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w:t>
      </w:r>
    </w:p>
    <w:p>
      <w:pPr>
        <w:spacing w:after="0" w:line="187" w:lineRule="exact"/>
        <w:rPr>
          <w:rFonts w:ascii="Arial" w:cs="Arial" w:eastAsia="Arial" w:hAnsi="Arial"/>
          <w:sz w:val="18"/>
          <w:szCs w:val="18"/>
          <w:b w:val="1"/>
          <w:bCs w:val="1"/>
          <w:color w:val="auto"/>
        </w:rPr>
      </w:pPr>
    </w:p>
    <w:p>
      <w:pPr>
        <w:ind w:right="380" w:firstLine="1416"/>
        <w:spacing w:after="0" w:line="281" w:lineRule="auto"/>
        <w:tabs>
          <w:tab w:leader="none" w:pos="1790"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270"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u w:val="single" w:color="auto"/>
          <w:color w:val="auto"/>
        </w:rPr>
        <w:t>Excise Tax Adjustment</w:t>
      </w:r>
      <w:r>
        <w:rPr>
          <w:rFonts w:ascii="Arial" w:cs="Arial" w:eastAsia="Arial" w:hAnsi="Arial"/>
          <w:sz w:val="16"/>
          <w:szCs w:val="16"/>
          <w:color w:val="auto"/>
        </w:rPr>
        <w:t>.</w:t>
      </w:r>
    </w:p>
    <w:p>
      <w:pPr>
        <w:spacing w:after="0" w:line="117" w:lineRule="exact"/>
        <w:rPr>
          <w:sz w:val="20"/>
          <w:szCs w:val="20"/>
          <w:color w:val="auto"/>
        </w:rPr>
      </w:pPr>
    </w:p>
    <w:p>
      <w:pPr>
        <w:ind w:left="1800" w:hanging="384"/>
        <w:spacing w:after="0"/>
        <w:tabs>
          <w:tab w:leader="none" w:pos="1800" w:val="left"/>
        </w:tabs>
        <w:numPr>
          <w:ilvl w:val="1"/>
          <w:numId w:val="128"/>
        </w:numPr>
        <w:rPr>
          <w:rFonts w:ascii="Arial" w:cs="Arial" w:eastAsia="Arial" w:hAnsi="Arial"/>
          <w:sz w:val="17"/>
          <w:szCs w:val="17"/>
          <w:b w:val="1"/>
          <w:bCs w:val="1"/>
          <w:color w:val="auto"/>
        </w:rPr>
      </w:pPr>
      <w:r>
        <w:rPr>
          <w:rFonts w:ascii="Arial" w:cs="Arial" w:eastAsia="Arial" w:hAnsi="Arial"/>
          <w:sz w:val="17"/>
          <w:szCs w:val="17"/>
          <w:color w:val="auto"/>
        </w:rPr>
        <w:t>If any payment or benefit Executive will or may receive from the Company or otherwise (a “</w:t>
      </w:r>
      <w:r>
        <w:rPr>
          <w:rFonts w:ascii="Arial" w:cs="Arial" w:eastAsia="Arial" w:hAnsi="Arial"/>
          <w:sz w:val="17"/>
          <w:szCs w:val="17"/>
          <w:b w:val="1"/>
          <w:bCs w:val="1"/>
          <w:i w:val="1"/>
          <w:iCs w:val="1"/>
          <w:color w:val="auto"/>
        </w:rPr>
        <w:t>280G Payment</w:t>
      </w:r>
      <w:r>
        <w:rPr>
          <w:rFonts w:ascii="Arial" w:cs="Arial" w:eastAsia="Arial" w:hAnsi="Arial"/>
          <w:sz w:val="17"/>
          <w:szCs w:val="17"/>
          <w:color w:val="auto"/>
        </w:rPr>
        <w:t>”) would</w:t>
      </w:r>
    </w:p>
    <w:p>
      <w:pPr>
        <w:spacing w:after="0" w:line="30" w:lineRule="exact"/>
        <w:rPr>
          <w:rFonts w:ascii="Arial" w:cs="Arial" w:eastAsia="Arial" w:hAnsi="Arial"/>
          <w:sz w:val="17"/>
          <w:szCs w:val="17"/>
          <w:b w:val="1"/>
          <w:bCs w:val="1"/>
          <w:color w:val="auto"/>
        </w:rPr>
      </w:pPr>
    </w:p>
    <w:p>
      <w:pPr>
        <w:ind w:right="40"/>
        <w:spacing w:after="0" w:line="282" w:lineRule="auto"/>
        <w:tabs>
          <w:tab w:leader="none" w:pos="21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constitute a “parachute payment” within the meaning of Section 280G of the Code, and (ii) but for this Section,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any such 280G Payment provided pursuant to this Agreement (a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shall be equal to the Reduced Amount. The “</w:t>
      </w:r>
      <w:r>
        <w:rPr>
          <w:rFonts w:ascii="Arial" w:cs="Arial" w:eastAsia="Arial" w:hAnsi="Arial"/>
          <w:sz w:val="16"/>
          <w:szCs w:val="16"/>
          <w:b w:val="1"/>
          <w:bCs w:val="1"/>
          <w:i w:val="1"/>
          <w:iCs w:val="1"/>
          <w:color w:val="auto"/>
        </w:rPr>
        <w:t>Reduced Amount</w:t>
      </w:r>
      <w:r>
        <w:rPr>
          <w:rFonts w:ascii="Arial" w:cs="Arial" w:eastAsia="Arial" w:hAnsi="Arial"/>
          <w:sz w:val="16"/>
          <w:szCs w:val="16"/>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6"/>
          <w:szCs w:val="16"/>
          <w:b w:val="1"/>
          <w:bCs w:val="1"/>
          <w:i w:val="1"/>
          <w:iCs w:val="1"/>
          <w:color w:val="auto"/>
        </w:rPr>
        <w:t>Reduction Method</w:t>
      </w:r>
      <w:r>
        <w:rPr>
          <w:rFonts w:ascii="Arial" w:cs="Arial" w:eastAsia="Arial" w:hAnsi="Arial"/>
          <w:sz w:val="16"/>
          <w:szCs w:val="16"/>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b w:val="1"/>
          <w:bCs w:val="1"/>
          <w:i w:val="1"/>
          <w:iCs w:val="1"/>
          <w:color w:val="auto"/>
        </w:rPr>
        <w:t>Pro Rata Reduction Method</w:t>
      </w:r>
      <w:r>
        <w:rPr>
          <w:rFonts w:ascii="Arial" w:cs="Arial" w:eastAsia="Arial" w:hAnsi="Arial"/>
          <w:sz w:val="16"/>
          <w:szCs w:val="16"/>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500" w:top="272" w:right="519" w:bottom="1440" w:gutter="0" w:footer="0" w:header="0"/>
        </w:sectPr>
      </w:pPr>
    </w:p>
    <w:bookmarkStart w:id="87" w:name="page88"/>
    <w:bookmarkEnd w:id="87"/>
    <w:p>
      <w:pPr>
        <w:ind w:right="20" w:firstLine="1416"/>
        <w:spacing w:after="0" w:line="267" w:lineRule="auto"/>
        <w:tabs>
          <w:tab w:leader="none" w:pos="1810"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any provision of this Section 6.11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81" w:lineRule="exact"/>
        <w:rPr>
          <w:rFonts w:ascii="Arial" w:cs="Arial" w:eastAsia="Arial" w:hAnsi="Arial"/>
          <w:sz w:val="17"/>
          <w:szCs w:val="17"/>
          <w:b w:val="1"/>
          <w:bCs w:val="1"/>
          <w:color w:val="auto"/>
        </w:rPr>
      </w:pPr>
    </w:p>
    <w:p>
      <w:pPr>
        <w:ind w:right="100" w:firstLine="1416"/>
        <w:spacing w:after="0" w:line="266" w:lineRule="auto"/>
        <w:tabs>
          <w:tab w:leader="none" w:pos="1790"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6.11.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spacing w:after="0" w:line="184" w:lineRule="exact"/>
        <w:rPr>
          <w:rFonts w:ascii="Arial" w:cs="Arial" w:eastAsia="Arial" w:hAnsi="Arial"/>
          <w:sz w:val="17"/>
          <w:szCs w:val="17"/>
          <w:b w:val="1"/>
          <w:bCs w:val="1"/>
          <w:color w:val="auto"/>
        </w:rPr>
      </w:pPr>
    </w:p>
    <w:p>
      <w:pPr>
        <w:ind w:firstLine="1416"/>
        <w:spacing w:after="0" w:line="271" w:lineRule="auto"/>
        <w:tabs>
          <w:tab w:leader="none" w:pos="1810"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If Executive receives a Payment for which the Reduced Amount was determined pursuant to clause (x) of Section 6.11(a) and the Internal Revenue Service determines thereafter that some portion of the Payment is subject to the Excise Tax, Executive agrees to promptly return to the Company a sufficient amount of the Payment (after reduction pursuant to clause (x) of Section 6.11(a)) so that no portion of the remaining Payment is subject to the Excise Tax. For the avoidance of doubt, if the Reduced Amount was determined pursuant to clause (y) of Section 6.11(a), Executive shall have no obligation to return any portion of the Payment pursuant to the preceding sentence.</w:t>
      </w:r>
    </w:p>
    <w:p>
      <w:pPr>
        <w:spacing w:after="0" w:line="280" w:lineRule="exact"/>
        <w:rPr>
          <w:sz w:val="20"/>
          <w:szCs w:val="20"/>
          <w:color w:val="auto"/>
        </w:rPr>
      </w:pPr>
    </w:p>
    <w:p>
      <w:pPr>
        <w:ind w:left="740" w:hanging="305"/>
        <w:spacing w:after="0"/>
        <w:tabs>
          <w:tab w:leader="none" w:pos="7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color w:val="auto"/>
        </w:rPr>
        <w:t>.</w:t>
      </w:r>
    </w:p>
    <w:p>
      <w:pPr>
        <w:spacing w:after="0" w:line="113" w:lineRule="exact"/>
        <w:rPr>
          <w:sz w:val="20"/>
          <w:szCs w:val="20"/>
          <w:color w:val="auto"/>
        </w:rPr>
      </w:pPr>
    </w:p>
    <w:p>
      <w:pPr>
        <w:ind w:firstLine="980"/>
        <w:spacing w:after="0" w:line="254"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required hereunder to be in writing shall be deemed effectively given: (a) upon personal delivery to the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be notified, (b) when sent by electronic mail, telex or confirmed facsimile if sent during normal business hours of the recipient, and if not, then on the next business day, (c) five (5) days after having been sent by registered or certified mail, return receipt requested, postage prepaid, or (d) one (1) day after deposit with a nationally-recognized overnight courier, specifying next-day delivery, with written verification of receipt. All communications shall be sent to the Company at its primary office location and to Executive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500" w:top="272" w:right="559" w:bottom="1440" w:gutter="0" w:footer="0" w:header="0"/>
        </w:sectPr>
      </w:pPr>
    </w:p>
    <w:bookmarkStart w:id="88" w:name="page89"/>
    <w:bookmarkEnd w:id="88"/>
    <w:p>
      <w:pPr>
        <w:ind w:right="240"/>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at Executive’s address as listed on the Company payroll or Executive’s Company-provided email address, or at such other address as the Company or Executive may designate by ten (10) days’ advance written notice to the other.</w:t>
      </w:r>
    </w:p>
    <w:p>
      <w:pPr>
        <w:spacing w:after="0" w:line="171" w:lineRule="exact"/>
        <w:rPr>
          <w:sz w:val="20"/>
          <w:szCs w:val="20"/>
          <w:color w:val="auto"/>
        </w:rPr>
      </w:pPr>
    </w:p>
    <w:p>
      <w:pPr>
        <w:ind w:firstLine="980"/>
        <w:spacing w:after="0" w:line="298"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Agreement will be interpreted in such manner as to be effective and valid</w:t>
      </w:r>
      <w:r>
        <w:rPr>
          <w:rFonts w:ascii="Arial" w:cs="Arial" w:eastAsia="Arial" w:hAnsi="Arial"/>
          <w:sz w:val="16"/>
          <w:szCs w:val="16"/>
          <w:b w:val="1"/>
          <w:bCs w:val="1"/>
          <w:color w:val="auto"/>
        </w:rPr>
        <w:t xml:space="preserve"> </w:t>
      </w:r>
      <w:r>
        <w:rPr>
          <w:rFonts w:ascii="Arial" w:cs="Arial" w:eastAsia="Arial" w:hAnsi="Arial"/>
          <w:sz w:val="16"/>
          <w:szCs w:val="16"/>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54" w:lineRule="exact"/>
        <w:rPr>
          <w:sz w:val="20"/>
          <w:szCs w:val="20"/>
          <w:color w:val="auto"/>
        </w:rPr>
      </w:pPr>
    </w:p>
    <w:p>
      <w:pPr>
        <w:ind w:right="100" w:firstLine="980"/>
        <w:spacing w:after="0" w:line="274"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If either party should waive any breach of any provisions of this Agreement, Executive or it shall not thereby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waived any preceding or succeeding breach of the same or any other provision of this Agreement.</w:t>
      </w:r>
    </w:p>
    <w:p>
      <w:pPr>
        <w:spacing w:after="0" w:line="168" w:lineRule="exact"/>
        <w:rPr>
          <w:sz w:val="20"/>
          <w:szCs w:val="20"/>
          <w:color w:val="auto"/>
        </w:rPr>
      </w:pPr>
    </w:p>
    <w:p>
      <w:pPr>
        <w:ind w:right="100" w:firstLine="980"/>
        <w:spacing w:after="0" w:line="267"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u w:val="single" w:color="auto"/>
          <w:color w:val="auto"/>
        </w:rPr>
        <w:t>Complete Agreement</w:t>
      </w:r>
      <w:r>
        <w:rPr>
          <w:rFonts w:ascii="Arial" w:cs="Arial" w:eastAsia="Arial" w:hAnsi="Arial"/>
          <w:sz w:val="17"/>
          <w:szCs w:val="17"/>
          <w:color w:val="auto"/>
        </w:rPr>
        <w:t>. This Agreement constitutes the entire agreement between Executive and the Company with regard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or are entering into a separate Confidential Information Agreement in connection herewith and have or may enter into separate agreements related to equity awards.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78" w:lineRule="exact"/>
        <w:rPr>
          <w:sz w:val="20"/>
          <w:szCs w:val="20"/>
          <w:color w:val="auto"/>
        </w:rPr>
      </w:pPr>
    </w:p>
    <w:p>
      <w:pPr>
        <w:ind w:firstLine="980"/>
        <w:spacing w:after="0" w:line="274"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separate counterparts, any one of which need not contain signatures of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one party, but all of which taken together will constitute one and the same agreement.</w:t>
      </w:r>
    </w:p>
    <w:p>
      <w:pPr>
        <w:spacing w:after="0" w:line="168" w:lineRule="exact"/>
        <w:rPr>
          <w:sz w:val="20"/>
          <w:szCs w:val="20"/>
          <w:color w:val="auto"/>
        </w:rPr>
      </w:pPr>
    </w:p>
    <w:p>
      <w:pPr>
        <w:ind w:right="140" w:firstLine="980"/>
        <w:spacing w:after="0" w:line="274"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sections hereof are inserted for convenience only and shall not be deemed to constitute a part hereof</w:t>
      </w:r>
      <w:r>
        <w:rPr>
          <w:rFonts w:ascii="Arial" w:cs="Arial" w:eastAsia="Arial" w:hAnsi="Arial"/>
          <w:sz w:val="18"/>
          <w:szCs w:val="18"/>
          <w:b w:val="1"/>
          <w:bCs w:val="1"/>
          <w:color w:val="auto"/>
        </w:rPr>
        <w:t xml:space="preserve"> </w:t>
      </w:r>
      <w:r>
        <w:rPr>
          <w:rFonts w:ascii="Arial" w:cs="Arial" w:eastAsia="Arial" w:hAnsi="Arial"/>
          <w:sz w:val="18"/>
          <w:szCs w:val="18"/>
          <w:color w:val="auto"/>
        </w:rPr>
        <w:t>nor to affect the meaning thereof.</w:t>
      </w:r>
    </w:p>
    <w:p>
      <w:pPr>
        <w:spacing w:after="0" w:line="168" w:lineRule="exact"/>
        <w:rPr>
          <w:sz w:val="20"/>
          <w:szCs w:val="20"/>
          <w:color w:val="auto"/>
        </w:rPr>
      </w:pPr>
    </w:p>
    <w:p>
      <w:pPr>
        <w:ind w:right="80" w:firstLine="980"/>
        <w:spacing w:after="0" w:line="252"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Company shall assign this Agreement and its rights and obligations hereunder in whole, but not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500" w:top="272" w:right="519" w:bottom="1440" w:gutter="0" w:footer="0" w:header="0"/>
        </w:sectPr>
      </w:pPr>
    </w:p>
    <w:bookmarkStart w:id="89" w:name="page90"/>
    <w:bookmarkEnd w:id="89"/>
    <w:p>
      <w:pPr>
        <w:ind w:firstLine="980"/>
        <w:spacing w:after="0" w:line="27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7.8 </w:t>
      </w: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All questions concerning the construction, validity and interpretation of this Agreement will be governed by the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Maryland.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have executed this Amended and Restated Employment Agreement on the day and year first written above.</w:t>
      </w:r>
    </w:p>
    <w:p>
      <w:pPr>
        <w:spacing w:after="0" w:line="270"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13335</wp:posOffset>
            </wp:positionV>
            <wp:extent cx="23977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Sophia MacDonald</w:t>
      </w:r>
    </w:p>
    <w:p>
      <w:pPr>
        <w:spacing w:after="0" w:line="19"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8"/>
          <w:szCs w:val="18"/>
          <w:color w:val="auto"/>
        </w:rPr>
        <w:t>Title:</w:t>
        <w:tab/>
        <w:t>Chief People Officer</w:t>
      </w:r>
    </w:p>
    <w:p>
      <w:pPr>
        <w:spacing w:after="0" w:line="20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284480</wp:posOffset>
            </wp:positionV>
            <wp:extent cx="27622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276225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James Rallo</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0"/>
          </w:cols>
          <w:pgMar w:left="500" w:top="268" w:right="57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CONFIDENTIAL INFORMATION, INVENTIONS, NON-SOLICITATION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NON-COMPETITION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68"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10.14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ND</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4"/>
          <w:szCs w:val="14"/>
          <w:b w:val="1"/>
          <w:bCs w:val="1"/>
          <w:color w:val="auto"/>
        </w:rPr>
        <w:t>ESTATED</w:t>
      </w:r>
      <w:r>
        <w:rPr>
          <w:rFonts w:ascii="Arial" w:cs="Arial" w:eastAsia="Arial" w:hAnsi="Arial"/>
          <w:sz w:val="18"/>
          <w:szCs w:val="18"/>
          <w:color w:val="auto"/>
        </w:rPr>
        <w:t xml:space="preserve"> </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effective as of, and contingent upon,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closing of the Company’s initial public offering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Xometry,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Peter Goguen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This Agreement amends, restates, and supersedes in its entirety the Offer Letter Agreement between the Company and Executive that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was effective February 26, 2018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207" w:lineRule="exact"/>
        <w:rPr>
          <w:sz w:val="20"/>
          <w:szCs w:val="20"/>
          <w:color w:val="auto"/>
        </w:rPr>
      </w:pPr>
    </w:p>
    <w:p>
      <w:pPr>
        <w:ind w:right="760" w:firstLine="435"/>
        <w:spacing w:after="0" w:line="300" w:lineRule="auto"/>
        <w:rPr>
          <w:sz w:val="20"/>
          <w:szCs w:val="20"/>
          <w:color w:val="auto"/>
        </w:rPr>
      </w:pPr>
      <w:r>
        <w:rPr>
          <w:rFonts w:ascii="Arial" w:cs="Arial" w:eastAsia="Arial" w:hAnsi="Arial"/>
          <w:sz w:val="17"/>
          <w:szCs w:val="17"/>
          <w:color w:val="auto"/>
        </w:rPr>
        <w:t>The Company desires to continue to employ Executive, in the capacity of full-time Chief Operating Officer pursuant to the terms of this Agreement and, in connection therewith, to compensate Executive for Executive’s personal services to the Company; and</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Executive wishes to continue to be employed by the Company and provide personal services to the Company in return for certain compensation.</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in consideration of the mutual promises and covenants contained herein, the parties agree to the following:</w:t>
      </w:r>
    </w:p>
    <w:p>
      <w:pPr>
        <w:spacing w:after="0" w:line="323" w:lineRule="exact"/>
        <w:rPr>
          <w:sz w:val="20"/>
          <w:szCs w:val="20"/>
          <w:color w:val="auto"/>
        </w:rPr>
      </w:pPr>
    </w:p>
    <w:p>
      <w:pPr>
        <w:ind w:left="900" w:hanging="355"/>
        <w:spacing w:after="0"/>
        <w:tabs>
          <w:tab w:leader="none" w:pos="9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MPLOYMENT BY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OMPANY</w:t>
      </w:r>
      <w:r>
        <w:rPr>
          <w:rFonts w:ascii="Arial" w:cs="Arial" w:eastAsia="Arial" w:hAnsi="Arial"/>
          <w:sz w:val="18"/>
          <w:szCs w:val="18"/>
          <w:b w:val="1"/>
          <w:bCs w:val="1"/>
          <w:color w:val="auto"/>
        </w:rPr>
        <w:t>.</w:t>
      </w:r>
    </w:p>
    <w:p>
      <w:pPr>
        <w:spacing w:after="0" w:line="113" w:lineRule="exact"/>
        <w:rPr>
          <w:sz w:val="20"/>
          <w:szCs w:val="20"/>
          <w:color w:val="auto"/>
        </w:rPr>
      </w:pPr>
    </w:p>
    <w:p>
      <w:pPr>
        <w:ind w:firstLine="980"/>
        <w:spacing w:after="0" w:line="25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Executive shall continue to be employed by the Company on an “at-will” basis, meaning either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Executive may terminate Executive’s employment at any time, with or without cause or advanced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compensation following a termination shall be only as set forth in Section 6.</w:t>
      </w:r>
    </w:p>
    <w:p>
      <w:pPr>
        <w:spacing w:after="0" w:line="190" w:lineRule="exact"/>
        <w:rPr>
          <w:sz w:val="20"/>
          <w:szCs w:val="20"/>
          <w:color w:val="auto"/>
        </w:rPr>
      </w:pPr>
    </w:p>
    <w:p>
      <w:pPr>
        <w:ind w:firstLine="980"/>
        <w:spacing w:after="0" w:line="283"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u w:val="single" w:color="auto"/>
          <w:color w:val="auto"/>
        </w:rPr>
        <w:t>Position</w:t>
      </w:r>
      <w:r>
        <w:rPr>
          <w:rFonts w:ascii="Arial" w:cs="Arial" w:eastAsia="Arial" w:hAnsi="Arial"/>
          <w:sz w:val="17"/>
          <w:szCs w:val="17"/>
          <w:color w:val="auto"/>
        </w:rPr>
        <w:t>. Subject to the terms set forth herein, the Company agrees to continue to employ Executive in the position of Chief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Officer, and Executive hereby accepts such continued employment. During the term of Executive’s employment with the Company, Executive will devote Executive’s best efforts and substantially all of Executive’s business time and attention to the business of the Company.</w:t>
      </w:r>
    </w:p>
    <w:p>
      <w:pPr>
        <w:spacing w:after="0" w:line="162" w:lineRule="exact"/>
        <w:rPr>
          <w:sz w:val="20"/>
          <w:szCs w:val="20"/>
          <w:color w:val="auto"/>
        </w:rPr>
      </w:pPr>
    </w:p>
    <w:p>
      <w:pPr>
        <w:ind w:right="240" w:firstLine="980"/>
        <w:spacing w:after="0" w:line="254"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Duties</w:t>
      </w:r>
      <w:r>
        <w:rPr>
          <w:rFonts w:ascii="Arial" w:cs="Arial" w:eastAsia="Arial" w:hAnsi="Arial"/>
          <w:sz w:val="18"/>
          <w:szCs w:val="18"/>
          <w:color w:val="auto"/>
        </w:rPr>
        <w:t>. Executive will report to the Chief Executive Officer performing such duties as are normally associated with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then-current position and such duties as are assigned to Executive from time to time, subject to the oversight and direction of the Chief Executive Officer. Executive shall perform Executive’s duties under this Agreement principally out of the Company’s office in the Rockville, Maryland area or such other location as assigned. In addition, Executive shall make such business trips to such places as may be necessary or advisable for the efficient operations of the Company.</w:t>
      </w:r>
    </w:p>
    <w:p>
      <w:pPr>
        <w:spacing w:after="0" w:line="186" w:lineRule="exact"/>
        <w:rPr>
          <w:sz w:val="20"/>
          <w:szCs w:val="20"/>
          <w:color w:val="auto"/>
        </w:rPr>
      </w:pPr>
    </w:p>
    <w:p>
      <w:pPr>
        <w:ind w:right="800" w:firstLine="980"/>
        <w:spacing w:after="0" w:line="274"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Company Policies and Benefits</w:t>
      </w:r>
      <w:r>
        <w:rPr>
          <w:rFonts w:ascii="Arial" w:cs="Arial" w:eastAsia="Arial" w:hAnsi="Arial"/>
          <w:sz w:val="18"/>
          <w:szCs w:val="18"/>
          <w:color w:val="auto"/>
        </w:rPr>
        <w:t>. The employment relationship between the parties shall also continue to be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personnel policies and procedures</w:t>
      </w:r>
    </w:p>
    <w:p>
      <w:pPr>
        <w:sectPr>
          <w:pgSz w:w="11900" w:h="16838" w:orient="portrait"/>
          <w:cols w:equalWidth="0" w:num="1">
            <w:col w:w="10880"/>
          </w:cols>
          <w:pgMar w:left="500" w:top="121" w:right="519" w:bottom="1440" w:gutter="0" w:footer="0" w:header="0"/>
        </w:sectPr>
      </w:pPr>
    </w:p>
    <w:bookmarkStart w:id="92" w:name="page93"/>
    <w:bookmarkEnd w:id="92"/>
    <w:p>
      <w:pPr>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 they may be interpreted, adopted, revised or deleted from time to time in the Company’s sole discretion. Executive will be eligible to participate on the same basis as similarly-situated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264" w:lineRule="exact"/>
        <w:rPr>
          <w:sz w:val="20"/>
          <w:szCs w:val="20"/>
          <w:color w:val="auto"/>
        </w:rPr>
      </w:pPr>
    </w:p>
    <w:p>
      <w:pPr>
        <w:ind w:left="900" w:hanging="355"/>
        <w:spacing w:after="0"/>
        <w:tabs>
          <w:tab w:leader="none" w:pos="9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OMPENSATION</w:t>
      </w:r>
      <w:r>
        <w:rPr>
          <w:rFonts w:ascii="Arial" w:cs="Arial" w:eastAsia="Arial" w:hAnsi="Arial"/>
          <w:sz w:val="18"/>
          <w:szCs w:val="18"/>
          <w:b w:val="1"/>
          <w:bCs w:val="1"/>
          <w:color w:val="auto"/>
        </w:rPr>
        <w:t>.</w:t>
      </w:r>
    </w:p>
    <w:p>
      <w:pPr>
        <w:spacing w:after="0" w:line="113" w:lineRule="exact"/>
        <w:rPr>
          <w:sz w:val="20"/>
          <w:szCs w:val="20"/>
          <w:color w:val="auto"/>
        </w:rPr>
      </w:pPr>
    </w:p>
    <w:p>
      <w:pPr>
        <w:ind w:right="40" w:firstLine="980"/>
        <w:spacing w:after="0" w:line="308"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Salary</w:t>
      </w:r>
      <w:r>
        <w:rPr>
          <w:rFonts w:ascii="Arial" w:cs="Arial" w:eastAsia="Arial" w:hAnsi="Arial"/>
          <w:sz w:val="16"/>
          <w:szCs w:val="16"/>
          <w:color w:val="auto"/>
        </w:rPr>
        <w:t>. Commencing on July 1, 2021, Executive shall receive for Executive’s services to be rendered hereunder an initial annualized</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of $345,000, subject to review and adjustment from time to time by the Company in its sole discretion (“</w:t>
      </w: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The Base Salary is payable subject to standard federal and state payroll withholding requirements in accordance with the Company’s standard payroll practices.</w:t>
      </w:r>
    </w:p>
    <w:p>
      <w:pPr>
        <w:spacing w:after="0" w:line="146" w:lineRule="exact"/>
        <w:rPr>
          <w:sz w:val="20"/>
          <w:szCs w:val="20"/>
          <w:color w:val="auto"/>
        </w:rPr>
      </w:pPr>
    </w:p>
    <w:p>
      <w:pPr>
        <w:ind w:right="40" w:firstLine="980"/>
        <w:spacing w:after="0" w:line="265"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Annual Bonus</w:t>
      </w:r>
      <w:r>
        <w:rPr>
          <w:rFonts w:ascii="Arial" w:cs="Arial" w:eastAsia="Arial" w:hAnsi="Arial"/>
          <w:sz w:val="17"/>
          <w:szCs w:val="17"/>
          <w:color w:val="auto"/>
        </w:rPr>
        <w:t>. Commencing as of the Effective Date, Executive shall be eligible to receive an annual performance bonus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2.2 of up to 50% (the “</w:t>
      </w:r>
      <w:r>
        <w:rPr>
          <w:rFonts w:ascii="Arial" w:cs="Arial" w:eastAsia="Arial" w:hAnsi="Arial"/>
          <w:sz w:val="17"/>
          <w:szCs w:val="17"/>
          <w:b w:val="1"/>
          <w:bCs w:val="1"/>
          <w:i w:val="1"/>
          <w:iCs w:val="1"/>
          <w:color w:val="auto"/>
        </w:rPr>
        <w:t>Target Percentage</w:t>
      </w:r>
      <w:r>
        <w:rPr>
          <w:rFonts w:ascii="Arial" w:cs="Arial" w:eastAsia="Arial" w:hAnsi="Arial"/>
          <w:sz w:val="17"/>
          <w:szCs w:val="17"/>
          <w:color w:val="auto"/>
        </w:rPr>
        <w:t>”) of Executive’s then-current Base Salary (“</w:t>
      </w:r>
      <w:r>
        <w:rPr>
          <w:rFonts w:ascii="Arial" w:cs="Arial" w:eastAsia="Arial" w:hAnsi="Arial"/>
          <w:sz w:val="17"/>
          <w:szCs w:val="17"/>
          <w:b w:val="1"/>
          <w:bCs w:val="1"/>
          <w:i w:val="1"/>
          <w:iCs w:val="1"/>
          <w:color w:val="auto"/>
        </w:rPr>
        <w:t>Annual Bonus</w:t>
      </w:r>
      <w:r>
        <w:rPr>
          <w:rFonts w:ascii="Arial" w:cs="Arial" w:eastAsia="Arial" w:hAnsi="Arial"/>
          <w:sz w:val="17"/>
          <w:szCs w:val="17"/>
          <w:color w:val="auto"/>
        </w:rPr>
        <w:t>”). The Annual Bonus will be based upon the assessment of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(or a committee thereof) of Executive’s performance and the Company’s attainment of targeted goals over the applicable calendar year. The Annual Bonus, if any, will be subject to applicable payroll deductions and withholdings. Except as stated herein for the Annual Bonus attributable to 2021, the annual period over which performance is measured for purposes of the Annual Bonus is January 1 through December 31. Following the close of each calendar year, the Company will determine whether Executive has earned the Annual Bonus, and the amount of any Annual Bonus (which can be less than the Target Percentage), based on the set criteria. No amount of the Annual Bonus is guaranteed, and, except as otherwise stated in Sections 6.2, Executive must be an employee in good standing on the Annual Bonus payment date to be eligible to receive an Annual Bonus and no partial or prorated bonuses will be provided. Executive’s eligibility for an Annual Bonus is subject to change in the discretion of the Board (or any authorized committee thereof). Executive’s Annual Bonus, if any, attributable to 2021 under this Section 2.2 shall be prorated for number of days between the Effective Date and December 31, 2021. For the avoidance of doubt, Executive’s eligibility for any annual bonus for the portion of 2021 prior to the Effective Date remains subject to the terms in effect for such time period and is not affected by this Agreement.</w:t>
      </w:r>
    </w:p>
    <w:p>
      <w:pPr>
        <w:spacing w:after="0" w:line="183" w:lineRule="exact"/>
        <w:rPr>
          <w:sz w:val="20"/>
          <w:szCs w:val="20"/>
          <w:color w:val="auto"/>
        </w:rPr>
      </w:pPr>
    </w:p>
    <w:p>
      <w:pPr>
        <w:jc w:val="both"/>
        <w:ind w:right="80" w:firstLine="980"/>
        <w:spacing w:after="0" w:line="261"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Future Equity Awards</w:t>
      </w:r>
      <w:r>
        <w:rPr>
          <w:rFonts w:ascii="Arial" w:cs="Arial" w:eastAsia="Arial" w:hAnsi="Arial"/>
          <w:sz w:val="18"/>
          <w:szCs w:val="18"/>
          <w:color w:val="auto"/>
        </w:rPr>
        <w:t>. Executive remains eligible to be considered for future equity awards as may be determined by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a committee of the Board in its discretion in accordance with the terms of any applicable equity plan or arrangement that may be in effect from time to time.</w:t>
      </w:r>
    </w:p>
    <w:p>
      <w:pPr>
        <w:spacing w:after="0" w:line="179" w:lineRule="exact"/>
        <w:rPr>
          <w:sz w:val="20"/>
          <w:szCs w:val="20"/>
          <w:color w:val="auto"/>
        </w:rPr>
      </w:pPr>
    </w:p>
    <w:p>
      <w:pPr>
        <w:ind w:right="280" w:firstLine="980"/>
        <w:spacing w:after="0" w:line="339"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u w:val="single" w:color="auto"/>
          <w:color w:val="auto"/>
        </w:rPr>
        <w:t>Expense Reimbursement</w:t>
      </w:r>
      <w:r>
        <w:rPr>
          <w:rFonts w:ascii="Arial" w:cs="Arial" w:eastAsia="Arial" w:hAnsi="Arial"/>
          <w:sz w:val="16"/>
          <w:szCs w:val="16"/>
          <w:color w:val="auto"/>
        </w:rPr>
        <w:t>. The Company will reimburse Executive for all reasonable, documented business expenses incurred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Executive’s services hereunder, in accordance with the Company’s business expense reimbursement policies and</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500" w:top="272" w:right="519" w:bottom="1440" w:gutter="0" w:footer="0" w:header="0"/>
        </w:sectPr>
      </w:pPr>
    </w:p>
    <w:bookmarkStart w:id="93" w:name="page94"/>
    <w:bookmarkEnd w:id="93"/>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procedures as may be in effect from time to time. For the avoidance of doubt, to the extent that any reimbursements payable to Executive are subject to the provisions of Section 409A (as defined below): (i) any such reimbursements will be paid no later than December 31 of the year following the year in which the expense was incurred, (ii) the amount of expenses reimbursed in one year will not affect the amount eligible for reimbursement in any subsequent year, and (iii) the right to reimbursement under this Agreement will not be subject to liquidation or exchange for another benefit.</w:t>
      </w:r>
    </w:p>
    <w:p>
      <w:pPr>
        <w:spacing w:after="0" w:line="156" w:lineRule="exact"/>
        <w:rPr>
          <w:sz w:val="20"/>
          <w:szCs w:val="20"/>
          <w:color w:val="auto"/>
        </w:rPr>
      </w:pPr>
    </w:p>
    <w:p>
      <w:pPr>
        <w:ind w:left="740" w:hanging="305"/>
        <w:spacing w:after="0"/>
        <w:tabs>
          <w:tab w:leader="none" w:pos="7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ONFIDENTIAL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NFORMATION</w:t>
      </w:r>
      <w:r>
        <w:rPr>
          <w:rFonts w:ascii="Arial" w:cs="Arial" w:eastAsia="Arial" w:hAnsi="Arial"/>
          <w:sz w:val="18"/>
          <w:szCs w:val="18"/>
          <w:b w:val="1"/>
          <w:bCs w:val="1"/>
          <w:u w:val="single" w:color="auto"/>
          <w:color w:val="auto"/>
        </w:rPr>
        <w:t>, I</w:t>
      </w:r>
      <w:r>
        <w:rPr>
          <w:rFonts w:ascii="Arial" w:cs="Arial" w:eastAsia="Arial" w:hAnsi="Arial"/>
          <w:sz w:val="14"/>
          <w:szCs w:val="14"/>
          <w:b w:val="1"/>
          <w:bCs w:val="1"/>
          <w:u w:val="single" w:color="auto"/>
          <w:color w:val="auto"/>
        </w:rPr>
        <w:t>NVENTIONS</w:t>
      </w:r>
      <w:r>
        <w:rPr>
          <w:rFonts w:ascii="Arial" w:cs="Arial" w:eastAsia="Arial" w:hAnsi="Arial"/>
          <w:sz w:val="18"/>
          <w:szCs w:val="18"/>
          <w:b w:val="1"/>
          <w:bCs w:val="1"/>
          <w:u w:val="single" w:color="auto"/>
          <w:color w:val="auto"/>
        </w:rPr>
        <w:t>, 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OLICITATION</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4"/>
          <w:szCs w:val="14"/>
          <w:b w:val="1"/>
          <w:bCs w:val="1"/>
          <w:u w:val="single" w:color="auto"/>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OMPETITION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w:t>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Executive’s continued employment with the Company, Executive will continue to receive and continue to have access to the Company’s confidential information and trade secrets. Accordingly, and in consideration of the benefits that Executive is eligible to receive under this Agreement, Executive agrees to sign the Company’s Employee Confidential Information, Inventions, Non-Solicitation and Non-Competition Agreement (the “</w:t>
      </w:r>
      <w:r>
        <w:rPr>
          <w:rFonts w:ascii="Arial" w:cs="Arial" w:eastAsia="Arial" w:hAnsi="Arial"/>
          <w:sz w:val="18"/>
          <w:szCs w:val="18"/>
          <w:b w:val="1"/>
          <w:bCs w:val="1"/>
          <w:i w:val="1"/>
          <w:iCs w:val="1"/>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Information Agreement</w:t>
      </w:r>
      <w:r>
        <w:rPr>
          <w:rFonts w:ascii="Arial" w:cs="Arial" w:eastAsia="Arial" w:hAnsi="Arial"/>
          <w:sz w:val="18"/>
          <w:szCs w:val="18"/>
          <w:color w:val="auto"/>
        </w:rPr>
        <w:t>”) attached hereto as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The Confidential Information Agreement may be amended by the parties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regard to this Agreement. The Confidential Information Agreement contains provisions that are intended by the parties to survive and do survive termination or expiration of this Agreement.</w:t>
      </w:r>
    </w:p>
    <w:p>
      <w:pPr>
        <w:spacing w:after="0" w:line="189" w:lineRule="exact"/>
        <w:rPr>
          <w:sz w:val="20"/>
          <w:szCs w:val="20"/>
          <w:color w:val="auto"/>
        </w:rPr>
      </w:pPr>
    </w:p>
    <w:p>
      <w:pPr>
        <w:ind w:right="20" w:firstLine="435"/>
        <w:spacing w:after="0" w:line="269" w:lineRule="auto"/>
        <w:tabs>
          <w:tab w:leader="none" w:pos="746"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t>
      </w:r>
      <w:r>
        <w:rPr>
          <w:rFonts w:ascii="Arial" w:cs="Arial" w:eastAsia="Arial" w:hAnsi="Arial"/>
          <w:sz w:val="13"/>
          <w:szCs w:val="13"/>
          <w:b w:val="1"/>
          <w:bCs w:val="1"/>
          <w:u w:val="single" w:color="auto"/>
          <w:color w:val="auto"/>
        </w:rPr>
        <w:t>UTSIDE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3"/>
          <w:szCs w:val="13"/>
          <w:b w:val="1"/>
          <w:bCs w:val="1"/>
          <w:u w:val="single" w:color="auto"/>
          <w:color w:val="auto"/>
        </w:rPr>
        <w:t>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with the prior written consent of the Board, Executive will not, while employed by the Company, undertake or</w:t>
      </w:r>
      <w:r>
        <w:rPr>
          <w:rFonts w:ascii="Arial" w:cs="Arial" w:eastAsia="Arial" w:hAnsi="Arial"/>
          <w:sz w:val="17"/>
          <w:szCs w:val="17"/>
          <w:b w:val="1"/>
          <w:bCs w:val="1"/>
          <w:color w:val="auto"/>
        </w:rPr>
        <w:t xml:space="preserve"> </w:t>
      </w:r>
      <w:r>
        <w:rPr>
          <w:rFonts w:ascii="Arial" w:cs="Arial" w:eastAsia="Arial" w:hAnsi="Arial"/>
          <w:sz w:val="17"/>
          <w:szCs w:val="17"/>
          <w:color w:val="auto"/>
        </w:rPr>
        <w:t>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Executive’s participation in professional and academic activities; and (iv) such other activities as may be specifically approved by the Board. This restriction shall not, however, preclude Executive from managing personal investments or owning less than one percent (1%) of the total outstanding shares of a publicly-traded company.</w:t>
      </w:r>
    </w:p>
    <w:p>
      <w:pPr>
        <w:spacing w:after="0" w:line="174" w:lineRule="exact"/>
        <w:rPr>
          <w:rFonts w:ascii="Arial" w:cs="Arial" w:eastAsia="Arial" w:hAnsi="Arial"/>
          <w:sz w:val="17"/>
          <w:szCs w:val="17"/>
          <w:b w:val="1"/>
          <w:bCs w:val="1"/>
          <w:color w:val="auto"/>
        </w:rPr>
      </w:pPr>
    </w:p>
    <w:p>
      <w:pPr>
        <w:ind w:right="80" w:firstLine="435"/>
        <w:spacing w:after="0" w:line="254" w:lineRule="auto"/>
        <w:tabs>
          <w:tab w:leader="none" w:pos="746"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ONFLICT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XISTING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represents that Executive’s continued performance of all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5" w:lineRule="exact"/>
        <w:rPr>
          <w:rFonts w:ascii="Arial" w:cs="Arial" w:eastAsia="Arial" w:hAnsi="Arial"/>
          <w:sz w:val="18"/>
          <w:szCs w:val="18"/>
          <w:b w:val="1"/>
          <w:bCs w:val="1"/>
          <w:color w:val="auto"/>
        </w:rPr>
      </w:pPr>
    </w:p>
    <w:p>
      <w:pPr>
        <w:ind w:left="740" w:hanging="305"/>
        <w:spacing w:after="0"/>
        <w:tabs>
          <w:tab w:leader="none" w:pos="74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w:t>
      </w:r>
      <w:r>
        <w:rPr>
          <w:rFonts w:ascii="Arial" w:cs="Arial" w:eastAsia="Arial" w:hAnsi="Arial"/>
          <w:sz w:val="13"/>
          <w:szCs w:val="13"/>
          <w:b w:val="1"/>
          <w:bCs w:val="1"/>
          <w:u w:val="single" w:color="auto"/>
          <w:color w:val="auto"/>
        </w:rPr>
        <w:t>ERMINATION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w:t>
      </w:r>
      <w:r>
        <w:rPr>
          <w:rFonts w:ascii="Arial" w:cs="Arial" w:eastAsia="Arial" w:hAnsi="Arial"/>
          <w:sz w:val="13"/>
          <w:szCs w:val="13"/>
          <w:b w:val="1"/>
          <w:bCs w:val="1"/>
          <w:u w:val="single" w:color="auto"/>
          <w:color w:val="auto"/>
        </w:rPr>
        <w:t>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w:t>
      </w:r>
      <w:r>
        <w:rPr>
          <w:rFonts w:ascii="Arial" w:cs="Arial" w:eastAsia="Arial" w:hAnsi="Arial"/>
          <w:sz w:val="13"/>
          <w:szCs w:val="13"/>
          <w:b w:val="1"/>
          <w:bCs w:val="1"/>
          <w:u w:val="single" w:color="auto"/>
          <w:color w:val="auto"/>
        </w:rPr>
        <w:t>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acknowledge that Executive’s employment relationship with the Company continues to be</w:t>
      </w:r>
    </w:p>
    <w:p>
      <w:pPr>
        <w:spacing w:after="0" w:line="35"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at-will. Either Executive or the Company may terminate the employment relationship at any time, with or without Cause. The provisions in this Section govern the amount of compensation, if any, to be provided to Executive upon termination of employment and do not alter this at-will status.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500" w:top="272" w:right="519" w:bottom="1440" w:gutter="0" w:footer="0" w:header="0"/>
        </w:sectPr>
      </w:pPr>
    </w:p>
    <w:bookmarkStart w:id="94" w:name="page95"/>
    <w:bookmarkEnd w:id="94"/>
    <w:p>
      <w:pPr>
        <w:ind w:right="600" w:firstLine="980"/>
        <w:spacing w:after="0" w:line="27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6.1 </w:t>
      </w:r>
      <w:r>
        <w:rPr>
          <w:rFonts w:ascii="Arial" w:cs="Arial" w:eastAsia="Arial" w:hAnsi="Arial"/>
          <w:sz w:val="18"/>
          <w:szCs w:val="18"/>
          <w:b w:val="1"/>
          <w:bCs w:val="1"/>
          <w:u w:val="single" w:color="auto"/>
          <w:color w:val="auto"/>
        </w:rPr>
        <w:t>Termination by the Company Without Cause or Resignation by Executive for Good Reason (not in Connection with 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w:t>
      </w:r>
    </w:p>
    <w:p>
      <w:pPr>
        <w:spacing w:after="0" w:line="65" w:lineRule="exact"/>
        <w:rPr>
          <w:sz w:val="20"/>
          <w:szCs w:val="20"/>
          <w:color w:val="auto"/>
        </w:rPr>
      </w:pPr>
    </w:p>
    <w:p>
      <w:pPr>
        <w:ind w:firstLine="1416"/>
        <w:spacing w:after="0" w:line="274" w:lineRule="auto"/>
        <w:tabs>
          <w:tab w:leader="none" w:pos="1797" w:val="left"/>
        </w:tabs>
        <w:numPr>
          <w:ilvl w:val="0"/>
          <w:numId w:val="136"/>
        </w:numPr>
        <w:rPr>
          <w:rFonts w:ascii="Arial" w:cs="Arial" w:eastAsia="Arial" w:hAnsi="Arial"/>
          <w:sz w:val="17"/>
          <w:szCs w:val="17"/>
          <w:b w:val="1"/>
          <w:bCs w:val="1"/>
          <w:color w:val="auto"/>
        </w:rPr>
      </w:pPr>
      <w:r>
        <w:rPr>
          <w:rFonts w:ascii="Arial" w:cs="Arial" w:eastAsia="Arial" w:hAnsi="Arial"/>
          <w:sz w:val="17"/>
          <w:szCs w:val="17"/>
          <w:color w:val="auto"/>
        </w:rPr>
        <w:t>The Company shall have the right to terminate Executive’s employment with the Company pursuant to this Section 6.1 at any time without “Cause” (as defined in Section 6.3(a) below) by giving notice as described in Section 6.7 of this Agreement. A termination pursuant to Section 6.5 or 6.6 below is not a termination without “Cause” for purposes of receiving the Non-CIC Severance Benefits described in (and as defined in) this Section 6.1 or the CIC Severance Benefits described in (and as defined in) Section 6.2.</w:t>
      </w:r>
    </w:p>
    <w:p>
      <w:pPr>
        <w:spacing w:after="0" w:line="174" w:lineRule="exact"/>
        <w:rPr>
          <w:rFonts w:ascii="Arial" w:cs="Arial" w:eastAsia="Arial" w:hAnsi="Arial"/>
          <w:sz w:val="17"/>
          <w:szCs w:val="17"/>
          <w:b w:val="1"/>
          <w:bCs w:val="1"/>
          <w:color w:val="auto"/>
        </w:rPr>
      </w:pPr>
    </w:p>
    <w:p>
      <w:pPr>
        <w:ind w:right="40" w:firstLine="1416"/>
        <w:spacing w:after="0" w:line="268" w:lineRule="auto"/>
        <w:tabs>
          <w:tab w:leader="none" w:pos="1810" w:val="left"/>
        </w:tabs>
        <w:numPr>
          <w:ilvl w:val="0"/>
          <w:numId w:val="136"/>
        </w:numPr>
        <w:rPr>
          <w:rFonts w:ascii="Arial" w:cs="Arial" w:eastAsia="Arial" w:hAnsi="Arial"/>
          <w:sz w:val="17"/>
          <w:szCs w:val="17"/>
          <w:b w:val="1"/>
          <w:bCs w:val="1"/>
          <w:color w:val="auto"/>
        </w:rPr>
      </w:pPr>
      <w:r>
        <w:rPr>
          <w:rFonts w:ascii="Arial" w:cs="Arial" w:eastAsia="Arial" w:hAnsi="Arial"/>
          <w:sz w:val="17"/>
          <w:szCs w:val="17"/>
          <w:color w:val="auto"/>
        </w:rPr>
        <w:t>If the Company terminates Executive’s employment at any time without Cause or Executive terminates Executive’s employment with the Company for “Good Reason” (as defined in Section 6.1(g) below), in either case, at any time except during the Change in Control Measurement Period (both “Change in Control” and “Change in Control Measurement Period” as defined in Section 6.2 below), then Executive shall be entitled to receive the Accrued Obligations (defined in 6.1(d) below). If such termination without Cause or for Good Reason not occurring during the Change in Control Measurement Period constitutes a “separation from service” (as defined under Treasury Regulation Section 1.409A-1(h), without regard to any alternative definition thereunder, a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Executive complies with the obligations in Section 6.1(c) below, Executive shall also be eligible to receive the following “</w:t>
      </w:r>
      <w:r>
        <w:rPr>
          <w:rFonts w:ascii="Arial" w:cs="Arial" w:eastAsia="Arial" w:hAnsi="Arial"/>
          <w:sz w:val="17"/>
          <w:szCs w:val="17"/>
          <w:b w:val="1"/>
          <w:bCs w:val="1"/>
          <w:i w:val="1"/>
          <w:iCs w:val="1"/>
          <w:color w:val="auto"/>
        </w:rPr>
        <w:t>Non-CIC Severance Benefits</w:t>
      </w:r>
      <w:r>
        <w:rPr>
          <w:rFonts w:ascii="Arial" w:cs="Arial" w:eastAsia="Arial" w:hAnsi="Arial"/>
          <w:sz w:val="17"/>
          <w:szCs w:val="17"/>
          <w:color w:val="auto"/>
        </w:rPr>
        <w:t>:”</w:t>
      </w:r>
    </w:p>
    <w:p>
      <w:pPr>
        <w:spacing w:after="0" w:line="179" w:lineRule="exact"/>
        <w:rPr>
          <w:rFonts w:ascii="Arial" w:cs="Arial" w:eastAsia="Arial" w:hAnsi="Arial"/>
          <w:sz w:val="17"/>
          <w:szCs w:val="17"/>
          <w:b w:val="1"/>
          <w:bCs w:val="1"/>
          <w:color w:val="auto"/>
        </w:rPr>
      </w:pPr>
    </w:p>
    <w:p>
      <w:pPr>
        <w:ind w:right="20" w:firstLine="1960"/>
        <w:spacing w:after="0" w:line="292" w:lineRule="auto"/>
        <w:tabs>
          <w:tab w:leader="none" w:pos="230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Company will pay Executive severance pay in the form of continuation of Executive’s then-current Base Salary for six (6) months (the “</w:t>
      </w:r>
      <w:r>
        <w:rPr>
          <w:rFonts w:ascii="Arial" w:cs="Arial" w:eastAsia="Arial" w:hAnsi="Arial"/>
          <w:sz w:val="16"/>
          <w:szCs w:val="16"/>
          <w:b w:val="1"/>
          <w:bCs w:val="1"/>
          <w:i w:val="1"/>
          <w:iCs w:val="1"/>
          <w:color w:val="auto"/>
        </w:rPr>
        <w:t>Non-CIC Severance</w:t>
      </w:r>
      <w:r>
        <w:rPr>
          <w:rFonts w:ascii="Arial" w:cs="Arial" w:eastAsia="Arial" w:hAnsi="Arial"/>
          <w:sz w:val="16"/>
          <w:szCs w:val="16"/>
          <w:color w:val="auto"/>
        </w:rPr>
        <w:t xml:space="preserve">”). The Non-CIC Severance will be paid in substantially equal installments on the Company’s regular payroll schedule following the termination date, subject to standard deductions and withholdings;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portion of the Non-CIC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w:t>
      </w:r>
    </w:p>
    <w:p>
      <w:pPr>
        <w:spacing w:after="0" w:line="161" w:lineRule="exact"/>
        <w:rPr>
          <w:rFonts w:ascii="Arial" w:cs="Arial" w:eastAsia="Arial" w:hAnsi="Arial"/>
          <w:sz w:val="16"/>
          <w:szCs w:val="16"/>
          <w:color w:val="auto"/>
        </w:rPr>
      </w:pPr>
    </w:p>
    <w:p>
      <w:pPr>
        <w:ind w:right="120" w:firstLine="1960"/>
        <w:spacing w:after="0" w:line="284" w:lineRule="auto"/>
        <w:tabs>
          <w:tab w:leader="none" w:pos="2355" w:val="left"/>
        </w:tabs>
        <w:numPr>
          <w:ilvl w:val="1"/>
          <w:numId w:val="136"/>
        </w:numPr>
        <w:rPr>
          <w:rFonts w:ascii="Arial" w:cs="Arial" w:eastAsia="Arial" w:hAnsi="Arial"/>
          <w:sz w:val="16"/>
          <w:szCs w:val="16"/>
          <w:color w:val="auto"/>
        </w:rPr>
      </w:pPr>
      <w:r>
        <w:rPr>
          <w:rFonts w:ascii="Arial" w:cs="Arial" w:eastAsia="Arial" w:hAnsi="Arial"/>
          <w:sz w:val="16"/>
          <w:szCs w:val="16"/>
          <w:color w:val="auto"/>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six (6)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Arial" w:cs="Arial" w:eastAsia="Arial" w:hAnsi="Arial"/>
          <w:sz w:val="16"/>
          <w:szCs w:val="16"/>
          <w:b w:val="1"/>
          <w:bCs w:val="1"/>
          <w:i w:val="1"/>
          <w:iCs w:val="1"/>
          <w:color w:val="auto"/>
        </w:rPr>
        <w:t>Non-CIC COBRA Payment Period</w:t>
      </w:r>
      <w:r>
        <w:rPr>
          <w:rFonts w:ascii="Arial" w:cs="Arial" w:eastAsia="Arial" w:hAnsi="Arial"/>
          <w:sz w:val="16"/>
          <w:szCs w:val="16"/>
          <w:color w:val="auto"/>
        </w:rPr>
        <w:t>”)). Notwithstanding the foregoing, if at any time the Company determines that its payment of COBRA, or state continuation coverage, premiums on Executive’s behalf would result in a violation of applicable law (including, but not limited to, the 2010 Patient Protection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500" w:top="268" w:right="519" w:bottom="1440" w:gutter="0" w:footer="0" w:header="0"/>
        </w:sectPr>
      </w:pPr>
    </w:p>
    <w:bookmarkStart w:id="95" w:name="page96"/>
    <w:bookmarkEnd w:id="95"/>
    <w:p>
      <w:pPr>
        <w:ind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and Affordable Care Act, as amended by the 2010 Health Care and Education Reconciliation Act), then in lieu of paying such premiums pursuant to this Section, the Company shall pay Executive on the last day of each remaining month of the Non-CIC COBRA Payment Period, a fully taxable cash payment equal to the COBRA or state continuation coverage premium for such month, subject to applicable tax withholding, for the remainder of the Non-CIC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 and</w:t>
      </w:r>
    </w:p>
    <w:p>
      <w:pPr>
        <w:spacing w:after="0" w:line="190" w:lineRule="exact"/>
        <w:rPr>
          <w:sz w:val="20"/>
          <w:szCs w:val="20"/>
          <w:color w:val="auto"/>
        </w:rPr>
      </w:pPr>
    </w:p>
    <w:p>
      <w:pPr>
        <w:ind w:right="220" w:firstLine="1960"/>
        <w:spacing w:after="0" w:line="253" w:lineRule="auto"/>
        <w:tabs>
          <w:tab w:leader="none" w:pos="2401" w:val="left"/>
        </w:tabs>
        <w:numPr>
          <w:ilvl w:val="2"/>
          <w:numId w:val="137"/>
        </w:numPr>
        <w:rPr>
          <w:rFonts w:ascii="Arial" w:cs="Arial" w:eastAsia="Arial" w:hAnsi="Arial"/>
          <w:sz w:val="18"/>
          <w:szCs w:val="18"/>
          <w:color w:val="auto"/>
        </w:rPr>
      </w:pPr>
      <w:r>
        <w:rPr>
          <w:rFonts w:ascii="Arial" w:cs="Arial" w:eastAsia="Arial" w:hAnsi="Arial"/>
          <w:sz w:val="18"/>
          <w:szCs w:val="18"/>
          <w:color w:val="auto"/>
        </w:rPr>
        <w:t>The Company will pay Executive an amount equal to the Annual Bonus under Section 2.2 for the calendar year in which Executive’s termination occurs, prorated for the actual time worked in that calendar year through the Executive’s date of Separation of Service,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w:t>
      </w:r>
    </w:p>
    <w:p>
      <w:pPr>
        <w:spacing w:after="0" w:line="189" w:lineRule="exact"/>
        <w:rPr>
          <w:rFonts w:ascii="Arial" w:cs="Arial" w:eastAsia="Arial" w:hAnsi="Arial"/>
          <w:sz w:val="18"/>
          <w:szCs w:val="18"/>
          <w:color w:val="auto"/>
        </w:rPr>
      </w:pPr>
    </w:p>
    <w:p>
      <w:pPr>
        <w:ind w:firstLine="1416"/>
        <w:spacing w:after="0" w:line="280" w:lineRule="auto"/>
        <w:tabs>
          <w:tab w:leader="none" w:pos="1790" w:val="left"/>
        </w:tabs>
        <w:numPr>
          <w:ilvl w:val="1"/>
          <w:numId w:val="138"/>
        </w:numPr>
        <w:rPr>
          <w:rFonts w:ascii="Arial" w:cs="Arial" w:eastAsia="Arial" w:hAnsi="Arial"/>
          <w:sz w:val="16"/>
          <w:szCs w:val="16"/>
          <w:b w:val="1"/>
          <w:bCs w:val="1"/>
          <w:color w:val="auto"/>
        </w:rPr>
      </w:pPr>
      <w:r>
        <w:rPr>
          <w:rFonts w:ascii="Arial" w:cs="Arial" w:eastAsia="Arial" w:hAnsi="Arial"/>
          <w:sz w:val="16"/>
          <w:szCs w:val="16"/>
          <w:color w:val="auto"/>
        </w:rPr>
        <w:t>Executive will be paid all of the Accrued Obligations on the Company’s first administratively feasible payroll date after Executive’s date of termination from employment or earlier if required by law. Executive shall receive the Non-CIC Severance Benefits pursuant to Section 6.1(b) or the CIC Severance Benefits pursuant to Section 6.2(a) of this Agreement if: (i) by the sixtieth (60th) day following the date of Executive’s Separation from Service, Executive has signed and delivered to the Company a separation agreement containing an effective, general release of claims in favor of the Company and its affiliates and representatives, in the form presented by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which cannot be revoked in whole or part by such date (the date that the Release can no longer be revoked is referred to as the “</w:t>
      </w:r>
      <w:r>
        <w:rPr>
          <w:rFonts w:ascii="Arial" w:cs="Arial" w:eastAsia="Arial" w:hAnsi="Arial"/>
          <w:sz w:val="16"/>
          <w:szCs w:val="16"/>
          <w:b w:val="1"/>
          <w:bCs w:val="1"/>
          <w:i w:val="1"/>
          <w:iCs w:val="1"/>
          <w:color w:val="auto"/>
        </w:rPr>
        <w:t>Release Effective Date</w:t>
      </w:r>
      <w:r>
        <w:rPr>
          <w:rFonts w:ascii="Arial" w:cs="Arial" w:eastAsia="Arial" w:hAnsi="Arial"/>
          <w:sz w:val="16"/>
          <w:szCs w:val="16"/>
          <w:color w:val="auto"/>
        </w:rPr>
        <w:t>”); and (ii) if Executive holds any other positions with the Company or any Affiliate, including a position on the Board, Executive resigns such position(s) to be effective no later than the date of Executive’s termination date (or such other date as requested by the Board); (iii) Executive returns all Company property;</w:t>
      </w:r>
    </w:p>
    <w:p>
      <w:pPr>
        <w:spacing w:after="0" w:line="3" w:lineRule="exact"/>
        <w:rPr>
          <w:rFonts w:ascii="Arial" w:cs="Arial" w:eastAsia="Arial" w:hAnsi="Arial"/>
          <w:sz w:val="16"/>
          <w:szCs w:val="16"/>
          <w:b w:val="1"/>
          <w:bCs w:val="1"/>
          <w:color w:val="auto"/>
        </w:rPr>
      </w:pPr>
    </w:p>
    <w:p>
      <w:pPr>
        <w:jc w:val="both"/>
        <w:ind w:right="340"/>
        <w:spacing w:after="0" w:line="316" w:lineRule="auto"/>
        <w:tabs>
          <w:tab w:leader="none" w:pos="30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Executive complies with all post-termination obligations under this Agreement and the Confidential Information Agreement; and (v) Executive complies with the terms of the Release, including without limitation any non-disparagement and confidentiality provisions contained in the Release.</w:t>
      </w:r>
    </w:p>
    <w:p>
      <w:pPr>
        <w:spacing w:after="0" w:line="142" w:lineRule="exact"/>
        <w:rPr>
          <w:rFonts w:ascii="Arial" w:cs="Arial" w:eastAsia="Arial" w:hAnsi="Arial"/>
          <w:sz w:val="16"/>
          <w:szCs w:val="16"/>
          <w:color w:val="auto"/>
        </w:rPr>
      </w:pPr>
    </w:p>
    <w:p>
      <w:pPr>
        <w:ind w:firstLine="1416"/>
        <w:spacing w:after="0" w:line="255" w:lineRule="auto"/>
        <w:tabs>
          <w:tab w:leader="none" w:pos="1810" w:val="left"/>
        </w:tabs>
        <w:numPr>
          <w:ilvl w:val="1"/>
          <w:numId w:val="139"/>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Accrued Obligations</w:t>
      </w:r>
      <w:r>
        <w:rPr>
          <w:rFonts w:ascii="Arial" w:cs="Arial" w:eastAsia="Arial" w:hAnsi="Arial"/>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87" w:lineRule="exact"/>
        <w:rPr>
          <w:rFonts w:ascii="Arial" w:cs="Arial" w:eastAsia="Arial" w:hAnsi="Arial"/>
          <w:sz w:val="18"/>
          <w:szCs w:val="18"/>
          <w:b w:val="1"/>
          <w:bCs w:val="1"/>
          <w:color w:val="auto"/>
        </w:rPr>
      </w:pPr>
    </w:p>
    <w:p>
      <w:pPr>
        <w:ind w:right="140" w:firstLine="1416"/>
        <w:spacing w:after="0" w:line="306" w:lineRule="auto"/>
        <w:tabs>
          <w:tab w:leader="none" w:pos="1787" w:val="left"/>
        </w:tabs>
        <w:numPr>
          <w:ilvl w:val="1"/>
          <w:numId w:val="139"/>
        </w:numPr>
        <w:rPr>
          <w:rFonts w:ascii="Arial" w:cs="Arial" w:eastAsia="Arial" w:hAnsi="Arial"/>
          <w:sz w:val="16"/>
          <w:szCs w:val="16"/>
          <w:b w:val="1"/>
          <w:bCs w:val="1"/>
          <w:color w:val="auto"/>
        </w:rPr>
      </w:pPr>
      <w:r>
        <w:rPr>
          <w:rFonts w:ascii="Arial" w:cs="Arial" w:eastAsia="Arial" w:hAnsi="Arial"/>
          <w:sz w:val="16"/>
          <w:szCs w:val="16"/>
          <w:color w:val="auto"/>
        </w:rPr>
        <w:t>The Non-CIC Severance Benefits provided to Executive pursuant to this Section 6.1 are in lieu of, and not in addition to, any benefits to which Executive may otherwise be entitled under any Company severance plan, policy, program, or prior agreement with the Company. For avoidance of doubt, Executive shall not be eligible for both the CIC Severance Benefits and the Non-CIC Severance Benefits.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00" w:top="272" w:right="519" w:bottom="1440" w:gutter="0" w:footer="0" w:header="0"/>
        </w:sectPr>
      </w:pPr>
    </w:p>
    <w:bookmarkStart w:id="96" w:name="page97"/>
    <w:bookmarkEnd w:id="96"/>
    <w:p>
      <w:pPr>
        <w:jc w:val="both"/>
        <w:ind w:right="60" w:firstLine="1416"/>
        <w:spacing w:after="0" w:line="281" w:lineRule="auto"/>
        <w:tabs>
          <w:tab w:leader="none" w:pos="1761" w:val="left"/>
        </w:tabs>
        <w:numPr>
          <w:ilvl w:val="0"/>
          <w:numId w:val="14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damages caused by the termination of Executive’s employment without Cause not in connection with a Change in Control would be difficult to ascertain; therefore, the Non-CIC Severance Benefits for which Executive is eligible pursuant to Section 6.1(b) above in exchange for the Release is agreed to by the parties as liquidated damages, to serve as full compensation, and not a penalty.</w:t>
      </w:r>
    </w:p>
    <w:p>
      <w:pPr>
        <w:spacing w:after="0" w:line="167" w:lineRule="exact"/>
        <w:rPr>
          <w:rFonts w:ascii="Arial" w:cs="Arial" w:eastAsia="Arial" w:hAnsi="Arial"/>
          <w:sz w:val="17"/>
          <w:szCs w:val="17"/>
          <w:b w:val="1"/>
          <w:bCs w:val="1"/>
          <w:color w:val="auto"/>
        </w:rPr>
      </w:pPr>
    </w:p>
    <w:p>
      <w:pPr>
        <w:ind w:firstLine="1416"/>
        <w:spacing w:after="0" w:line="265" w:lineRule="auto"/>
        <w:tabs>
          <w:tab w:leader="none" w:pos="1800" w:val="left"/>
        </w:tabs>
        <w:numPr>
          <w:ilvl w:val="0"/>
          <w:numId w:val="140"/>
        </w:numPr>
        <w:rPr>
          <w:rFonts w:ascii="Arial" w:cs="Arial" w:eastAsia="Arial" w:hAnsi="Arial"/>
          <w:sz w:val="17"/>
          <w:szCs w:val="17"/>
          <w:b w:val="1"/>
          <w:bCs w:val="1"/>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xml:space="preserve">” shall mean the occurrence of any of the following events without Executive’s consent: (i) a material reduction in Executive’s Base Salary of at least 10%; or (ii) a material reduction in Executive’s duties, authority and responsibilities relative to Executive’s duties, authority, and responsibilities in effect immediately prior to such reduction,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neither the conversion of the Company to a subsidiary, division or unit of an acquiring entity in connection with a change in control, nor a change in title or Executive’s reporting relationships will be deemed a “material reduction” in and of itself;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such termination by Executive shall only be deemed for Good Reason pursuant to this definition if: (1) Executive gives the Company written notice of Executive’s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Arial" w:cs="Arial" w:eastAsia="Arial" w:hAnsi="Arial"/>
          <w:sz w:val="17"/>
          <w:szCs w:val="17"/>
          <w:b w:val="1"/>
          <w:bCs w:val="1"/>
          <w:i w:val="1"/>
          <w:iCs w:val="1"/>
          <w:color w:val="auto"/>
        </w:rPr>
        <w:t>Cure Period</w:t>
      </w:r>
      <w:r>
        <w:rPr>
          <w:rFonts w:ascii="Arial" w:cs="Arial" w:eastAsia="Arial" w:hAnsi="Arial"/>
          <w:sz w:val="17"/>
          <w:szCs w:val="17"/>
          <w:color w:val="auto"/>
        </w:rPr>
        <w:t>”); (3) the Company has not, prior to receiving such notice from Executive, already informed Executive that Executive’s employment with the Company is being terminated; and (4) Executive voluntarily terminates Executive’s employment within thirty (30) days following the end of the Cure Period.</w:t>
      </w:r>
    </w:p>
    <w:p>
      <w:pPr>
        <w:spacing w:after="0" w:line="290"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Termination by the Company without Cause or Resignation by Executive for Good Reason (in connection with a Change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w:t>
      </w:r>
    </w:p>
    <w:p>
      <w:pPr>
        <w:spacing w:after="0" w:line="100" w:lineRule="exact"/>
        <w:rPr>
          <w:sz w:val="20"/>
          <w:szCs w:val="20"/>
          <w:color w:val="auto"/>
        </w:rPr>
      </w:pPr>
    </w:p>
    <w:p>
      <w:pPr>
        <w:ind w:right="160" w:firstLine="1416"/>
        <w:spacing w:after="0" w:line="292" w:lineRule="auto"/>
        <w:tabs>
          <w:tab w:leader="none" w:pos="1800" w:val="left"/>
        </w:tabs>
        <w:numPr>
          <w:ilvl w:val="0"/>
          <w:numId w:val="141"/>
        </w:numPr>
        <w:rPr>
          <w:rFonts w:ascii="Arial" w:cs="Arial" w:eastAsia="Arial" w:hAnsi="Arial"/>
          <w:sz w:val="16"/>
          <w:szCs w:val="16"/>
          <w:b w:val="1"/>
          <w:bCs w:val="1"/>
          <w:color w:val="auto"/>
        </w:rPr>
      </w:pPr>
      <w:r>
        <w:rPr>
          <w:rFonts w:ascii="Arial" w:cs="Arial" w:eastAsia="Arial" w:hAnsi="Arial"/>
          <w:sz w:val="16"/>
          <w:szCs w:val="16"/>
          <w:color w:val="auto"/>
        </w:rPr>
        <w:t>In the event that Executive’s employment is terminated without Cause or Executive resigns for Good Reason, in either case, within three (3) months preceding and twelve (12) months following the effective date of a Change in Control (the “</w:t>
      </w:r>
      <w:r>
        <w:rPr>
          <w:rFonts w:ascii="Arial" w:cs="Arial" w:eastAsia="Arial" w:hAnsi="Arial"/>
          <w:sz w:val="16"/>
          <w:szCs w:val="16"/>
          <w:b w:val="1"/>
          <w:bCs w:val="1"/>
          <w:i w:val="1"/>
          <w:iCs w:val="1"/>
          <w:color w:val="auto"/>
        </w:rPr>
        <w:t>Change in Control Measurement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of the Company, then Executive shall be entitled to the Accrued Obligations and, subject to Executive’s full compliance with Section 6.1(c)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above, including but not limited to the Release requirement and Executive’s continued compliance with obligations to the Company under Executive’s Confidential Information Agreement, then Executive will be eligible for the following “</w:t>
      </w:r>
      <w:r>
        <w:rPr>
          <w:rFonts w:ascii="Arial" w:cs="Arial" w:eastAsia="Arial" w:hAnsi="Arial"/>
          <w:sz w:val="16"/>
          <w:szCs w:val="16"/>
          <w:b w:val="1"/>
          <w:bCs w:val="1"/>
          <w:i w:val="1"/>
          <w:iCs w:val="1"/>
          <w:color w:val="auto"/>
        </w:rPr>
        <w:t>CIC Severance Benefits</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ind w:right="40" w:firstLine="1960"/>
        <w:spacing w:after="0" w:line="271" w:lineRule="auto"/>
        <w:tabs>
          <w:tab w:leader="none" w:pos="230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Company will pay Executive severance pay in the form of continuation of Executive’s then-current Base Salary for six (6) months (the “</w:t>
      </w:r>
      <w:r>
        <w:rPr>
          <w:rFonts w:ascii="Arial" w:cs="Arial" w:eastAsia="Arial" w:hAnsi="Arial"/>
          <w:sz w:val="17"/>
          <w:szCs w:val="17"/>
          <w:b w:val="1"/>
          <w:bCs w:val="1"/>
          <w:i w:val="1"/>
          <w:iCs w:val="1"/>
          <w:color w:val="auto"/>
        </w:rPr>
        <w:t>CIC Severance</w:t>
      </w:r>
      <w:r>
        <w:rPr>
          <w:rFonts w:ascii="Arial" w:cs="Arial" w:eastAsia="Arial" w:hAnsi="Arial"/>
          <w:sz w:val="17"/>
          <w:szCs w:val="17"/>
          <w:color w:val="auto"/>
        </w:rPr>
        <w:t xml:space="preserve">”). The CIC Severance will be paid in substantially equal installments on the Company’s regular payroll schedule following the termination date, subject to standard deductions and withholdings;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portion of the 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500" w:top="272" w:right="539" w:bottom="1440" w:gutter="0" w:footer="0" w:header="0"/>
        </w:sectPr>
      </w:pPr>
    </w:p>
    <w:bookmarkStart w:id="97" w:name="page98"/>
    <w:bookmarkEnd w:id="97"/>
    <w:p>
      <w:pPr>
        <w:ind w:firstLine="1960"/>
        <w:spacing w:after="0" w:line="282" w:lineRule="auto"/>
        <w:tabs>
          <w:tab w:leader="none" w:pos="2355" w:val="left"/>
        </w:tabs>
        <w:numPr>
          <w:ilvl w:val="0"/>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six (6)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Arial" w:cs="Arial" w:eastAsia="Arial" w:hAnsi="Arial"/>
          <w:sz w:val="16"/>
          <w:szCs w:val="16"/>
          <w:b w:val="1"/>
          <w:bCs w:val="1"/>
          <w:i w:val="1"/>
          <w:iCs w:val="1"/>
          <w:color w:val="auto"/>
        </w:rPr>
        <w:t>CIC COBRA Payment Period</w:t>
      </w:r>
      <w:r>
        <w:rPr>
          <w:rFonts w:ascii="Arial" w:cs="Arial" w:eastAsia="Arial" w:hAnsi="Arial"/>
          <w:sz w:val="16"/>
          <w:szCs w:val="16"/>
          <w:color w:val="auto"/>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w:t>
      </w:r>
    </w:p>
    <w:p>
      <w:pPr>
        <w:spacing w:after="0" w:line="172" w:lineRule="exact"/>
        <w:rPr>
          <w:rFonts w:ascii="Arial" w:cs="Arial" w:eastAsia="Arial" w:hAnsi="Arial"/>
          <w:sz w:val="16"/>
          <w:szCs w:val="16"/>
          <w:color w:val="auto"/>
        </w:rPr>
      </w:pPr>
    </w:p>
    <w:p>
      <w:pPr>
        <w:jc w:val="both"/>
        <w:ind w:right="40" w:firstLine="1960"/>
        <w:spacing w:after="0" w:line="258" w:lineRule="auto"/>
        <w:tabs>
          <w:tab w:leader="none" w:pos="240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will make a cash payment to Executive in an amount equal to 50% of the Target Percentage for the year in which the termination occurs, subject to standard deductions and withholdings, which will be paid in a lump sum on the sixtieth (60th) day following Executive’s date of Separation from Service;</w:t>
      </w:r>
    </w:p>
    <w:p>
      <w:pPr>
        <w:spacing w:after="0" w:line="186" w:lineRule="exact"/>
        <w:rPr>
          <w:rFonts w:ascii="Arial" w:cs="Arial" w:eastAsia="Arial" w:hAnsi="Arial"/>
          <w:sz w:val="18"/>
          <w:szCs w:val="18"/>
          <w:color w:val="auto"/>
        </w:rPr>
      </w:pPr>
    </w:p>
    <w:p>
      <w:pPr>
        <w:ind w:right="380" w:firstLine="1960"/>
        <w:spacing w:after="0" w:line="255" w:lineRule="auto"/>
        <w:tabs>
          <w:tab w:leader="none" w:pos="239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will pay Executive an amount equal to the Annual Bonus under Section 2.2 for the calendar year in which Executive’s termination occurs,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 and</w:t>
      </w:r>
    </w:p>
    <w:p>
      <w:pPr>
        <w:spacing w:after="0" w:line="187" w:lineRule="exact"/>
        <w:rPr>
          <w:rFonts w:ascii="Arial" w:cs="Arial" w:eastAsia="Arial" w:hAnsi="Arial"/>
          <w:sz w:val="18"/>
          <w:szCs w:val="18"/>
          <w:color w:val="auto"/>
        </w:rPr>
      </w:pPr>
    </w:p>
    <w:p>
      <w:pPr>
        <w:ind w:right="20" w:firstLine="1960"/>
        <w:spacing w:after="0" w:line="333" w:lineRule="auto"/>
        <w:tabs>
          <w:tab w:leader="none" w:pos="234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Effective as of Executive’s termination date, the vesting and exercisability of all outstanding equity awards subject only to a time-based vesting schedule that are held by Executive immediately prior to the termination date (if any) shall be accelerated in full.</w:t>
      </w:r>
    </w:p>
    <w:p>
      <w:pPr>
        <w:spacing w:after="0" w:line="130" w:lineRule="exact"/>
        <w:rPr>
          <w:sz w:val="20"/>
          <w:szCs w:val="20"/>
          <w:color w:val="auto"/>
        </w:rPr>
      </w:pPr>
    </w:p>
    <w:p>
      <w:pPr>
        <w:ind w:left="1820" w:hanging="404"/>
        <w:spacing w:after="0"/>
        <w:tabs>
          <w:tab w:leader="none" w:pos="1820" w:val="left"/>
        </w:tabs>
        <w:numPr>
          <w:ilvl w:val="0"/>
          <w:numId w:val="143"/>
        </w:numPr>
        <w:rPr>
          <w:rFonts w:ascii="Arial" w:cs="Arial" w:eastAsia="Arial" w:hAnsi="Arial"/>
          <w:sz w:val="17"/>
          <w:szCs w:val="17"/>
          <w:b w:val="1"/>
          <w:bCs w:val="1"/>
          <w:color w:val="auto"/>
        </w:rPr>
      </w:pPr>
      <w:r>
        <w:rPr>
          <w:rFonts w:ascii="Arial" w:cs="Arial" w:eastAsia="Arial" w:hAnsi="Arial"/>
          <w:sz w:val="17"/>
          <w:szCs w:val="17"/>
          <w:color w:val="auto"/>
        </w:rPr>
        <w:t>For purposes of this Agreement, 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have the meaning set forth in the Company’s 2021 Equity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Incentive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500" w:top="272" w:right="519" w:bottom="1440" w:gutter="0" w:footer="0" w:header="0"/>
        </w:sectPr>
      </w:pPr>
    </w:p>
    <w:bookmarkStart w:id="98" w:name="page99"/>
    <w:bookmarkEnd w:id="98"/>
    <w:p>
      <w:pPr>
        <w:ind w:right="540" w:firstLine="1416"/>
        <w:spacing w:after="0" w:line="270" w:lineRule="auto"/>
        <w:tabs>
          <w:tab w:leader="none" w:pos="1787"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CIC Severance Benefits provided to Executive pursuant to this Section 6.2 are in lieu of, and not in addition to, any benefits to which Executive may otherwise be entitled under any Company severance plan, policy or program.</w:t>
      </w:r>
    </w:p>
    <w:p>
      <w:pPr>
        <w:spacing w:after="0" w:line="174" w:lineRule="exact"/>
        <w:rPr>
          <w:rFonts w:ascii="Arial" w:cs="Arial" w:eastAsia="Arial" w:hAnsi="Arial"/>
          <w:sz w:val="18"/>
          <w:szCs w:val="18"/>
          <w:b w:val="1"/>
          <w:bCs w:val="1"/>
          <w:color w:val="auto"/>
        </w:rPr>
      </w:pPr>
    </w:p>
    <w:p>
      <w:pPr>
        <w:ind w:firstLine="1416"/>
        <w:spacing w:after="0" w:line="281" w:lineRule="auto"/>
        <w:tabs>
          <w:tab w:leader="none" w:pos="1801" w:val="left"/>
        </w:tabs>
        <w:numPr>
          <w:ilvl w:val="0"/>
          <w:numId w:val="144"/>
        </w:numPr>
        <w:rPr>
          <w:rFonts w:ascii="Arial" w:cs="Arial" w:eastAsia="Arial" w:hAnsi="Arial"/>
          <w:sz w:val="17"/>
          <w:szCs w:val="17"/>
          <w:b w:val="1"/>
          <w:bCs w:val="1"/>
          <w:color w:val="auto"/>
        </w:rPr>
      </w:pPr>
      <w:r>
        <w:rPr>
          <w:rFonts w:ascii="Arial" w:cs="Arial" w:eastAsia="Arial" w:hAnsi="Arial"/>
          <w:sz w:val="17"/>
          <w:szCs w:val="17"/>
          <w:color w:val="auto"/>
        </w:rPr>
        <w:t>Any damages caused by the termination of Executive’s employment without Cause during the Change in Control Measurement Period would be difficult to ascertain; therefore, the CIC Severance Benefits for which Executive is eligible pursuant to Section 6.2(a) above in exchange for the Release are agreed to by the parties as liquidated damages, to serve as full compensation, and not a penalty.</w:t>
      </w:r>
    </w:p>
    <w:p>
      <w:pPr>
        <w:spacing w:after="0" w:line="270"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Termination by the Company for Cause</w:t>
      </w:r>
      <w:r>
        <w:rPr>
          <w:rFonts w:ascii="Arial" w:cs="Arial" w:eastAsia="Arial" w:hAnsi="Arial"/>
          <w:sz w:val="16"/>
          <w:szCs w:val="16"/>
          <w:color w:val="auto"/>
        </w:rPr>
        <w:t>.</w:t>
      </w:r>
    </w:p>
    <w:p>
      <w:pPr>
        <w:spacing w:after="0" w:line="117" w:lineRule="exact"/>
        <w:rPr>
          <w:sz w:val="20"/>
          <w:szCs w:val="20"/>
          <w:color w:val="auto"/>
        </w:rPr>
      </w:pPr>
    </w:p>
    <w:p>
      <w:pPr>
        <w:ind w:right="40" w:firstLine="980"/>
        <w:spacing w:after="0" w:line="270" w:lineRule="auto"/>
        <w:rPr>
          <w:sz w:val="20"/>
          <w:szCs w:val="20"/>
          <w:color w:val="auto"/>
        </w:rPr>
      </w:pPr>
      <w:r>
        <w:rPr>
          <w:rFonts w:ascii="Arial" w:cs="Arial" w:eastAsia="Arial" w:hAnsi="Arial"/>
          <w:sz w:val="18"/>
          <w:szCs w:val="18"/>
          <w:color w:val="auto"/>
        </w:rPr>
        <w:t>Subject to Section 6.3(b) below, the Company shall have the right to terminate Executive’s employment with the Company at any time for Cause by giving notice as described in Section 6.7 of this Agreement.</w:t>
      </w:r>
    </w:p>
    <w:p>
      <w:pPr>
        <w:spacing w:after="0" w:line="175" w:lineRule="exact"/>
        <w:rPr>
          <w:sz w:val="20"/>
          <w:szCs w:val="20"/>
          <w:color w:val="auto"/>
        </w:rPr>
      </w:pPr>
    </w:p>
    <w:p>
      <w:pPr>
        <w:ind w:firstLine="1416"/>
        <w:spacing w:after="0" w:line="281" w:lineRule="auto"/>
        <w:tabs>
          <w:tab w:leader="none" w:pos="1800" w:val="left"/>
        </w:tabs>
        <w:numPr>
          <w:ilvl w:val="1"/>
          <w:numId w:val="14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for termination shall mean that the Company has determined in its sole discretion that Executive has engaged in any of the following: (i) a material breach of any covenant or condition under this Agreement or any other agreement between the parties; (ii) any act constituting dishonesty, fraud, immoral or disreputable conduct; (iii) any conduct which constitutes a felony under applicable law; (iv) material violation of any Company policy or any act of misconduct; (v) refusal to follow or implement a clear and reasonable directive of the Company; (vi) negligence or incompetence in the performance of Executive’s duties after the expiration of ten (10) days without cure after written notice of such failure; or</w:t>
      </w:r>
    </w:p>
    <w:p>
      <w:pPr>
        <w:spacing w:after="0" w:line="3" w:lineRule="exact"/>
        <w:rPr>
          <w:rFonts w:ascii="Arial" w:cs="Arial" w:eastAsia="Arial" w:hAnsi="Arial"/>
          <w:sz w:val="16"/>
          <w:szCs w:val="16"/>
          <w:b w:val="1"/>
          <w:bCs w:val="1"/>
          <w:color w:val="auto"/>
        </w:rPr>
      </w:pPr>
    </w:p>
    <w:p>
      <w:pPr>
        <w:spacing w:after="0" w:line="267" w:lineRule="auto"/>
        <w:tabs>
          <w:tab w:leader="none" w:pos="35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breach of fiduciary duty. For the avoidance of doubt, if the Company determines after Executive’s termination date that it would have had a basis to terminate Executive’s employment for Cause prior to Executive’s departure, then any obligation that the Company otherwise had to provide Executive with the Non-CIC Severance Benefits or the CIC Severance Benefits will immediately cease and Executive will be required to repay the Company for any portion of the Non-CIC Severance Benefits or the CIC Severance Benefits provided by the Company as of such date of notice from the Company (net of tax), to be repaid by Executive within thirty (30) days of demand by the Company.</w:t>
      </w:r>
    </w:p>
    <w:p>
      <w:pPr>
        <w:spacing w:after="0" w:line="180" w:lineRule="exact"/>
        <w:rPr>
          <w:rFonts w:ascii="Arial" w:cs="Arial" w:eastAsia="Arial" w:hAnsi="Arial"/>
          <w:sz w:val="17"/>
          <w:szCs w:val="17"/>
          <w:color w:val="auto"/>
        </w:rPr>
      </w:pPr>
    </w:p>
    <w:p>
      <w:pPr>
        <w:ind w:right="180" w:firstLine="1416"/>
        <w:spacing w:after="0" w:line="258" w:lineRule="auto"/>
        <w:tabs>
          <w:tab w:leader="none" w:pos="1810" w:val="left"/>
        </w:tabs>
        <w:numPr>
          <w:ilvl w:val="1"/>
          <w:numId w:val="146"/>
        </w:numPr>
        <w:rPr>
          <w:rFonts w:ascii="Arial" w:cs="Arial" w:eastAsia="Arial" w:hAnsi="Arial"/>
          <w:sz w:val="18"/>
          <w:szCs w:val="18"/>
          <w:b w:val="1"/>
          <w:bCs w:val="1"/>
          <w:color w:val="auto"/>
        </w:rPr>
      </w:pPr>
      <w:r>
        <w:rPr>
          <w:rFonts w:ascii="Arial" w:cs="Arial" w:eastAsia="Arial" w:hAnsi="Arial"/>
          <w:sz w:val="18"/>
          <w:szCs w:val="18"/>
          <w:color w:val="auto"/>
        </w:rPr>
        <w:t>In the event Executive’s employment is terminated at any time for Cause, Executive will not receive the Non-CIC Severance Benefits, the CIC Severance Benefits, or any other severance compensation or benefit, except that, consistent with the Company’s standard payroll policies, the Company shall provide to Executive the Accrued Obligations.</w:t>
      </w:r>
    </w:p>
    <w:p>
      <w:pPr>
        <w:spacing w:after="0" w:line="289"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4"/>
          <w:szCs w:val="14"/>
          <w:b w:val="1"/>
          <w:bCs w:val="1"/>
          <w:u w:val="single" w:color="auto"/>
          <w:color w:val="auto"/>
        </w:rPr>
        <w:t>Resignation by Executive (other than for Good Reason)</w:t>
      </w:r>
      <w:r>
        <w:rPr>
          <w:rFonts w:ascii="Arial" w:cs="Arial" w:eastAsia="Arial" w:hAnsi="Arial"/>
          <w:sz w:val="14"/>
          <w:szCs w:val="14"/>
          <w:color w:val="auto"/>
        </w:rPr>
        <w:t>.</w:t>
      </w:r>
    </w:p>
    <w:p>
      <w:pPr>
        <w:spacing w:after="0" w:line="117" w:lineRule="exact"/>
        <w:rPr>
          <w:sz w:val="20"/>
          <w:szCs w:val="20"/>
          <w:color w:val="auto"/>
        </w:rPr>
      </w:pPr>
    </w:p>
    <w:p>
      <w:pPr>
        <w:ind w:left="1800" w:hanging="384"/>
        <w:spacing w:after="0"/>
        <w:tabs>
          <w:tab w:leader="none" w:pos="1800" w:val="left"/>
        </w:tabs>
        <w:numPr>
          <w:ilvl w:val="0"/>
          <w:numId w:val="147"/>
        </w:numPr>
        <w:rPr>
          <w:rFonts w:ascii="Arial" w:cs="Arial" w:eastAsia="Arial" w:hAnsi="Arial"/>
          <w:sz w:val="17"/>
          <w:szCs w:val="17"/>
          <w:b w:val="1"/>
          <w:bCs w:val="1"/>
          <w:color w:val="auto"/>
        </w:rPr>
      </w:pPr>
      <w:r>
        <w:rPr>
          <w:rFonts w:ascii="Arial" w:cs="Arial" w:eastAsia="Arial" w:hAnsi="Arial"/>
          <w:sz w:val="17"/>
          <w:szCs w:val="17"/>
          <w:color w:val="auto"/>
        </w:rPr>
        <w:t>Executive may resign for any reason from Executive’s employment with the Company at any time by giving notice as</w:t>
      </w:r>
    </w:p>
    <w:p>
      <w:pPr>
        <w:spacing w:after="0" w:line="30"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described in Section 6.7.</w:t>
      </w:r>
    </w:p>
    <w:p>
      <w:pPr>
        <w:spacing w:after="0" w:line="206" w:lineRule="exact"/>
        <w:rPr>
          <w:rFonts w:ascii="Arial" w:cs="Arial" w:eastAsia="Arial" w:hAnsi="Arial"/>
          <w:sz w:val="17"/>
          <w:szCs w:val="17"/>
          <w:b w:val="1"/>
          <w:bCs w:val="1"/>
          <w:color w:val="auto"/>
        </w:rPr>
      </w:pPr>
    </w:p>
    <w:p>
      <w:pPr>
        <w:ind w:right="100" w:firstLine="1416"/>
        <w:spacing w:after="0" w:line="281" w:lineRule="auto"/>
        <w:tabs>
          <w:tab w:leader="none" w:pos="1810" w:val="left"/>
        </w:tabs>
        <w:numPr>
          <w:ilvl w:val="0"/>
          <w:numId w:val="147"/>
        </w:numPr>
        <w:rPr>
          <w:rFonts w:ascii="Arial" w:cs="Arial" w:eastAsia="Arial" w:hAnsi="Arial"/>
          <w:sz w:val="17"/>
          <w:szCs w:val="17"/>
          <w:b w:val="1"/>
          <w:bCs w:val="1"/>
          <w:color w:val="auto"/>
        </w:rPr>
      </w:pPr>
      <w:r>
        <w:rPr>
          <w:rFonts w:ascii="Arial" w:cs="Arial" w:eastAsia="Arial" w:hAnsi="Arial"/>
          <w:sz w:val="17"/>
          <w:szCs w:val="17"/>
          <w:color w:val="auto"/>
        </w:rPr>
        <w:t>In the event Executive resigns from Executive’s employment with the Company (other than for Good Reason), Executive will not receive the Non-CIC Severance Benefits, the CIC Severance Benefits, or any other severance compensation or benefit, except that, consistent with the Company’s standard payroll policies, the Company shall provide to Executive the Accrued Obligations.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500" w:top="272" w:right="539" w:bottom="1440" w:gutter="0" w:footer="0" w:header="0"/>
        </w:sectPr>
      </w:pPr>
    </w:p>
    <w:bookmarkStart w:id="99" w:name="page100"/>
    <w:bookmarkEnd w:id="99"/>
    <w:p>
      <w:pPr>
        <w:ind w:left="960"/>
        <w:spacing w:after="0"/>
        <w:tabs>
          <w:tab w:leader="none" w:pos="13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6.5</w:t>
      </w:r>
      <w:r>
        <w:rPr>
          <w:sz w:val="20"/>
          <w:szCs w:val="20"/>
          <w:color w:val="auto"/>
        </w:rPr>
        <w:tab/>
      </w:r>
      <w:r>
        <w:rPr>
          <w:rFonts w:ascii="Arial" w:cs="Arial" w:eastAsia="Arial" w:hAnsi="Arial"/>
          <w:sz w:val="16"/>
          <w:szCs w:val="16"/>
          <w:b w:val="1"/>
          <w:bCs w:val="1"/>
          <w:u w:val="single" w:color="auto"/>
          <w:color w:val="auto"/>
        </w:rPr>
        <w:t>Termination by Virtue of Death or Disability of Executive</w:t>
      </w:r>
      <w:r>
        <w:rPr>
          <w:rFonts w:ascii="Arial" w:cs="Arial" w:eastAsia="Arial" w:hAnsi="Arial"/>
          <w:sz w:val="16"/>
          <w:szCs w:val="16"/>
          <w:color w:val="auto"/>
        </w:rPr>
        <w:t>.</w:t>
      </w:r>
    </w:p>
    <w:p>
      <w:pPr>
        <w:spacing w:after="0" w:line="117" w:lineRule="exact"/>
        <w:rPr>
          <w:sz w:val="20"/>
          <w:szCs w:val="20"/>
          <w:color w:val="auto"/>
        </w:rPr>
      </w:pPr>
    </w:p>
    <w:p>
      <w:pPr>
        <w:ind w:left="-20" w:right="200" w:firstLine="1416"/>
        <w:spacing w:after="0" w:line="255" w:lineRule="auto"/>
        <w:tabs>
          <w:tab w:leader="none" w:pos="178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be eligible for the Non-CIC Severance Benefits, the CIC Severance Benefits, or any other severance compensation or benefit.</w:t>
      </w:r>
    </w:p>
    <w:p>
      <w:pPr>
        <w:spacing w:after="0" w:line="187" w:lineRule="exact"/>
        <w:rPr>
          <w:rFonts w:ascii="Arial" w:cs="Arial" w:eastAsia="Arial" w:hAnsi="Arial"/>
          <w:sz w:val="18"/>
          <w:szCs w:val="18"/>
          <w:b w:val="1"/>
          <w:bCs w:val="1"/>
          <w:color w:val="auto"/>
        </w:rPr>
      </w:pPr>
    </w:p>
    <w:p>
      <w:pPr>
        <w:ind w:left="-20" w:right="80" w:firstLine="1416"/>
        <w:spacing w:after="0" w:line="266" w:lineRule="auto"/>
        <w:tabs>
          <w:tab w:leader="none" w:pos="1790" w:val="left"/>
        </w:tabs>
        <w:numPr>
          <w:ilvl w:val="0"/>
          <w:numId w:val="148"/>
        </w:numPr>
        <w:rPr>
          <w:rFonts w:ascii="Arial" w:cs="Arial" w:eastAsia="Arial" w:hAnsi="Arial"/>
          <w:sz w:val="17"/>
          <w:szCs w:val="17"/>
          <w:b w:val="1"/>
          <w:bCs w:val="1"/>
          <w:color w:val="auto"/>
        </w:rPr>
      </w:pPr>
      <w:r>
        <w:rPr>
          <w:rFonts w:ascii="Arial" w:cs="Arial" w:eastAsia="Arial" w:hAnsi="Arial"/>
          <w:sz w:val="17"/>
          <w:szCs w:val="17"/>
          <w:color w:val="auto"/>
        </w:rPr>
        <w:t>Subject to applicable state and federal law, the Company shall at all times have the right, upon written notice to the Executive, to terminate this Agreement based on Executive’s Disability (as defined below). Termination by the Company of Executive’s employment based on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Non-CIC Severance Benefits, the CIC Severance Benefits, or any other severance compensation or benefit, except that, pursuant to the Company’s standard payroll policies, the Company shall provide to Executive the Accrued Obligations.</w:t>
      </w:r>
    </w:p>
    <w:p>
      <w:pPr>
        <w:spacing w:after="0" w:line="288" w:lineRule="exact"/>
        <w:rPr>
          <w:sz w:val="20"/>
          <w:szCs w:val="20"/>
          <w:color w:val="auto"/>
        </w:rPr>
      </w:pPr>
    </w:p>
    <w:p>
      <w:pPr>
        <w:ind w:left="960"/>
        <w:spacing w:after="0"/>
        <w:tabs>
          <w:tab w:leader="none" w:pos="13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u w:val="single" w:color="auto"/>
          <w:color w:val="auto"/>
        </w:rPr>
        <w:t>Notice; Effective Date of Termination</w:t>
      </w:r>
      <w:r>
        <w:rPr>
          <w:rFonts w:ascii="Arial" w:cs="Arial" w:eastAsia="Arial" w:hAnsi="Arial"/>
          <w:sz w:val="16"/>
          <w:szCs w:val="16"/>
          <w:color w:val="auto"/>
        </w:rPr>
        <w:t>.</w:t>
      </w:r>
    </w:p>
    <w:p>
      <w:pPr>
        <w:spacing w:after="0" w:line="117" w:lineRule="exact"/>
        <w:rPr>
          <w:sz w:val="20"/>
          <w:szCs w:val="20"/>
          <w:color w:val="auto"/>
        </w:rPr>
      </w:pPr>
    </w:p>
    <w:p>
      <w:pPr>
        <w:ind w:left="1780" w:hanging="384"/>
        <w:spacing w:after="0"/>
        <w:tabs>
          <w:tab w:leader="none" w:pos="178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Termination of Executive’s employment pursuant to this Agreement shall be effective on the earliest of:</w:t>
      </w:r>
    </w:p>
    <w:p>
      <w:pPr>
        <w:spacing w:after="0" w:line="219" w:lineRule="exact"/>
        <w:rPr>
          <w:rFonts w:ascii="Arial" w:cs="Arial" w:eastAsia="Arial" w:hAnsi="Arial"/>
          <w:sz w:val="18"/>
          <w:szCs w:val="18"/>
          <w:b w:val="1"/>
          <w:bCs w:val="1"/>
          <w:color w:val="auto"/>
        </w:rPr>
      </w:pPr>
    </w:p>
    <w:p>
      <w:pPr>
        <w:ind w:left="-20" w:right="340" w:firstLine="1960"/>
        <w:spacing w:after="0" w:line="258" w:lineRule="auto"/>
        <w:tabs>
          <w:tab w:leader="none" w:pos="228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immediately after the Company gives notice to Executive of Executive’s termination, with or without Cause, unless pursuant to Section 6.3(a)(vi) in which case ten (10) days after notice if not cured, or unless the Company specifies a later date, in which case, termination shall be effective as of such later date;</w:t>
      </w:r>
    </w:p>
    <w:p>
      <w:pPr>
        <w:spacing w:after="0" w:line="186" w:lineRule="exact"/>
        <w:rPr>
          <w:rFonts w:ascii="Arial" w:cs="Arial" w:eastAsia="Arial" w:hAnsi="Arial"/>
          <w:sz w:val="18"/>
          <w:szCs w:val="18"/>
          <w:color w:val="auto"/>
        </w:rPr>
      </w:pPr>
    </w:p>
    <w:p>
      <w:pPr>
        <w:ind w:left="2340" w:hanging="400"/>
        <w:spacing w:after="0"/>
        <w:tabs>
          <w:tab w:leader="none" w:pos="23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immediately upon Executive’s death;</w:t>
      </w:r>
    </w:p>
    <w:p>
      <w:pPr>
        <w:spacing w:after="0" w:line="219" w:lineRule="exact"/>
        <w:rPr>
          <w:rFonts w:ascii="Arial" w:cs="Arial" w:eastAsia="Arial" w:hAnsi="Arial"/>
          <w:sz w:val="18"/>
          <w:szCs w:val="18"/>
          <w:color w:val="auto"/>
        </w:rPr>
      </w:pPr>
    </w:p>
    <w:p>
      <w:pPr>
        <w:ind w:left="-20" w:firstLine="1960"/>
        <w:spacing w:after="0" w:line="258" w:lineRule="auto"/>
        <w:tabs>
          <w:tab w:leader="none" w:pos="238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immediately after the Company gives written notice to Executive of Executive’s termination on account of Executive’s Disability, unless the Company specifies a later separation date, in which case, termination shall be effective as of such later separation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Executive has not returned to the full-time performance of Executive’s duties prior to such date;</w:t>
      </w:r>
    </w:p>
    <w:p>
      <w:pPr>
        <w:spacing w:after="0" w:line="186" w:lineRule="exact"/>
        <w:rPr>
          <w:rFonts w:ascii="Arial" w:cs="Arial" w:eastAsia="Arial" w:hAnsi="Arial"/>
          <w:sz w:val="18"/>
          <w:szCs w:val="18"/>
          <w:color w:val="auto"/>
        </w:rPr>
      </w:pPr>
    </w:p>
    <w:p>
      <w:pPr>
        <w:jc w:val="both"/>
        <w:ind w:left="-20" w:right="300" w:firstLine="1960"/>
        <w:spacing w:after="0" w:line="255" w:lineRule="auto"/>
        <w:tabs>
          <w:tab w:leader="none" w:pos="237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except as addressed by Section 6.7(a)(v), thirty (30) days after Executive gives written notice to the Company of Executive’s resignation for any reason,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set a separation date at any time between the date of notice and the date of resignation, in which case Executive’s resignation shall be effective as of such other date. Executive will receive compensation through any required notice period;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40"/>
          </w:cols>
          <w:pgMar w:left="520" w:top="268" w:right="539" w:bottom="1440" w:gutter="0" w:footer="0" w:header="0"/>
        </w:sectPr>
      </w:pPr>
    </w:p>
    <w:bookmarkStart w:id="100" w:name="page101"/>
    <w:bookmarkEnd w:id="100"/>
    <w:p>
      <w:pPr>
        <w:ind w:left="1920"/>
        <w:spacing w:after="0"/>
        <w:tabs>
          <w:tab w:leader="none" w:pos="2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w:t>
      </w:r>
      <w:r>
        <w:rPr>
          <w:sz w:val="20"/>
          <w:szCs w:val="20"/>
          <w:color w:val="auto"/>
        </w:rPr>
        <w:tab/>
      </w:r>
      <w:r>
        <w:rPr>
          <w:rFonts w:ascii="Arial" w:cs="Arial" w:eastAsia="Arial" w:hAnsi="Arial"/>
          <w:sz w:val="16"/>
          <w:szCs w:val="16"/>
          <w:color w:val="auto"/>
        </w:rPr>
        <w:t>for a termination for Good Reason, immediately upon Executive’s full satisfaction of the requirements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Section 6.1(g).</w:t>
      </w:r>
    </w:p>
    <w:p>
      <w:pPr>
        <w:spacing w:after="0" w:line="207" w:lineRule="exact"/>
        <w:rPr>
          <w:sz w:val="20"/>
          <w:szCs w:val="20"/>
          <w:color w:val="auto"/>
        </w:rPr>
      </w:pPr>
    </w:p>
    <w:p>
      <w:pPr>
        <w:jc w:val="both"/>
        <w:ind w:firstLine="1416"/>
        <w:spacing w:after="0" w:line="255" w:lineRule="auto"/>
        <w:tabs>
          <w:tab w:leader="none" w:pos="1810"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In the event notice of a termination under subsection (a)(i)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w:t>
      </w:r>
    </w:p>
    <w:p>
      <w:pPr>
        <w:spacing w:after="0" w:line="184" w:lineRule="exact"/>
        <w:rPr>
          <w:sz w:val="20"/>
          <w:szCs w:val="20"/>
          <w:color w:val="auto"/>
        </w:rPr>
      </w:pPr>
    </w:p>
    <w:p>
      <w:pPr>
        <w:ind w:right="60" w:firstLine="980"/>
        <w:spacing w:after="0" w:line="256"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Cooperation With Company After Termination of Employment</w:t>
      </w:r>
      <w:r>
        <w:rPr>
          <w:rFonts w:ascii="Arial" w:cs="Arial" w:eastAsia="Arial" w:hAnsi="Arial"/>
          <w:sz w:val="18"/>
          <w:szCs w:val="18"/>
          <w:color w:val="auto"/>
        </w:rPr>
        <w:t>. Following termination of Executive’s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shall reasonably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w:t>
      </w:r>
    </w:p>
    <w:p>
      <w:pPr>
        <w:spacing w:after="0" w:line="184" w:lineRule="exact"/>
        <w:rPr>
          <w:sz w:val="20"/>
          <w:szCs w:val="20"/>
          <w:color w:val="auto"/>
        </w:rPr>
      </w:pPr>
    </w:p>
    <w:p>
      <w:pPr>
        <w:ind w:right="440" w:firstLine="980"/>
        <w:spacing w:after="0" w:line="274"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 Executive agrees that should Executive’s employment be terminated for any reason, Executive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resigned from any and all positions with the Company and its subsidiaries.</w:t>
      </w:r>
    </w:p>
    <w:p>
      <w:pPr>
        <w:spacing w:after="0" w:line="275"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4"/>
          <w:szCs w:val="14"/>
          <w:b w:val="1"/>
          <w:bCs w:val="1"/>
          <w:u w:val="single" w:color="auto"/>
          <w:color w:val="auto"/>
        </w:rPr>
        <w:t>Application of Section 409A</w:t>
      </w:r>
      <w:r>
        <w:rPr>
          <w:rFonts w:ascii="Arial" w:cs="Arial" w:eastAsia="Arial" w:hAnsi="Arial"/>
          <w:sz w:val="14"/>
          <w:szCs w:val="14"/>
          <w:color w:val="auto"/>
        </w:rPr>
        <w:t>.</w:t>
      </w:r>
    </w:p>
    <w:p>
      <w:pPr>
        <w:spacing w:after="0" w:line="117" w:lineRule="exact"/>
        <w:rPr>
          <w:sz w:val="20"/>
          <w:szCs w:val="20"/>
          <w:color w:val="auto"/>
        </w:rPr>
      </w:pPr>
    </w:p>
    <w:p>
      <w:pPr>
        <w:jc w:val="both"/>
        <w:ind w:right="180" w:firstLine="1416"/>
        <w:spacing w:after="0" w:line="296" w:lineRule="auto"/>
        <w:tabs>
          <w:tab w:leader="none" w:pos="1800" w:val="left"/>
        </w:tabs>
        <w:numPr>
          <w:ilvl w:val="0"/>
          <w:numId w:val="151"/>
        </w:numPr>
        <w:rPr>
          <w:rFonts w:ascii="Arial" w:cs="Arial" w:eastAsia="Arial" w:hAnsi="Arial"/>
          <w:sz w:val="16"/>
          <w:szCs w:val="16"/>
          <w:b w:val="1"/>
          <w:bCs w:val="1"/>
          <w:color w:val="auto"/>
        </w:rPr>
      </w:pPr>
      <w:r>
        <w:rPr>
          <w:rFonts w:ascii="Arial" w:cs="Arial" w:eastAsia="Arial" w:hAnsi="Arial"/>
          <w:sz w:val="16"/>
          <w:szCs w:val="16"/>
          <w:color w:val="auto"/>
        </w:rPr>
        <w:t>It is intended that all of the compensation payable under this Agreement, to the greatest extent possible, either complies with the requirements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the regulations and other guidance thereunder and any state law of similar effect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or satisfies one or more of the exemptions from the application of Section 409A, and this Agreement will be construed in a manner consistent with such intention, incorporating by reference all required definitions and payment terms.</w:t>
      </w:r>
    </w:p>
    <w:p>
      <w:pPr>
        <w:spacing w:after="0" w:line="159" w:lineRule="exact"/>
        <w:rPr>
          <w:rFonts w:ascii="Arial" w:cs="Arial" w:eastAsia="Arial" w:hAnsi="Arial"/>
          <w:sz w:val="16"/>
          <w:szCs w:val="16"/>
          <w:b w:val="1"/>
          <w:bCs w:val="1"/>
          <w:color w:val="auto"/>
        </w:rPr>
      </w:pPr>
    </w:p>
    <w:p>
      <w:pPr>
        <w:ind w:right="540" w:firstLine="1416"/>
        <w:spacing w:after="0" w:line="270" w:lineRule="auto"/>
        <w:tabs>
          <w:tab w:leader="none" w:pos="1810" w:val="left"/>
        </w:tabs>
        <w:numPr>
          <w:ilvl w:val="0"/>
          <w:numId w:val="151"/>
        </w:numPr>
        <w:rPr>
          <w:rFonts w:ascii="Arial" w:cs="Arial" w:eastAsia="Arial" w:hAnsi="Arial"/>
          <w:sz w:val="17"/>
          <w:szCs w:val="17"/>
          <w:b w:val="1"/>
          <w:bCs w:val="1"/>
          <w:color w:val="auto"/>
        </w:rPr>
      </w:pPr>
      <w:r>
        <w:rPr>
          <w:rFonts w:ascii="Arial" w:cs="Arial" w:eastAsia="Arial" w:hAnsi="Arial"/>
          <w:sz w:val="17"/>
          <w:szCs w:val="17"/>
          <w:color w:val="auto"/>
        </w:rPr>
        <w:t>No severance payments will be made under this Agreement unless Executive’s termination of employment constitutes a Separation from Service. For purposes of Section 409A (including, without limitation, for purposes of Treasury Regulations</w:t>
      </w:r>
    </w:p>
    <w:p>
      <w:pPr>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w:t>
      </w:r>
    </w:p>
    <w:p>
      <w:pPr>
        <w:spacing w:after="0" w:line="191" w:lineRule="exact"/>
        <w:rPr>
          <w:rFonts w:ascii="Arial" w:cs="Arial" w:eastAsia="Arial" w:hAnsi="Arial"/>
          <w:sz w:val="17"/>
          <w:szCs w:val="17"/>
          <w:b w:val="1"/>
          <w:bCs w:val="1"/>
          <w:color w:val="auto"/>
        </w:rPr>
      </w:pPr>
    </w:p>
    <w:p>
      <w:pPr>
        <w:ind w:right="100" w:firstLine="1416"/>
        <w:spacing w:after="0" w:line="253" w:lineRule="auto"/>
        <w:tabs>
          <w:tab w:leader="none" w:pos="1787"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To the extent that any severance payments are deferred compensation under Section 409A, and are not otherwise exempt from the application of Section 409A, then, to the extent required to comply with Section 409A, if the period during which Executive may consider and sign the Release spans two calendar years, the severance payments will not begin until the second calendar year. If the Company determines that the severance benefits provided under this Agreement constitutes “deferred compensation” under Section 409A and if Executive is a “specified employee” of the Company, as such term is defined 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500" w:top="272" w:right="539" w:bottom="1440" w:gutter="0" w:footer="0" w:header="0"/>
        </w:sectPr>
      </w:pPr>
    </w:p>
    <w:bookmarkStart w:id="101" w:name="page102"/>
    <w:bookmarkEnd w:id="10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6.10(c); and (ii) commence paying the balance of the severance benefits in accordance with the applicable payment schedule set forth in Sections 6.1 and 6.2. No interest shall be due on any amounts deferred pursuant to this Section 6.10(c).</w:t>
      </w:r>
    </w:p>
    <w:p>
      <w:pPr>
        <w:spacing w:after="0" w:line="165" w:lineRule="exact"/>
        <w:rPr>
          <w:sz w:val="20"/>
          <w:szCs w:val="20"/>
          <w:color w:val="auto"/>
        </w:rPr>
      </w:pPr>
    </w:p>
    <w:p>
      <w:pPr>
        <w:ind w:right="260" w:firstLine="1416"/>
        <w:spacing w:after="0" w:line="255" w:lineRule="auto"/>
        <w:tabs>
          <w:tab w:leader="none" w:pos="1807"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w:t>
      </w:r>
    </w:p>
    <w:p>
      <w:pPr>
        <w:spacing w:after="0" w:line="187" w:lineRule="exact"/>
        <w:rPr>
          <w:rFonts w:ascii="Arial" w:cs="Arial" w:eastAsia="Arial" w:hAnsi="Arial"/>
          <w:sz w:val="18"/>
          <w:szCs w:val="18"/>
          <w:b w:val="1"/>
          <w:bCs w:val="1"/>
          <w:color w:val="auto"/>
        </w:rPr>
      </w:pPr>
    </w:p>
    <w:p>
      <w:pPr>
        <w:ind w:right="360" w:firstLine="1416"/>
        <w:spacing w:after="0" w:line="281" w:lineRule="auto"/>
        <w:tabs>
          <w:tab w:leader="none" w:pos="1790" w:val="left"/>
        </w:tabs>
        <w:numPr>
          <w:ilvl w:val="0"/>
          <w:numId w:val="152"/>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270"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u w:val="single" w:color="auto"/>
          <w:color w:val="auto"/>
        </w:rPr>
        <w:t>Excise Tax Adjustment</w:t>
      </w:r>
      <w:r>
        <w:rPr>
          <w:rFonts w:ascii="Arial" w:cs="Arial" w:eastAsia="Arial" w:hAnsi="Arial"/>
          <w:sz w:val="16"/>
          <w:szCs w:val="16"/>
          <w:color w:val="auto"/>
        </w:rPr>
        <w:t>.</w:t>
      </w:r>
    </w:p>
    <w:p>
      <w:pPr>
        <w:spacing w:after="0" w:line="117" w:lineRule="exact"/>
        <w:rPr>
          <w:sz w:val="20"/>
          <w:szCs w:val="20"/>
          <w:color w:val="auto"/>
        </w:rPr>
      </w:pPr>
    </w:p>
    <w:p>
      <w:pPr>
        <w:ind w:left="1800" w:hanging="384"/>
        <w:spacing w:after="0"/>
        <w:tabs>
          <w:tab w:leader="none" w:pos="1800" w:val="left"/>
        </w:tabs>
        <w:numPr>
          <w:ilvl w:val="1"/>
          <w:numId w:val="153"/>
        </w:numPr>
        <w:rPr>
          <w:rFonts w:ascii="Arial" w:cs="Arial" w:eastAsia="Arial" w:hAnsi="Arial"/>
          <w:sz w:val="17"/>
          <w:szCs w:val="17"/>
          <w:b w:val="1"/>
          <w:bCs w:val="1"/>
          <w:color w:val="auto"/>
        </w:rPr>
      </w:pPr>
      <w:r>
        <w:rPr>
          <w:rFonts w:ascii="Arial" w:cs="Arial" w:eastAsia="Arial" w:hAnsi="Arial"/>
          <w:sz w:val="17"/>
          <w:szCs w:val="17"/>
          <w:color w:val="auto"/>
        </w:rPr>
        <w:t>If any payment or benefit Executive will or may receive from the Company or otherwise (a “</w:t>
      </w:r>
      <w:r>
        <w:rPr>
          <w:rFonts w:ascii="Arial" w:cs="Arial" w:eastAsia="Arial" w:hAnsi="Arial"/>
          <w:sz w:val="17"/>
          <w:szCs w:val="17"/>
          <w:b w:val="1"/>
          <w:bCs w:val="1"/>
          <w:i w:val="1"/>
          <w:iCs w:val="1"/>
          <w:color w:val="auto"/>
        </w:rPr>
        <w:t>280G Payment</w:t>
      </w:r>
      <w:r>
        <w:rPr>
          <w:rFonts w:ascii="Arial" w:cs="Arial" w:eastAsia="Arial" w:hAnsi="Arial"/>
          <w:sz w:val="17"/>
          <w:szCs w:val="17"/>
          <w:color w:val="auto"/>
        </w:rPr>
        <w:t>”) would</w:t>
      </w:r>
    </w:p>
    <w:p>
      <w:pPr>
        <w:spacing w:after="0" w:line="30" w:lineRule="exact"/>
        <w:rPr>
          <w:rFonts w:ascii="Arial" w:cs="Arial" w:eastAsia="Arial" w:hAnsi="Arial"/>
          <w:sz w:val="17"/>
          <w:szCs w:val="17"/>
          <w:b w:val="1"/>
          <w:bCs w:val="1"/>
          <w:color w:val="auto"/>
        </w:rPr>
      </w:pPr>
    </w:p>
    <w:p>
      <w:pPr>
        <w:ind w:right="20"/>
        <w:spacing w:after="0" w:line="282" w:lineRule="auto"/>
        <w:tabs>
          <w:tab w:leader="none" w:pos="21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constitute a “parachute payment” within the meaning of Section 280G of the Code, and (ii) but for this Section,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any such 280G Payment provided pursuant to this Agreement (a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shall be equal to the Reduced Amount. The “</w:t>
      </w:r>
      <w:r>
        <w:rPr>
          <w:rFonts w:ascii="Arial" w:cs="Arial" w:eastAsia="Arial" w:hAnsi="Arial"/>
          <w:sz w:val="16"/>
          <w:szCs w:val="16"/>
          <w:b w:val="1"/>
          <w:bCs w:val="1"/>
          <w:i w:val="1"/>
          <w:iCs w:val="1"/>
          <w:color w:val="auto"/>
        </w:rPr>
        <w:t>Reduced Amount</w:t>
      </w:r>
      <w:r>
        <w:rPr>
          <w:rFonts w:ascii="Arial" w:cs="Arial" w:eastAsia="Arial" w:hAnsi="Arial"/>
          <w:sz w:val="16"/>
          <w:szCs w:val="16"/>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6"/>
          <w:szCs w:val="16"/>
          <w:b w:val="1"/>
          <w:bCs w:val="1"/>
          <w:i w:val="1"/>
          <w:iCs w:val="1"/>
          <w:color w:val="auto"/>
        </w:rPr>
        <w:t>Reduction Method</w:t>
      </w:r>
      <w:r>
        <w:rPr>
          <w:rFonts w:ascii="Arial" w:cs="Arial" w:eastAsia="Arial" w:hAnsi="Arial"/>
          <w:sz w:val="16"/>
          <w:szCs w:val="16"/>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b w:val="1"/>
          <w:bCs w:val="1"/>
          <w:i w:val="1"/>
          <w:iCs w:val="1"/>
          <w:color w:val="auto"/>
        </w:rPr>
        <w:t>Pro Rata Reduction Method</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right="40" w:firstLine="1416"/>
        <w:spacing w:after="0" w:line="270" w:lineRule="auto"/>
        <w:tabs>
          <w:tab w:leader="none" w:pos="1810" w:val="left"/>
        </w:tabs>
        <w:numPr>
          <w:ilvl w:val="1"/>
          <w:numId w:val="154"/>
        </w:numPr>
        <w:rPr>
          <w:rFonts w:ascii="Arial" w:cs="Arial" w:eastAsia="Arial" w:hAnsi="Arial"/>
          <w:sz w:val="18"/>
          <w:szCs w:val="18"/>
          <w:b w:val="1"/>
          <w:bCs w:val="1"/>
          <w:color w:val="auto"/>
        </w:rPr>
      </w:pPr>
      <w:r>
        <w:rPr>
          <w:rFonts w:ascii="Arial" w:cs="Arial" w:eastAsia="Arial" w:hAnsi="Arial"/>
          <w:sz w:val="18"/>
          <w:szCs w:val="18"/>
          <w:color w:val="auto"/>
        </w:rPr>
        <w:t>Notwithstanding any provision of this Section 6.11 to the contrary, if the Reduction Method or the Pro Rata Reduction Method would result in any portion of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500" w:top="272" w:right="539" w:bottom="1440" w:gutter="0" w:footer="0" w:header="0"/>
        </w:sectPr>
      </w:pPr>
    </w:p>
    <w:bookmarkStart w:id="102" w:name="page103"/>
    <w:bookmarkEnd w:id="102"/>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Arial" w:cs="Arial" w:eastAsia="Arial" w:hAnsi="Arial"/>
          <w:sz w:val="16"/>
          <w:szCs w:val="16"/>
          <w:i w:val="1"/>
          <w:iCs w:val="1"/>
          <w:color w:val="auto"/>
        </w:rPr>
        <w:t>e.g.</w:t>
      </w:r>
      <w:r>
        <w:rPr>
          <w:rFonts w:ascii="Arial" w:cs="Arial" w:eastAsia="Arial" w:hAnsi="Arial"/>
          <w:sz w:val="16"/>
          <w:szCs w:val="16"/>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65" w:lineRule="exact"/>
        <w:rPr>
          <w:sz w:val="20"/>
          <w:szCs w:val="20"/>
          <w:color w:val="auto"/>
        </w:rPr>
      </w:pPr>
    </w:p>
    <w:p>
      <w:pPr>
        <w:ind w:right="120" w:firstLine="1416"/>
        <w:spacing w:after="0" w:line="266" w:lineRule="auto"/>
        <w:tabs>
          <w:tab w:leader="none" w:pos="1790"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6.11.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spacing w:after="0" w:line="184" w:lineRule="exact"/>
        <w:rPr>
          <w:rFonts w:ascii="Arial" w:cs="Arial" w:eastAsia="Arial" w:hAnsi="Arial"/>
          <w:sz w:val="17"/>
          <w:szCs w:val="17"/>
          <w:b w:val="1"/>
          <w:bCs w:val="1"/>
          <w:color w:val="auto"/>
        </w:rPr>
      </w:pPr>
    </w:p>
    <w:p>
      <w:pPr>
        <w:ind w:right="20" w:firstLine="1416"/>
        <w:spacing w:after="0" w:line="271" w:lineRule="auto"/>
        <w:tabs>
          <w:tab w:leader="none" w:pos="1810"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If Executive receives a Payment for which the Reduced Amount was determined pursuant to clause (x) of Section 6.11(a) and the Internal Revenue Service determines thereafter that some portion of the Payment is subject to the Excise Tax, Executive agrees to promptly return to the Company a sufficient amount of the Payment (after reduction pursuant to clause (x) of Section 6.11(a)) so that no portion of the remaining Payment is subject to the Excise Tax. For the avoidance of doubt, if the Reduced Amount was determined pursuant to clause (y) of Section 6.11(a), Executive shall have no obligation to return any portion of the Payment pursuant to the preceding sentence.</w:t>
      </w:r>
    </w:p>
    <w:p>
      <w:pPr>
        <w:spacing w:after="0" w:line="280" w:lineRule="exact"/>
        <w:rPr>
          <w:sz w:val="20"/>
          <w:szCs w:val="20"/>
          <w:color w:val="auto"/>
        </w:rPr>
      </w:pPr>
    </w:p>
    <w:p>
      <w:pPr>
        <w:ind w:left="860" w:hanging="315"/>
        <w:spacing w:after="0"/>
        <w:tabs>
          <w:tab w:leader="none" w:pos="8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color w:val="auto"/>
        </w:rPr>
        <w:t>.</w:t>
      </w:r>
    </w:p>
    <w:p>
      <w:pPr>
        <w:spacing w:after="0" w:line="113" w:lineRule="exact"/>
        <w:rPr>
          <w:sz w:val="20"/>
          <w:szCs w:val="20"/>
          <w:color w:val="auto"/>
        </w:rPr>
      </w:pPr>
    </w:p>
    <w:p>
      <w:pPr>
        <w:ind w:firstLine="980"/>
        <w:spacing w:after="0" w:line="290"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notices required hereunder to be in writing shall be deemed effectively given: (a) upon personal delivery to the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be notified, (b) when sent by electronic mail, telex or confirmed facsimile if sent during normal business hours of the recipient, and if not, then on the next business day, (c) five (5) days after having been sent by registered or certified mail, return receipt requested, postage prepaid, or (d) one (1) day after deposit with a nationally-recognized overnight courier, specifying next-day delivery, with written verification of receipt. All communications shall be sent to the Company at its primary office location and to Executive at Executive’s address as listed on the Company payroll or Executive’s Company-provided email address, or at such other address as the Company or Executive may designate by ten (10) days’ advance written notice to the other.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500" w:top="272" w:right="539" w:bottom="1440" w:gutter="0" w:footer="0" w:header="0"/>
        </w:sectPr>
      </w:pPr>
    </w:p>
    <w:bookmarkStart w:id="103" w:name="page104"/>
    <w:bookmarkEnd w:id="103"/>
    <w:p>
      <w:pPr>
        <w:ind w:firstLine="98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7.2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Agreement will be interpreted in such manner as to be effective and valid</w:t>
      </w:r>
      <w:r>
        <w:rPr>
          <w:rFonts w:ascii="Arial" w:cs="Arial" w:eastAsia="Arial" w:hAnsi="Arial"/>
          <w:sz w:val="16"/>
          <w:szCs w:val="16"/>
          <w:b w:val="1"/>
          <w:bCs w:val="1"/>
          <w:color w:val="auto"/>
        </w:rPr>
        <w:t xml:space="preserve"> </w:t>
      </w:r>
      <w:r>
        <w:rPr>
          <w:rFonts w:ascii="Arial" w:cs="Arial" w:eastAsia="Arial" w:hAnsi="Arial"/>
          <w:sz w:val="16"/>
          <w:szCs w:val="16"/>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54" w:lineRule="exact"/>
        <w:rPr>
          <w:sz w:val="20"/>
          <w:szCs w:val="20"/>
          <w:color w:val="auto"/>
        </w:rPr>
      </w:pPr>
    </w:p>
    <w:p>
      <w:pPr>
        <w:ind w:right="100" w:firstLine="980"/>
        <w:spacing w:after="0" w:line="274"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If either party should waive any breach of any provisions of this Agreement, Executive or it shall not thereby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waived any preceding or succeeding breach of the same or any other provision of this Agreement.</w:t>
      </w:r>
    </w:p>
    <w:p>
      <w:pPr>
        <w:spacing w:after="0" w:line="168" w:lineRule="exact"/>
        <w:rPr>
          <w:sz w:val="20"/>
          <w:szCs w:val="20"/>
          <w:color w:val="auto"/>
        </w:rPr>
      </w:pPr>
    </w:p>
    <w:p>
      <w:pPr>
        <w:ind w:right="100" w:firstLine="980"/>
        <w:spacing w:after="0" w:line="267"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u w:val="single" w:color="auto"/>
          <w:color w:val="auto"/>
        </w:rPr>
        <w:t>Complete Agreement</w:t>
      </w:r>
      <w:r>
        <w:rPr>
          <w:rFonts w:ascii="Arial" w:cs="Arial" w:eastAsia="Arial" w:hAnsi="Arial"/>
          <w:sz w:val="17"/>
          <w:szCs w:val="17"/>
          <w:color w:val="auto"/>
        </w:rPr>
        <w:t>. This Agreement constitutes the entire agreement between Executive and the Company with regard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or are entering into a separate Confidential Information Agreement in connection herewith and have or may enter into separate agreements related to equity awards.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78" w:lineRule="exact"/>
        <w:rPr>
          <w:sz w:val="20"/>
          <w:szCs w:val="20"/>
          <w:color w:val="auto"/>
        </w:rPr>
      </w:pPr>
    </w:p>
    <w:p>
      <w:pPr>
        <w:ind w:firstLine="980"/>
        <w:spacing w:after="0" w:line="274"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separate counterparts, any one of which need not contain signatures of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one party, but all of which taken together will constitute one and the same agreement.</w:t>
      </w:r>
    </w:p>
    <w:p>
      <w:pPr>
        <w:spacing w:after="0" w:line="168" w:lineRule="exact"/>
        <w:rPr>
          <w:sz w:val="20"/>
          <w:szCs w:val="20"/>
          <w:color w:val="auto"/>
        </w:rPr>
      </w:pPr>
    </w:p>
    <w:p>
      <w:pPr>
        <w:ind w:right="140" w:firstLine="980"/>
        <w:spacing w:after="0" w:line="274"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sections hereof are inserted for convenience only and shall not be deemed to constitute a part hereof</w:t>
      </w:r>
      <w:r>
        <w:rPr>
          <w:rFonts w:ascii="Arial" w:cs="Arial" w:eastAsia="Arial" w:hAnsi="Arial"/>
          <w:sz w:val="18"/>
          <w:szCs w:val="18"/>
          <w:b w:val="1"/>
          <w:bCs w:val="1"/>
          <w:color w:val="auto"/>
        </w:rPr>
        <w:t xml:space="preserve"> </w:t>
      </w:r>
      <w:r>
        <w:rPr>
          <w:rFonts w:ascii="Arial" w:cs="Arial" w:eastAsia="Arial" w:hAnsi="Arial"/>
          <w:sz w:val="18"/>
          <w:szCs w:val="18"/>
          <w:color w:val="auto"/>
        </w:rPr>
        <w:t>nor to affect the meaning thereof.</w:t>
      </w:r>
    </w:p>
    <w:p>
      <w:pPr>
        <w:spacing w:after="0" w:line="168" w:lineRule="exact"/>
        <w:rPr>
          <w:sz w:val="20"/>
          <w:szCs w:val="20"/>
          <w:color w:val="auto"/>
        </w:rPr>
      </w:pPr>
    </w:p>
    <w:p>
      <w:pPr>
        <w:ind w:right="80" w:firstLine="980"/>
        <w:spacing w:after="0" w:line="252"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Company shall assign this Agreement and its rights and obligations hereunder in whole, but not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500" w:top="268" w:right="519" w:bottom="1440" w:gutter="0" w:footer="0" w:header="0"/>
        </w:sectPr>
      </w:pPr>
    </w:p>
    <w:bookmarkStart w:id="104" w:name="page105"/>
    <w:bookmarkEnd w:id="104"/>
    <w:p>
      <w:pPr>
        <w:ind w:firstLine="980"/>
        <w:spacing w:after="0" w:line="27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7.8 </w:t>
      </w: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All questions concerning the construction, validity and interpretation of this Agreement will be governed by the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Maryland.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have executed this Amended and Restated Employment Agreement on the day and year first written above.</w:t>
      </w:r>
    </w:p>
    <w:p>
      <w:pPr>
        <w:spacing w:after="0" w:line="270"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4490720</wp:posOffset>
            </wp:positionH>
            <wp:positionV relativeFrom="paragraph">
              <wp:posOffset>13335</wp:posOffset>
            </wp:positionV>
            <wp:extent cx="2423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Sophia MacDonald</w:t>
      </w:r>
    </w:p>
    <w:p>
      <w:pPr>
        <w:spacing w:after="0" w:line="19" w:lineRule="exact"/>
        <w:rPr>
          <w:sz w:val="20"/>
          <w:szCs w:val="20"/>
          <w:color w:val="auto"/>
        </w:rPr>
      </w:pPr>
    </w:p>
    <w:p>
      <w:pPr>
        <w:ind w:left="654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People Officer</w:t>
      </w:r>
    </w:p>
    <w:p>
      <w:pPr>
        <w:spacing w:after="0" w:line="20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318135</wp:posOffset>
            </wp:positionV>
            <wp:extent cx="27622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276225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Peter Goguen</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0"/>
          </w:cols>
          <w:pgMar w:left="500" w:top="268" w:right="57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CONFIDENTIAL INFORMATION, INVENTIONS, NON-SOLICITATION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NON-COMPETITION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sectPr>
      <w:pgSz w:w="11900" w:h="16838" w:orient="portrait"/>
      <w:cols w:equalWidth="0" w:num="1">
        <w:col w:w="9019"/>
      </w:cols>
      <w:pgMar w:left="1440" w:top="2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1)"/>
      <w:numFmt w:val="decimal"/>
      <w:start w:val="2"/>
    </w:lvl>
  </w:abstractNum>
  <w:abstractNum w:abstractNumId="2">
    <w:nsid w:val="3B0FD379"/>
    <w:multiLevelType w:val="hybridMultilevel"/>
    <w:lvl w:ilvl="0">
      <w:lvlJc w:val="left"/>
      <w:lvlText w:val="(%1)"/>
      <w:numFmt w:val="decimal"/>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1."/>
      <w:numFmt w:val="decimal"/>
      <w:start w:val="1"/>
    </w:lvl>
    <w:lvl w:ilvl="1">
      <w:lvlJc w:val="left"/>
      <w:lvlText w:val="(%2)"/>
      <w:numFmt w:val="lowerRoman"/>
      <w:start w:val="1"/>
    </w:lvl>
  </w:abstractNum>
  <w:abstractNum w:abstractNumId="6">
    <w:nsid w:val="6A5EE64"/>
    <w:multiLevelType w:val="hybridMultilevel"/>
    <w:lvl w:ilvl="0">
      <w:lvlJc w:val="left"/>
      <w:lvlText w:val="(%1)"/>
      <w:numFmt w:val="lowerRoman"/>
      <w:start w:val="2"/>
    </w:lvl>
  </w:abstractNum>
  <w:abstractNum w:abstractNumId="7">
    <w:nsid w:val="14330624"/>
    <w:multiLevelType w:val="hybridMultilevel"/>
    <w:lvl w:ilvl="0">
      <w:lvlJc w:val="left"/>
      <w:lvlText w:val="(%1)"/>
      <w:numFmt w:val="lowerRoman"/>
      <w:start w:val="6"/>
    </w:lvl>
  </w:abstractNum>
  <w:abstractNum w:abstractNumId="8">
    <w:nsid w:val="7FFFCA11"/>
    <w:multiLevelType w:val="hybridMultilevel"/>
    <w:lvl w:ilvl="0">
      <w:lvlJc w:val="left"/>
      <w:lvlText w:val="(%1)"/>
      <w:numFmt w:val="lowerRoman"/>
      <w:start w:val="8"/>
    </w:lvl>
  </w:abstractNum>
  <w:abstractNum w:abstractNumId="9">
    <w:nsid w:val="1A27709E"/>
    <w:multiLevelType w:val="hybridMultilevel"/>
    <w:lvl w:ilvl="0">
      <w:lvlJc w:val="left"/>
      <w:lvlText w:val="(%1)"/>
      <w:numFmt w:val="lowerRoman"/>
      <w:start w:val="12"/>
    </w:lvl>
  </w:abstractNum>
  <w:abstractNum w:abstractNumId="10">
    <w:nsid w:val="71EA1109"/>
    <w:multiLevelType w:val="hybridMultilevel"/>
    <w:lvl w:ilvl="0">
      <w:lvlJc w:val="left"/>
      <w:lvlText w:val="%1"/>
      <w:numFmt w:val="upperLetter"/>
      <w:start w:val="1"/>
    </w:lvl>
    <w:lvl w:ilvl="1">
      <w:lvlJc w:val="left"/>
      <w:lvlText w:val="(%2)"/>
      <w:numFmt w:val="lowerRoman"/>
      <w:start w:val="17"/>
    </w:lvl>
  </w:abstractNum>
  <w:abstractNum w:abstractNumId="11">
    <w:nsid w:val="100F59DC"/>
    <w:multiLevelType w:val="hybridMultilevel"/>
    <w:lvl w:ilvl="0">
      <w:lvlJc w:val="left"/>
      <w:lvlText w:val="(%1)"/>
      <w:numFmt w:val="upperLetter"/>
      <w:start w:val="1"/>
    </w:lvl>
    <w:lvl w:ilvl="1">
      <w:lvlJc w:val="left"/>
      <w:lvlText w:val="(%2)"/>
      <w:numFmt w:val="lowerRoman"/>
      <w:start w:val="19"/>
    </w:lvl>
  </w:abstractNum>
  <w:abstractNum w:abstractNumId="12">
    <w:nsid w:val="7FB7E0AA"/>
    <w:multiLevelType w:val="hybridMultilevel"/>
    <w:lvl w:ilvl="0">
      <w:lvlJc w:val="left"/>
      <w:lvlText w:val="(%1)"/>
      <w:numFmt w:val="lowerRoman"/>
      <w:start w:val="23"/>
    </w:lvl>
  </w:abstractNum>
  <w:abstractNum w:abstractNumId="13">
    <w:nsid w:val="6EB5BD4"/>
    <w:multiLevelType w:val="hybridMultilevel"/>
    <w:lvl w:ilvl="0">
      <w:lvlJc w:val="left"/>
      <w:lvlText w:val="(%1)"/>
      <w:numFmt w:val="lowerRoman"/>
      <w:start w:val="26"/>
    </w:lvl>
  </w:abstractNum>
  <w:abstractNum w:abstractNumId="14">
    <w:nsid w:val="6F6DD9AC"/>
    <w:multiLevelType w:val="hybridMultilevel"/>
    <w:lvl w:ilvl="0">
      <w:lvlJc w:val="left"/>
      <w:lvlText w:val="(%1)"/>
      <w:numFmt w:val="lowerRoman"/>
      <w:start w:val="28"/>
    </w:lvl>
  </w:abstractNum>
  <w:abstractNum w:abstractNumId="15">
    <w:nsid w:val="94211F2"/>
    <w:multiLevelType w:val="hybridMultilevel"/>
    <w:lvl w:ilvl="0">
      <w:lvlJc w:val="left"/>
      <w:lvlText w:val="(%1)"/>
      <w:numFmt w:val="lowerRoman"/>
      <w:start w:val="30"/>
    </w:lvl>
  </w:abstractNum>
  <w:abstractNum w:abstractNumId="16">
    <w:nsid w:val="885E1B"/>
    <w:multiLevelType w:val="hybridMultilevel"/>
    <w:lvl w:ilvl="0">
      <w:lvlJc w:val="left"/>
      <w:lvlText w:val="%1"/>
      <w:numFmt w:val="decimal"/>
      <w:start w:val="1"/>
    </w:lvl>
    <w:lvl w:ilvl="1">
      <w:lvlJc w:val="left"/>
      <w:lvlText w:val="(%2)"/>
      <w:numFmt w:val="lowerRoman"/>
      <w:start w:val="37"/>
    </w:lvl>
  </w:abstractNum>
  <w:abstractNum w:abstractNumId="17">
    <w:nsid w:val="76272110"/>
    <w:multiLevelType w:val="hybridMultilevel"/>
    <w:lvl w:ilvl="0">
      <w:lvlJc w:val="left"/>
      <w:lvlText w:val="(%1)"/>
      <w:numFmt w:val="decimal"/>
      <w:start w:val="2"/>
    </w:lvl>
    <w:lvl w:ilvl="1">
      <w:lvlJc w:val="left"/>
      <w:lvlText w:val="%2"/>
      <w:numFmt w:val="lowerRoman"/>
      <w:start w:val="1"/>
    </w:lvl>
  </w:abstractNum>
  <w:abstractNum w:abstractNumId="18">
    <w:nsid w:val="4C04A8AF"/>
    <w:multiLevelType w:val="hybridMultilevel"/>
    <w:lvl w:ilvl="0">
      <w:lvlJc w:val="left"/>
      <w:lvlText w:val="(%1)"/>
      <w:numFmt w:val="lowerRoman"/>
      <w:start w:val="2"/>
    </w:lvl>
  </w:abstractNum>
  <w:abstractNum w:abstractNumId="19">
    <w:nsid w:val="1716703B"/>
    <w:multiLevelType w:val="hybridMultilevel"/>
    <w:lvl w:ilvl="0">
      <w:lvlJc w:val="left"/>
      <w:lvlText w:val="%1"/>
      <w:numFmt w:val="decimal"/>
      <w:start w:val="1"/>
    </w:lvl>
    <w:lvl w:ilvl="1">
      <w:lvlJc w:val="left"/>
      <w:lvlText w:val="(%2)"/>
      <w:numFmt w:val="lowerLetter"/>
      <w:start w:val="12"/>
    </w:lvl>
  </w:abstractNum>
  <w:abstractNum w:abstractNumId="20">
    <w:nsid w:val="14E17E33"/>
    <w:multiLevelType w:val="hybridMultilevel"/>
    <w:lvl w:ilvl="0">
      <w:lvlJc w:val="left"/>
      <w:lvlText w:val="%1."/>
      <w:numFmt w:val="decimal"/>
      <w:start w:val="2"/>
    </w:lvl>
    <w:lvl w:ilvl="1">
      <w:lvlJc w:val="left"/>
      <w:lvlText w:val="%2"/>
      <w:numFmt w:val="lowerLetter"/>
      <w:start w:val="1"/>
    </w:lvl>
  </w:abstractNum>
  <w:abstractNum w:abstractNumId="21">
    <w:nsid w:val="3222E7CD"/>
    <w:multiLevelType w:val="hybridMultilevel"/>
    <w:lvl w:ilvl="0">
      <w:lvlJc w:val="left"/>
      <w:lvlText w:val="%1."/>
      <w:numFmt w:val="decimal"/>
      <w:start w:val="3"/>
    </w:lvl>
  </w:abstractNum>
  <w:abstractNum w:abstractNumId="22">
    <w:nsid w:val="74DE0EE3"/>
    <w:multiLevelType w:val="hybridMultilevel"/>
    <w:lvl w:ilvl="0">
      <w:lvlJc w:val="left"/>
      <w:lvlText w:val="(%1)"/>
      <w:numFmt w:val="lowerLetter"/>
      <w:start w:val="2"/>
    </w:lvl>
  </w:abstractNum>
  <w:abstractNum w:abstractNumId="23">
    <w:nsid w:val="68EBC550"/>
    <w:multiLevelType w:val="hybridMultilevel"/>
    <w:lvl w:ilvl="0">
      <w:lvlJc w:val="left"/>
      <w:lvlText w:val="(%1)"/>
      <w:numFmt w:val="lowerLetter"/>
      <w:start w:val="1"/>
    </w:lvl>
  </w:abstractNum>
  <w:abstractNum w:abstractNumId="24">
    <w:nsid w:val="2DF6D648"/>
    <w:multiLevelType w:val="hybridMultilevel"/>
    <w:lvl w:ilvl="0">
      <w:lvlJc w:val="left"/>
      <w:lvlText w:val="(%1)"/>
      <w:numFmt w:val="lowerLetter"/>
      <w:start w:val="3"/>
    </w:lvl>
  </w:abstractNum>
  <w:abstractNum w:abstractNumId="25">
    <w:nsid w:val="46B7D447"/>
    <w:multiLevelType w:val="hybridMultilevel"/>
    <w:lvl w:ilvl="0">
      <w:lvlJc w:val="left"/>
      <w:lvlText w:val="(%1)"/>
      <w:numFmt w:val="upperLetter"/>
      <w:start w:val="2"/>
    </w:lvl>
    <w:lvl w:ilvl="1">
      <w:lvlJc w:val="left"/>
      <w:lvlText w:val="(%2)"/>
      <w:numFmt w:val="lowerLetter"/>
      <w:start w:val="5"/>
    </w:lvl>
    <w:lvl w:ilvl="2">
      <w:lvlJc w:val="left"/>
      <w:lvlText w:val="(%3)"/>
      <w:numFmt w:val="lowerLetter"/>
      <w:start w:val="35"/>
    </w:lvl>
  </w:abstractNum>
  <w:abstractNum w:abstractNumId="26">
    <w:nsid w:val="4A2AC315"/>
    <w:multiLevelType w:val="hybridMultilevel"/>
    <w:lvl w:ilvl="0">
      <w:lvlJc w:val="left"/>
      <w:lvlText w:val="(%1)"/>
      <w:numFmt w:val="lowerLetter"/>
      <w:start w:val="7"/>
    </w:lvl>
  </w:abstractNum>
  <w:abstractNum w:abstractNumId="27">
    <w:nsid w:val="39EE015C"/>
    <w:multiLevelType w:val="hybridMultilevel"/>
    <w:lvl w:ilvl="0">
      <w:lvlJc w:val="left"/>
      <w:lvlText w:val="%1"/>
      <w:numFmt w:val="lowerLetter"/>
      <w:start w:val="1"/>
    </w:lvl>
    <w:lvl w:ilvl="1">
      <w:lvlJc w:val="left"/>
      <w:lvlText w:val="(%2)"/>
      <w:numFmt w:val="lowerLetter"/>
      <w:start w:val="13"/>
    </w:lvl>
  </w:abstractNum>
  <w:abstractNum w:abstractNumId="28">
    <w:nsid w:val="57FC4FBB"/>
    <w:multiLevelType w:val="hybridMultilevel"/>
    <w:lvl w:ilvl="0">
      <w:lvlJc w:val="left"/>
      <w:lvlText w:val="(%1)"/>
      <w:numFmt w:val="lowerLetter"/>
      <w:start w:val="9"/>
    </w:lvl>
    <w:lvl w:ilvl="1">
      <w:lvlJc w:val="left"/>
      <w:lvlText w:val="%2"/>
      <w:numFmt w:val="lowerLetter"/>
      <w:start w:val="1"/>
    </w:lvl>
  </w:abstractNum>
  <w:abstractNum w:abstractNumId="29">
    <w:nsid w:val="CC1016F"/>
    <w:multiLevelType w:val="hybridMultilevel"/>
    <w:lvl w:ilvl="0">
      <w:lvlJc w:val="left"/>
      <w:lvlText w:val="%1."/>
      <w:numFmt w:val="decimal"/>
      <w:start w:val="6"/>
    </w:lvl>
  </w:abstractNum>
  <w:abstractNum w:abstractNumId="30">
    <w:nsid w:val="43F18422"/>
    <w:multiLevelType w:val="hybridMultilevel"/>
    <w:lvl w:ilvl="0">
      <w:lvlJc w:val="left"/>
      <w:lvlText w:val="(%1)"/>
      <w:numFmt w:val="lowerLetter"/>
      <w:start w:val="2"/>
    </w:lvl>
  </w:abstractNum>
  <w:abstractNum w:abstractNumId="31">
    <w:nsid w:val="60EF0119"/>
    <w:multiLevelType w:val="hybridMultilevel"/>
    <w:lvl w:ilvl="0">
      <w:lvlJc w:val="left"/>
      <w:lvlText w:val="%1"/>
      <w:numFmt w:val="lowerRoman"/>
      <w:start w:val="1"/>
    </w:lvl>
    <w:lvl w:ilvl="1">
      <w:lvlJc w:val="left"/>
      <w:lvlText w:val="%2."/>
      <w:numFmt w:val="decimal"/>
      <w:start w:val="7"/>
    </w:lvl>
  </w:abstractNum>
  <w:abstractNum w:abstractNumId="32">
    <w:nsid w:val="26F324BA"/>
    <w:multiLevelType w:val="hybridMultilevel"/>
    <w:lvl w:ilvl="0">
      <w:lvlJc w:val="left"/>
      <w:lvlText w:val="(%1)"/>
      <w:numFmt w:val="lowerRoman"/>
      <w:start w:val="3"/>
    </w:lvl>
    <w:lvl w:ilvl="1">
      <w:lvlJc w:val="left"/>
      <w:lvlText w:val="%2."/>
      <w:numFmt w:val="decimal"/>
      <w:start w:val="8"/>
    </w:lvl>
  </w:abstractNum>
  <w:abstractNum w:abstractNumId="33">
    <w:nsid w:val="7F01579B"/>
    <w:multiLevelType w:val="hybridMultilevel"/>
    <w:lvl w:ilvl="0">
      <w:lvlJc w:val="left"/>
      <w:lvlText w:val="(%1)"/>
      <w:numFmt w:val="lowerLetter"/>
      <w:start w:val="1"/>
    </w:lvl>
  </w:abstractNum>
  <w:abstractNum w:abstractNumId="34">
    <w:nsid w:val="49DA307D"/>
    <w:multiLevelType w:val="hybridMultilevel"/>
    <w:lvl w:ilvl="0">
      <w:lvlJc w:val="left"/>
      <w:lvlText w:val="%1"/>
      <w:numFmt w:val="lowerLetter"/>
      <w:start w:val="1"/>
    </w:lvl>
    <w:lvl w:ilvl="1">
      <w:lvlJc w:val="left"/>
      <w:lvlText w:val="(%2)"/>
      <w:numFmt w:val="lowerLetter"/>
      <w:start w:val="3"/>
    </w:lvl>
  </w:abstractNum>
  <w:abstractNum w:abstractNumId="35">
    <w:nsid w:val="7055A5F5"/>
    <w:multiLevelType w:val="hybridMultilevel"/>
    <w:lvl w:ilvl="0">
      <w:lvlJc w:val="left"/>
      <w:lvlText w:val="(%1)"/>
      <w:numFmt w:val="lowerLetter"/>
      <w:start w:val="35"/>
    </w:lvl>
    <w:lvl w:ilvl="1">
      <w:lvlJc w:val="left"/>
      <w:lvlText w:val="(%2)"/>
      <w:numFmt w:val="lowerLetter"/>
      <w:start w:val="8"/>
    </w:lvl>
  </w:abstractNum>
  <w:abstractNum w:abstractNumId="36">
    <w:nsid w:val="5FB8370B"/>
    <w:multiLevelType w:val="hybridMultilevel"/>
    <w:lvl w:ilvl="0">
      <w:lvlJc w:val="left"/>
      <w:lvlText w:val="(%1)"/>
      <w:numFmt w:val="lowerLetter"/>
      <w:start w:val="9"/>
    </w:lvl>
  </w:abstractNum>
  <w:abstractNum w:abstractNumId="37">
    <w:nsid w:val="50801EE1"/>
    <w:multiLevelType w:val="hybridMultilevel"/>
    <w:lvl w:ilvl="0">
      <w:lvlJc w:val="left"/>
      <w:lvlText w:val="%1."/>
      <w:numFmt w:val="decimal"/>
      <w:start w:val="9"/>
    </w:lvl>
  </w:abstractNum>
  <w:abstractNum w:abstractNumId="38">
    <w:nsid w:val="488AC1A"/>
    <w:multiLevelType w:val="hybridMultilevel"/>
    <w:lvl w:ilvl="0">
      <w:lvlJc w:val="left"/>
      <w:lvlText w:val="(%1)"/>
      <w:numFmt w:val="lowerLetter"/>
      <w:start w:val="2"/>
    </w:lvl>
  </w:abstractNum>
  <w:abstractNum w:abstractNumId="39">
    <w:nsid w:val="5FB8011C"/>
    <w:multiLevelType w:val="hybridMultilevel"/>
    <w:lvl w:ilvl="0">
      <w:lvlJc w:val="left"/>
      <w:lvlText w:val="%1"/>
      <w:numFmt w:val="lowerLetter"/>
      <w:start w:val="1"/>
    </w:lvl>
    <w:lvl w:ilvl="1">
      <w:lvlJc w:val="left"/>
      <w:lvlText w:val="(%2)"/>
      <w:numFmt w:val="lowerLetter"/>
      <w:start w:val="3"/>
    </w:lvl>
  </w:abstractNum>
  <w:abstractNum w:abstractNumId="40">
    <w:nsid w:val="6AA78F7F"/>
    <w:multiLevelType w:val="hybridMultilevel"/>
    <w:lvl w:ilvl="0">
      <w:lvlJc w:val="left"/>
      <w:lvlText w:val="(%1)"/>
      <w:numFmt w:val="lowerLetter"/>
      <w:start w:val="1"/>
    </w:lvl>
    <w:lvl w:ilvl="1">
      <w:lvlJc w:val="left"/>
      <w:lvlText w:val="%2"/>
      <w:numFmt w:val="lowerLetter"/>
      <w:start w:val="1"/>
    </w:lvl>
  </w:abstractNum>
  <w:abstractNum w:abstractNumId="41">
    <w:nsid w:val="7672BD23"/>
    <w:multiLevelType w:val="hybridMultilevel"/>
    <w:lvl w:ilvl="0">
      <w:lvlJc w:val="left"/>
      <w:lvlText w:val="(%1)"/>
      <w:numFmt w:val="lowerLetter"/>
      <w:start w:val="5"/>
    </w:lvl>
  </w:abstractNum>
  <w:abstractNum w:abstractNumId="42">
    <w:nsid w:val="6FC75AF8"/>
    <w:multiLevelType w:val="hybridMultilevel"/>
    <w:lvl w:ilvl="0">
      <w:lvlJc w:val="left"/>
      <w:lvlText w:val="%1."/>
      <w:numFmt w:val="decimal"/>
      <w:start w:val="10"/>
    </w:lvl>
  </w:abstractNum>
  <w:abstractNum w:abstractNumId="43">
    <w:nsid w:val="6A5F7029"/>
    <w:multiLevelType w:val="hybridMultilevel"/>
    <w:lvl w:ilvl="0">
      <w:lvlJc w:val="left"/>
      <w:lvlText w:val="%1"/>
      <w:numFmt w:val="lowerLetter"/>
      <w:start w:val="1"/>
    </w:lvl>
    <w:lvl w:ilvl="1">
      <w:lvlJc w:val="left"/>
      <w:lvlText w:val="(%2)"/>
      <w:numFmt w:val="lowerLetter"/>
      <w:start w:val="2"/>
    </w:lvl>
  </w:abstractNum>
  <w:abstractNum w:abstractNumId="44">
    <w:nsid w:val="7D5E18F8"/>
    <w:multiLevelType w:val="hybridMultilevel"/>
    <w:lvl w:ilvl="0">
      <w:lvlJc w:val="left"/>
      <w:lvlText w:val="(%1)"/>
      <w:numFmt w:val="lowerLetter"/>
      <w:start w:val="2"/>
    </w:lvl>
    <w:lvl w:ilvl="1">
      <w:lvlJc w:val="left"/>
      <w:lvlText w:val="%2"/>
      <w:numFmt w:val="lowerLetter"/>
      <w:start w:val="1"/>
    </w:lvl>
  </w:abstractNum>
  <w:abstractNum w:abstractNumId="45">
    <w:nsid w:val="5F3534A4"/>
    <w:multiLevelType w:val="hybridMultilevel"/>
    <w:lvl w:ilvl="0">
      <w:lvlJc w:val="left"/>
      <w:lvlText w:val="%1."/>
      <w:numFmt w:val="decimal"/>
      <w:start w:val="11"/>
    </w:lvl>
  </w:abstractNum>
  <w:abstractNum w:abstractNumId="46">
    <w:nsid w:val="73A1821B"/>
    <w:multiLevelType w:val="hybridMultilevel"/>
    <w:lvl w:ilvl="0">
      <w:lvlJc w:val="left"/>
      <w:lvlText w:val="%1."/>
      <w:numFmt w:val="decimal"/>
      <w:start w:val="13"/>
    </w:lvl>
  </w:abstractNum>
  <w:abstractNum w:abstractNumId="47">
    <w:nsid w:val="7DE67713"/>
    <w:multiLevelType w:val="hybridMultilevel"/>
    <w:lvl w:ilvl="0">
      <w:lvlJc w:val="left"/>
      <w:lvlText w:val="%1."/>
      <w:numFmt w:val="decimal"/>
      <w:start w:val="14"/>
    </w:lvl>
  </w:abstractNum>
  <w:abstractNum w:abstractNumId="48">
    <w:nsid w:val="555C55B5"/>
    <w:multiLevelType w:val="hybridMultilevel"/>
    <w:lvl w:ilvl="0">
      <w:lvlJc w:val="left"/>
      <w:lvlText w:val="%1."/>
      <w:numFmt w:val="decimal"/>
      <w:start w:val="17"/>
    </w:lvl>
  </w:abstractNum>
  <w:abstractNum w:abstractNumId="49">
    <w:nsid w:val="3FA62ACA"/>
    <w:multiLevelType w:val="hybridMultilevel"/>
    <w:lvl w:ilvl="0">
      <w:lvlJc w:val="left"/>
      <w:lvlText w:val="(%1)"/>
      <w:numFmt w:val="lowerLetter"/>
      <w:start w:val="1"/>
    </w:lvl>
  </w:abstractNum>
  <w:abstractNum w:abstractNumId="50">
    <w:nsid w:val="14FCE74E"/>
    <w:multiLevelType w:val="hybridMultilevel"/>
    <w:lvl w:ilvl="0">
      <w:lvlJc w:val="left"/>
      <w:lvlText w:val="(%1)"/>
      <w:numFmt w:val="lowerRoman"/>
      <w:start w:val="1"/>
    </w:lvl>
  </w:abstractNum>
  <w:abstractNum w:abstractNumId="51">
    <w:nsid w:val="6A3DD3E8"/>
    <w:multiLevelType w:val="hybridMultilevel"/>
    <w:lvl w:ilvl="0">
      <w:lvlJc w:val="left"/>
      <w:lvlText w:val="(%1)"/>
      <w:numFmt w:val="lowerLetter"/>
      <w:start w:val="1"/>
    </w:lvl>
  </w:abstractNum>
  <w:abstractNum w:abstractNumId="52">
    <w:nsid w:val="71C91298"/>
    <w:multiLevelType w:val="hybridMultilevel"/>
    <w:lvl w:ilvl="0">
      <w:lvlJc w:val="left"/>
      <w:lvlText w:val="(%1)"/>
      <w:numFmt w:val="lowerLetter"/>
      <w:start w:val="3"/>
    </w:lvl>
  </w:abstractNum>
  <w:abstractNum w:abstractNumId="53">
    <w:nsid w:val="9DAF632"/>
    <w:multiLevelType w:val="hybridMultilevel"/>
    <w:lvl w:ilvl="0">
      <w:lvlJc w:val="left"/>
      <w:lvlText w:val="%1"/>
      <w:numFmt w:val="decimal"/>
      <w:start w:val="1"/>
    </w:lvl>
    <w:lvl w:ilvl="1">
      <w:lvlJc w:val="left"/>
      <w:lvlText w:val="•"/>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1."/>
      <w:numFmt w:val="decimal"/>
      <w:start w:val="1"/>
    </w:lvl>
    <w:lvl w:ilvl="1">
      <w:lvlJc w:val="left"/>
      <w:lvlText w:val="(%2)"/>
      <w:numFmt w:val="lowerLetter"/>
      <w:start w:val="1"/>
    </w:lvl>
  </w:abstractNum>
  <w:abstractNum w:abstractNumId="56">
    <w:nsid w:val="5092CA79"/>
    <w:multiLevelType w:val="hybridMultilevel"/>
    <w:lvl w:ilvl="0">
      <w:lvlJc w:val="left"/>
      <w:lvlText w:val="(%1)"/>
      <w:numFmt w:val="lowerLetter"/>
      <w:start w:val="3"/>
    </w:lvl>
  </w:abstractNum>
  <w:abstractNum w:abstractNumId="57">
    <w:nsid w:val="1D545C4D"/>
    <w:multiLevelType w:val="hybridMultilevel"/>
    <w:lvl w:ilvl="0">
      <w:lvlJc w:val="left"/>
      <w:lvlText w:val="%1."/>
      <w:numFmt w:val="decimal"/>
      <w:start w:val="2"/>
    </w:lvl>
    <w:lvl w:ilvl="1">
      <w:lvlJc w:val="left"/>
      <w:lvlText w:val="(%2)"/>
      <w:numFmt w:val="lowerLetter"/>
      <w:start w:val="1"/>
    </w:lvl>
  </w:abstractNum>
  <w:abstractNum w:abstractNumId="58">
    <w:nsid w:val="59ADEA3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9">
    <w:nsid w:val="288F1A3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0">
    <w:nsid w:val="2A155DBC"/>
    <w:multiLevelType w:val="hybridMultilevel"/>
    <w:lvl w:ilvl="0">
      <w:lvlJc w:val="left"/>
      <w:lvlText w:val="(%1)"/>
      <w:numFmt w:val="lowerLetter"/>
      <w:start w:val="6"/>
    </w:lvl>
  </w:abstractNum>
  <w:abstractNum w:abstractNumId="61">
    <w:nsid w:val="1D9F6E5F"/>
    <w:multiLevelType w:val="hybridMultilevel"/>
    <w:lvl w:ilvl="0">
      <w:lvlJc w:val="left"/>
      <w:lvlText w:val="%1."/>
      <w:numFmt w:val="decimal"/>
      <w:start w:val="5"/>
    </w:lvl>
  </w:abstractNum>
  <w:abstractNum w:abstractNumId="62">
    <w:nsid w:val="97E1B4E"/>
    <w:multiLevelType w:val="hybridMultilevel"/>
    <w:lvl w:ilvl="0">
      <w:lvlJc w:val="left"/>
      <w:lvlText w:val="%1."/>
      <w:numFmt w:val="decimal"/>
      <w:start w:val="8"/>
    </w:lvl>
    <w:lvl w:ilvl="1">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1."/>
      <w:numFmt w:val="decimal"/>
      <w:start w:val="1"/>
    </w:lvl>
    <w:lvl w:ilvl="1">
      <w:lvlJc w:val="left"/>
      <w:lvlText w:val="(%2)"/>
      <w:numFmt w:val="lowerLetter"/>
      <w:start w:val="1"/>
    </w:lvl>
  </w:abstractNum>
  <w:abstractNum w:abstractNumId="65">
    <w:nsid w:val="53584BCB"/>
    <w:multiLevelType w:val="hybridMultilevel"/>
    <w:lvl w:ilvl="0">
      <w:lvlJc w:val="left"/>
      <w:lvlText w:val="%1."/>
      <w:numFmt w:val="decimal"/>
      <w:start w:val="2"/>
    </w:lvl>
  </w:abstractNum>
  <w:abstractNum w:abstractNumId="66">
    <w:nsid w:val="415E286C"/>
    <w:multiLevelType w:val="hybridMultilevel"/>
    <w:lvl w:ilvl="0">
      <w:lvlJc w:val="left"/>
      <w:lvlText w:val="%1."/>
      <w:numFmt w:val="decimal"/>
      <w:start w:val="4"/>
    </w:lvl>
  </w:abstractNum>
  <w:abstractNum w:abstractNumId="67">
    <w:nsid w:val="7C58FD05"/>
    <w:multiLevelType w:val="hybridMultilevel"/>
    <w:lvl w:ilvl="0">
      <w:lvlJc w:val="left"/>
      <w:lvlText w:val="(%1)"/>
      <w:numFmt w:val="lowerLetter"/>
      <w:start w:val="1"/>
    </w:lvl>
  </w:abstractNum>
  <w:abstractNum w:abstractNumId="68">
    <w:nsid w:val="23D86AAC"/>
    <w:multiLevelType w:val="hybridMultilevel"/>
    <w:lvl w:ilvl="0">
      <w:lvlJc w:val="left"/>
      <w:lvlText w:val="(%1)"/>
      <w:numFmt w:val="lowerLetter"/>
      <w:start w:val="2"/>
    </w:lvl>
    <w:lvl w:ilvl="1">
      <w:lvlJc w:val="left"/>
      <w:lvlText w:val="(%2)"/>
      <w:numFmt w:val="lowerLetter"/>
      <w:start w:val="9"/>
    </w:lvl>
  </w:abstractNum>
  <w:abstractNum w:abstractNumId="69">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0">
    <w:nsid w:val="5C10FE2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1">
    <w:nsid w:val="E7FFA2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2">
    <w:nsid w:val="3C5991AA"/>
    <w:multiLevelType w:val="hybridMultilevel"/>
    <w:lvl w:ilvl="0">
      <w:lvlJc w:val="left"/>
      <w:lvlText w:val="%1"/>
      <w:numFmt w:val="lowerLetter"/>
      <w:start w:val="1"/>
    </w:lvl>
    <w:lvl w:ilvl="1">
      <w:lvlJc w:val="left"/>
      <w:lvlText w:val="%2."/>
      <w:numFmt w:val="decimal"/>
      <w:start w:val="10"/>
    </w:lvl>
  </w:abstractNum>
  <w:abstractNum w:abstractNumId="73">
    <w:nsid w:val="4BD8591A"/>
    <w:multiLevelType w:val="hybridMultilevel"/>
    <w:lvl w:ilvl="0">
      <w:lvlJc w:val="left"/>
      <w:lvlText w:val="(%1)"/>
      <w:numFmt w:val="lowerLetter"/>
      <w:start w:val="2"/>
    </w:lvl>
    <w:lvl w:ilvl="1">
      <w:lvlJc w:val="left"/>
      <w:lvlText w:val="%2."/>
      <w:numFmt w:val="decimal"/>
      <w:start w:val="11"/>
    </w:lvl>
  </w:abstractNum>
  <w:abstractNum w:abstractNumId="74">
    <w:nsid w:val="78DF6A55"/>
    <w:multiLevelType w:val="hybridMultilevel"/>
    <w:lvl w:ilvl="0">
      <w:lvlJc w:val="left"/>
      <w:lvlText w:val="%1."/>
      <w:numFmt w:val="decimal"/>
      <w:start w:val="1"/>
    </w:lvl>
  </w:abstractNum>
  <w:abstractNum w:abstractNumId="75">
    <w:nsid w:val="39B7AAA2"/>
    <w:multiLevelType w:val="hybridMultilevel"/>
    <w:lvl w:ilvl="0">
      <w:lvlJc w:val="left"/>
      <w:lvlText w:val="%1."/>
      <w:numFmt w:val="decimal"/>
      <w:start w:val="2"/>
    </w:lvl>
  </w:abstractNum>
  <w:abstractNum w:abstractNumId="76">
    <w:nsid w:val="2B0D8DBE"/>
    <w:multiLevelType w:val="hybridMultilevel"/>
    <w:lvl w:ilvl="0">
      <w:lvlJc w:val="left"/>
      <w:lvlText w:val="%1."/>
      <w:numFmt w:val="decimal"/>
      <w:start w:val="3"/>
    </w:lvl>
  </w:abstractNum>
  <w:abstractNum w:abstractNumId="77">
    <w:nsid w:val="6C80EC70"/>
    <w:multiLevelType w:val="hybridMultilevel"/>
    <w:lvl w:ilvl="0">
      <w:lvlJc w:val="left"/>
      <w:lvlText w:val="%1."/>
      <w:numFmt w:val="decimal"/>
      <w:start w:val="4"/>
    </w:lvl>
  </w:abstractNum>
  <w:abstractNum w:abstractNumId="78">
    <w:nsid w:val="379E21B5"/>
    <w:multiLevelType w:val="hybridMultilevel"/>
    <w:lvl w:ilvl="0">
      <w:lvlJc w:val="left"/>
      <w:lvlText w:val="(%1)"/>
      <w:numFmt w:val="lowerLetter"/>
      <w:start w:val="1"/>
    </w:lvl>
    <w:lvl w:ilvl="1">
      <w:lvlJc w:val="left"/>
      <w:lvlText w:val="(%2)"/>
      <w:numFmt w:val="lowerRoman"/>
      <w:start w:val="1"/>
    </w:lvl>
  </w:abstractNum>
  <w:abstractNum w:abstractNumId="79">
    <w:nsid w:val="69E373"/>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abstractNum>
  <w:abstractNum w:abstractNumId="80">
    <w:nsid w:val="2C27173B"/>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81">
    <w:nsid w:val="4C9B0904"/>
    <w:multiLevelType w:val="hybridMultilevel"/>
    <w:lvl w:ilvl="0">
      <w:lvlJc w:val="left"/>
      <w:lvlText w:val="(%1)"/>
      <w:numFmt w:val="lowerRoman"/>
      <w:start w:val="4"/>
    </w:lvl>
    <w:lvl w:ilvl="1">
      <w:lvlJc w:val="left"/>
      <w:lvlText w:val="(%2)"/>
      <w:numFmt w:val="lowerLetter"/>
      <w:start w:val="4"/>
    </w:lvl>
    <w:lvl w:ilvl="2">
      <w:lvlJc w:val="left"/>
      <w:lvlText w:val="%3"/>
      <w:numFmt w:val="lowerLetter"/>
      <w:start w:val="1"/>
    </w:lvl>
  </w:abstractNum>
  <w:abstractNum w:abstractNumId="82">
    <w:nsid w:val="6AA7B75C"/>
    <w:multiLevelType w:val="hybridMultilevel"/>
    <w:lvl w:ilvl="0">
      <w:lvlJc w:val="left"/>
      <w:lvlText w:val="%1"/>
      <w:numFmt w:val="decimal"/>
      <w:start w:val="1"/>
    </w:lvl>
    <w:lvl w:ilvl="1">
      <w:lvlJc w:val="left"/>
      <w:lvlText w:val="(%2)"/>
      <w:numFmt w:val="lowerLetter"/>
      <w:start w:val="6"/>
    </w:lvl>
  </w:abstractNum>
  <w:abstractNum w:abstractNumId="83">
    <w:nsid w:val="1DF029D3"/>
    <w:multiLevelType w:val="hybridMultilevel"/>
    <w:lvl w:ilvl="0">
      <w:lvlJc w:val="left"/>
      <w:lvlText w:val="(%1)"/>
      <w:numFmt w:val="decimal"/>
      <w:start w:val="2"/>
    </w:lvl>
    <w:lvl w:ilvl="1">
      <w:lvlJc w:val="left"/>
      <w:lvlText w:val="%2"/>
      <w:numFmt w:val="lowerLetter"/>
      <w:start w:val="1"/>
    </w:lvl>
  </w:abstractNum>
  <w:abstractNum w:abstractNumId="84">
    <w:nsid w:val="5675FF36"/>
    <w:multiLevelType w:val="hybridMultilevel"/>
    <w:lvl w:ilvl="0">
      <w:lvlJc w:val="left"/>
      <w:lvlText w:val="(%1)"/>
      <w:numFmt w:val="lowerLetter"/>
      <w:start w:val="1"/>
    </w:lvl>
    <w:lvl w:ilvl="1">
      <w:lvlJc w:val="left"/>
      <w:lvlText w:val="(%2)"/>
      <w:numFmt w:val="lowerLetter"/>
      <w:start w:val="9"/>
    </w:lvl>
  </w:abstractNum>
  <w:abstractNum w:abstractNumId="85">
    <w:nsid w:val="3DD15094"/>
    <w:multiLevelType w:val="hybridMultilevel"/>
    <w:lvl w:ilvl="0">
      <w:lvlJc w:val="left"/>
      <w:lvlText w:val="(%1)"/>
      <w:numFmt w:val="lowerRoman"/>
      <w:start w:val="2"/>
    </w:lvl>
  </w:abstractNum>
  <w:abstractNum w:abstractNumId="86">
    <w:nsid w:val="3DB012B3"/>
    <w:multiLevelType w:val="hybridMultilevel"/>
    <w:lvl w:ilvl="0">
      <w:lvlJc w:val="left"/>
      <w:lvlText w:val="(%1)"/>
      <w:numFmt w:val="lowerLetter"/>
      <w:start w:val="2"/>
    </w:lvl>
  </w:abstractNum>
  <w:abstractNum w:abstractNumId="87">
    <w:nsid w:val="2708C9AF"/>
    <w:multiLevelType w:val="hybridMultilevel"/>
    <w:lvl w:ilvl="0">
      <w:lvlJc w:val="left"/>
      <w:lvlText w:val="(%1)"/>
      <w:numFmt w:val="lowerLetter"/>
      <w:start w:val="3"/>
    </w:lvl>
  </w:abstractNum>
  <w:abstractNum w:abstractNumId="88">
    <w:nsid w:val="5B25ACE2"/>
    <w:multiLevelType w:val="hybridMultilevel"/>
    <w:lvl w:ilvl="0">
      <w:lvlJc w:val="left"/>
      <w:lvlText w:val="%1"/>
      <w:numFmt w:val="lowerRoman"/>
      <w:start w:val="1"/>
    </w:lvl>
    <w:lvl w:ilvl="1">
      <w:lvlJc w:val="left"/>
      <w:lvlText w:val="(%2)"/>
      <w:numFmt w:val="lowerLetter"/>
      <w:start w:val="1"/>
    </w:lvl>
  </w:abstractNum>
  <w:abstractNum w:abstractNumId="89">
    <w:nsid w:val="175DFCF0"/>
    <w:multiLevelType w:val="hybridMultilevel"/>
    <w:lvl w:ilvl="0">
      <w:lvlJc w:val="left"/>
      <w:lvlText w:val="(%1)"/>
      <w:numFmt w:val="lowerRoman"/>
      <w:start w:val="7"/>
    </w:lvl>
    <w:lvl w:ilvl="1">
      <w:lvlJc w:val="left"/>
      <w:lvlText w:val="(%2)"/>
      <w:numFmt w:val="lowerLetter"/>
      <w:start w:val="2"/>
    </w:lvl>
  </w:abstractNum>
  <w:abstractNum w:abstractNumId="90">
    <w:nsid w:val="4F97E3E4"/>
    <w:multiLevelType w:val="hybridMultilevel"/>
    <w:lvl w:ilvl="0">
      <w:lvlJc w:val="left"/>
      <w:lvlText w:val="(%1)"/>
      <w:numFmt w:val="lowerLetter"/>
      <w:start w:val="1"/>
    </w:lvl>
  </w:abstractNum>
  <w:abstractNum w:abstractNumId="91">
    <w:nsid w:val="53B0A9E"/>
    <w:multiLevelType w:val="hybridMultilevel"/>
    <w:lvl w:ilvl="0">
      <w:lvlJc w:val="left"/>
      <w:lvlText w:val="(%1)"/>
      <w:numFmt w:val="lowerLetter"/>
      <w:start w:val="2"/>
    </w:lvl>
  </w:abstractNum>
  <w:abstractNum w:abstractNumId="92">
    <w:nsid w:val="34FD6B4F"/>
    <w:multiLevelType w:val="hybridMultilevel"/>
    <w:lvl w:ilvl="0">
      <w:lvlJc w:val="left"/>
      <w:lvlText w:val="(%1)"/>
      <w:numFmt w:val="lowerLetter"/>
      <w:start w:val="1"/>
    </w:lvl>
  </w:abstractNum>
  <w:abstractNum w:abstractNumId="93">
    <w:nsid w:val="5915FF32"/>
    <w:multiLevelType w:val="hybridMultilevel"/>
    <w:lvl w:ilvl="0">
      <w:lvlJc w:val="left"/>
      <w:lvlText w:val="(%1)"/>
      <w:numFmt w:val="lowerLetter"/>
      <w:start w:val="1"/>
    </w:lvl>
    <w:lvl w:ilvl="1">
      <w:lvlJc w:val="left"/>
      <w:lvlText w:val="(%2)"/>
      <w:numFmt w:val="lowerRoman"/>
      <w:start w:val="1"/>
    </w:lvl>
  </w:abstractNum>
  <w:abstractNum w:abstractNumId="94">
    <w:nsid w:val="56438D15"/>
    <w:multiLevelType w:val="hybridMultilevel"/>
    <w:lvl w:ilvl="0">
      <w:lvlJc w:val="left"/>
      <w:lvlText w:val="(%1)"/>
      <w:numFmt w:val="lowerRoman"/>
      <w:start w:val="4"/>
    </w:lvl>
  </w:abstractNum>
  <w:abstractNum w:abstractNumId="95">
    <w:nsid w:val="519E3149"/>
    <w:multiLevelType w:val="hybridMultilevel"/>
    <w:lvl w:ilvl="0">
      <w:lvlJc w:val="left"/>
      <w:lvlText w:val="(%1)"/>
      <w:numFmt w:val="lowerLetter"/>
      <w:start w:val="2"/>
    </w:lvl>
  </w:abstractNum>
  <w:abstractNum w:abstractNumId="96">
    <w:nsid w:val="2C6E4AFD"/>
    <w:multiLevelType w:val="hybridMultilevel"/>
    <w:lvl w:ilvl="0">
      <w:lvlJc w:val="left"/>
      <w:lvlText w:val="(%1)"/>
      <w:numFmt w:val="lowerLetter"/>
      <w:start w:val="1"/>
    </w:lvl>
  </w:abstractNum>
  <w:abstractNum w:abstractNumId="97">
    <w:nsid w:val="17A1B582"/>
    <w:multiLevelType w:val="hybridMultilevel"/>
    <w:lvl w:ilvl="0">
      <w:lvlJc w:val="left"/>
      <w:lvlText w:val="(%1)"/>
      <w:numFmt w:val="lowerLetter"/>
      <w:start w:val="4"/>
    </w:lvl>
  </w:abstractNum>
  <w:abstractNum w:abstractNumId="98">
    <w:nsid w:val="4DF72E4E"/>
    <w:multiLevelType w:val="hybridMultilevel"/>
    <w:lvl w:ilvl="0">
      <w:lvlJc w:val="left"/>
      <w:lvlText w:val="%1"/>
      <w:numFmt w:val="lowerLetter"/>
      <w:start w:val="1"/>
    </w:lvl>
    <w:lvl w:ilvl="1">
      <w:lvlJc w:val="left"/>
      <w:lvlText w:val="(%2)"/>
      <w:numFmt w:val="lowerLetter"/>
      <w:start w:val="1"/>
    </w:lvl>
  </w:abstractNum>
  <w:abstractNum w:abstractNumId="99">
    <w:nsid w:val="5046B5A9"/>
    <w:multiLevelType w:val="hybridMultilevel"/>
    <w:lvl w:ilvl="0">
      <w:lvlJc w:val="left"/>
      <w:lvlText w:val="(%1)"/>
      <w:numFmt w:val="lowerLetter"/>
      <w:start w:val="9"/>
    </w:lvl>
    <w:lvl w:ilvl="1">
      <w:lvlJc w:val="left"/>
      <w:lvlText w:val="%2"/>
      <w:numFmt w:val="lowerLetter"/>
      <w:start w:val="1"/>
    </w:lvl>
  </w:abstractNum>
  <w:abstractNum w:abstractNumId="100">
    <w:nsid w:val="5D888A08"/>
    <w:multiLevelType w:val="hybridMultilevel"/>
    <w:lvl w:ilvl="0">
      <w:lvlJc w:val="left"/>
      <w:lvlText w:val="(%1)"/>
      <w:numFmt w:val="lowerLetter"/>
      <w:start w:val="2"/>
    </w:lvl>
  </w:abstractNum>
  <w:abstractNum w:abstractNumId="101">
    <w:nsid w:val="2A082C70"/>
    <w:multiLevelType w:val="hybridMultilevel"/>
    <w:lvl w:ilvl="0">
      <w:lvlJc w:val="left"/>
      <w:lvlText w:val="%1."/>
      <w:numFmt w:val="decimal"/>
      <w:start w:val="7"/>
    </w:lvl>
  </w:abstractNum>
  <w:abstractNum w:abstractNumId="102">
    <w:nsid w:val="5EC6AFD4"/>
    <w:multiLevelType w:val="hybridMultilevel"/>
    <w:lvl w:ilvl="0">
      <w:lvlJc w:val="left"/>
      <w:lvlText w:val="%1."/>
      <w:numFmt w:val="decimal"/>
      <w:start w:val="1"/>
    </w:lvl>
  </w:abstractNum>
  <w:abstractNum w:abstractNumId="103">
    <w:nsid w:val="19E21BB2"/>
    <w:multiLevelType w:val="hybridMultilevel"/>
    <w:lvl w:ilvl="0">
      <w:lvlJc w:val="left"/>
      <w:lvlText w:val="%1."/>
      <w:numFmt w:val="decimal"/>
      <w:start w:val="2"/>
    </w:lvl>
  </w:abstractNum>
  <w:abstractNum w:abstractNumId="104">
    <w:nsid w:val="75E0858A"/>
    <w:multiLevelType w:val="hybridMultilevel"/>
    <w:lvl w:ilvl="0">
      <w:lvlJc w:val="left"/>
      <w:lvlText w:val="%1."/>
      <w:numFmt w:val="decimal"/>
      <w:start w:val="3"/>
    </w:lvl>
  </w:abstractNum>
  <w:abstractNum w:abstractNumId="105">
    <w:nsid w:val="57A61A29"/>
    <w:multiLevelType w:val="hybridMultilevel"/>
    <w:lvl w:ilvl="0">
      <w:lvlJc w:val="left"/>
      <w:lvlText w:val="%1."/>
      <w:numFmt w:val="decimal"/>
      <w:start w:val="4"/>
    </w:lvl>
  </w:abstractNum>
  <w:abstractNum w:abstractNumId="106">
    <w:nsid w:val="5399C654"/>
    <w:multiLevelType w:val="hybridMultilevel"/>
    <w:lvl w:ilvl="0">
      <w:lvlJc w:val="left"/>
      <w:lvlText w:val="(%1)"/>
      <w:numFmt w:val="lowerLetter"/>
      <w:start w:val="1"/>
    </w:lvl>
    <w:lvl w:ilvl="1">
      <w:lvlJc w:val="left"/>
      <w:lvlText w:val="(%2)"/>
      <w:numFmt w:val="lowerRoman"/>
      <w:start w:val="1"/>
    </w:lvl>
  </w:abstractNum>
  <w:abstractNum w:abstractNumId="107">
    <w:nsid w:val="20EE134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abstractNum>
  <w:abstractNum w:abstractNumId="108">
    <w:nsid w:val="4427069A"/>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109">
    <w:nsid w:val="B37E80A"/>
    <w:multiLevelType w:val="hybridMultilevel"/>
    <w:lvl w:ilvl="0">
      <w:lvlJc w:val="left"/>
      <w:lvlText w:val="(%1)"/>
      <w:numFmt w:val="lowerRoman"/>
      <w:start w:val="4"/>
    </w:lvl>
    <w:lvl w:ilvl="1">
      <w:lvlJc w:val="left"/>
      <w:lvlText w:val="(%2)"/>
      <w:numFmt w:val="lowerLetter"/>
      <w:start w:val="4"/>
    </w:lvl>
    <w:lvl w:ilvl="2">
      <w:lvlJc w:val="left"/>
      <w:lvlText w:val="%3"/>
      <w:numFmt w:val="lowerLetter"/>
      <w:start w:val="1"/>
    </w:lvl>
  </w:abstractNum>
  <w:abstractNum w:abstractNumId="110">
    <w:nsid w:val="2157F6BC"/>
    <w:multiLevelType w:val="hybridMultilevel"/>
    <w:lvl w:ilvl="0">
      <w:lvlJc w:val="left"/>
      <w:lvlText w:val="%1"/>
      <w:numFmt w:val="decimal"/>
      <w:start w:val="1"/>
    </w:lvl>
    <w:lvl w:ilvl="1">
      <w:lvlJc w:val="left"/>
      <w:lvlText w:val="(%2)"/>
      <w:numFmt w:val="lowerLetter"/>
      <w:start w:val="6"/>
    </w:lvl>
  </w:abstractNum>
  <w:abstractNum w:abstractNumId="111">
    <w:nsid w:val="704E1DD5"/>
    <w:multiLevelType w:val="hybridMultilevel"/>
    <w:lvl w:ilvl="0">
      <w:lvlJc w:val="left"/>
      <w:lvlText w:val="(%1)"/>
      <w:numFmt w:val="decimal"/>
      <w:start w:val="2"/>
    </w:lvl>
    <w:lvl w:ilvl="1">
      <w:lvlJc w:val="left"/>
      <w:lvlText w:val="%2"/>
      <w:numFmt w:val="lowerLetter"/>
      <w:start w:val="1"/>
    </w:lvl>
  </w:abstractNum>
  <w:abstractNum w:abstractNumId="112">
    <w:nsid w:val="57D2F10E"/>
    <w:multiLevelType w:val="hybridMultilevel"/>
    <w:lvl w:ilvl="0">
      <w:lvlJc w:val="left"/>
      <w:lvlText w:val="(%1)"/>
      <w:numFmt w:val="lowerLetter"/>
      <w:start w:val="1"/>
    </w:lvl>
    <w:lvl w:ilvl="1">
      <w:lvlJc w:val="left"/>
      <w:lvlText w:val="(%2)"/>
      <w:numFmt w:val="lowerLetter"/>
      <w:start w:val="9"/>
    </w:lvl>
  </w:abstractNum>
  <w:abstractNum w:abstractNumId="113">
    <w:nsid w:val="BFFAE18"/>
    <w:multiLevelType w:val="hybridMultilevel"/>
    <w:lvl w:ilvl="0">
      <w:lvlJc w:val="left"/>
      <w:lvlText w:val="(%1)"/>
      <w:numFmt w:val="lowerRoman"/>
      <w:start w:val="2"/>
    </w:lvl>
  </w:abstractNum>
  <w:abstractNum w:abstractNumId="114">
    <w:nsid w:val="E3E47A8"/>
    <w:multiLevelType w:val="hybridMultilevel"/>
    <w:lvl w:ilvl="0">
      <w:lvlJc w:val="left"/>
      <w:lvlText w:val="(%1)"/>
      <w:numFmt w:val="lowerLetter"/>
      <w:start w:val="2"/>
    </w:lvl>
  </w:abstractNum>
  <w:abstractNum w:abstractNumId="115">
    <w:nsid w:val="2E48F044"/>
    <w:multiLevelType w:val="hybridMultilevel"/>
    <w:lvl w:ilvl="0">
      <w:lvlJc w:val="left"/>
      <w:lvlText w:val="(%1)"/>
      <w:numFmt w:val="lowerLetter"/>
      <w:start w:val="3"/>
    </w:lvl>
  </w:abstractNum>
  <w:abstractNum w:abstractNumId="116">
    <w:nsid w:val="49D0FEAC"/>
    <w:multiLevelType w:val="hybridMultilevel"/>
    <w:lvl w:ilvl="0">
      <w:lvlJc w:val="left"/>
      <w:lvlText w:val="%1"/>
      <w:numFmt w:val="lowerRoman"/>
      <w:start w:val="1"/>
    </w:lvl>
    <w:lvl w:ilvl="1">
      <w:lvlJc w:val="left"/>
      <w:lvlText w:val="(%2)"/>
      <w:numFmt w:val="lowerLetter"/>
      <w:start w:val="1"/>
    </w:lvl>
  </w:abstractNum>
  <w:abstractNum w:abstractNumId="117">
    <w:nsid w:val="4BEE5A5B"/>
    <w:multiLevelType w:val="hybridMultilevel"/>
    <w:lvl w:ilvl="0">
      <w:lvlJc w:val="left"/>
      <w:lvlText w:val="(%1)"/>
      <w:numFmt w:val="lowerRoman"/>
      <w:start w:val="7"/>
    </w:lvl>
    <w:lvl w:ilvl="1">
      <w:lvlJc w:val="left"/>
      <w:lvlText w:val="(%2)"/>
      <w:numFmt w:val="lowerLetter"/>
      <w:start w:val="2"/>
    </w:lvl>
  </w:abstractNum>
  <w:abstractNum w:abstractNumId="118">
    <w:nsid w:val="5551B9F3"/>
    <w:multiLevelType w:val="hybridMultilevel"/>
    <w:lvl w:ilvl="0">
      <w:lvlJc w:val="left"/>
      <w:lvlText w:val="(%1)"/>
      <w:numFmt w:val="lowerLetter"/>
      <w:start w:val="1"/>
    </w:lvl>
  </w:abstractNum>
  <w:abstractNum w:abstractNumId="119">
    <w:nsid w:val="24F6AB8E"/>
    <w:multiLevelType w:val="hybridMultilevel"/>
    <w:lvl w:ilvl="0">
      <w:lvlJc w:val="left"/>
      <w:lvlText w:val="(%1)"/>
      <w:numFmt w:val="lowerLetter"/>
      <w:start w:val="2"/>
    </w:lvl>
  </w:abstractNum>
  <w:abstractNum w:abstractNumId="120">
    <w:nsid w:val="634C574C"/>
    <w:multiLevelType w:val="hybridMultilevel"/>
    <w:lvl w:ilvl="0">
      <w:lvlJc w:val="left"/>
      <w:lvlText w:val="(%1)"/>
      <w:numFmt w:val="lowerLetter"/>
      <w:start w:val="1"/>
    </w:lvl>
  </w:abstractNum>
  <w:abstractNum w:abstractNumId="121">
    <w:nsid w:val="24E99DD7"/>
    <w:multiLevelType w:val="hybridMultilevel"/>
    <w:lvl w:ilvl="0">
      <w:lvlJc w:val="left"/>
      <w:lvlText w:val="(%1)"/>
      <w:numFmt w:val="lowerLetter"/>
      <w:start w:val="1"/>
    </w:lvl>
    <w:lvl w:ilvl="1">
      <w:lvlJc w:val="left"/>
      <w:lvlText w:val="(%2)"/>
      <w:numFmt w:val="lowerRoman"/>
      <w:start w:val="1"/>
    </w:lvl>
  </w:abstractNum>
  <w:abstractNum w:abstractNumId="122">
    <w:nsid w:val="2A31B62D"/>
    <w:multiLevelType w:val="hybridMultilevel"/>
    <w:lvl w:ilvl="0">
      <w:lvlJc w:val="left"/>
      <w:lvlText w:val="%1"/>
      <w:numFmt w:val="lowerRoman"/>
      <w:start w:val="1"/>
    </w:lvl>
    <w:lvl w:ilvl="1">
      <w:lvlJc w:val="left"/>
      <w:lvlText w:val="(%2)"/>
      <w:numFmt w:val="lowerRoman"/>
      <w:start w:val="4"/>
    </w:lvl>
  </w:abstractNum>
  <w:abstractNum w:abstractNumId="123">
    <w:nsid w:val="1849C29B"/>
    <w:multiLevelType w:val="hybridMultilevel"/>
    <w:lvl w:ilvl="0">
      <w:lvlJc w:val="left"/>
      <w:lvlText w:val="(%1)"/>
      <w:numFmt w:val="lowerRoman"/>
      <w:start w:val="5"/>
    </w:lvl>
    <w:lvl w:ilvl="1">
      <w:lvlJc w:val="left"/>
      <w:lvlText w:val="%2"/>
      <w:numFmt w:val="lowerRoman"/>
      <w:start w:val="1"/>
    </w:lvl>
  </w:abstractNum>
  <w:abstractNum w:abstractNumId="124">
    <w:nsid w:val="7DFF9D09"/>
    <w:multiLevelType w:val="hybridMultilevel"/>
    <w:lvl w:ilvl="0">
      <w:lvlJc w:val="left"/>
      <w:lvlText w:val="(%1)"/>
      <w:numFmt w:val="lowerLetter"/>
      <w:start w:val="2"/>
    </w:lvl>
  </w:abstractNum>
  <w:abstractNum w:abstractNumId="125">
    <w:nsid w:val="754342"/>
    <w:multiLevelType w:val="hybridMultilevel"/>
    <w:lvl w:ilvl="0">
      <w:lvlJc w:val="left"/>
      <w:lvlText w:val="(%1)"/>
      <w:numFmt w:val="lowerLetter"/>
      <w:start w:val="1"/>
    </w:lvl>
  </w:abstractNum>
  <w:abstractNum w:abstractNumId="126">
    <w:nsid w:val="69E7F3E5"/>
    <w:multiLevelType w:val="hybridMultilevel"/>
    <w:lvl w:ilvl="0">
      <w:lvlJc w:val="left"/>
      <w:lvlText w:val="(%1)"/>
      <w:numFmt w:val="lowerLetter"/>
      <w:start w:val="4"/>
    </w:lvl>
  </w:abstractNum>
  <w:abstractNum w:abstractNumId="127">
    <w:nsid w:val="2A6DE806"/>
    <w:multiLevelType w:val="hybridMultilevel"/>
    <w:lvl w:ilvl="0">
      <w:lvlJc w:val="left"/>
      <w:lvlText w:val="%1"/>
      <w:numFmt w:val="lowerLetter"/>
      <w:start w:val="1"/>
    </w:lvl>
    <w:lvl w:ilvl="1">
      <w:lvlJc w:val="left"/>
      <w:lvlText w:val="(%2)"/>
      <w:numFmt w:val="lowerLetter"/>
      <w:start w:val="1"/>
    </w:lvl>
  </w:abstractNum>
  <w:abstractNum w:abstractNumId="128">
    <w:nsid w:val="1816F8C4"/>
    <w:multiLevelType w:val="hybridMultilevel"/>
    <w:lvl w:ilvl="0">
      <w:lvlJc w:val="left"/>
      <w:lvlText w:val="(%1)"/>
      <w:numFmt w:val="lowerLetter"/>
      <w:start w:val="9"/>
    </w:lvl>
    <w:lvl w:ilvl="1">
      <w:lvlJc w:val="left"/>
      <w:lvlText w:val="%2"/>
      <w:numFmt w:val="lowerLetter"/>
      <w:start w:val="1"/>
    </w:lvl>
  </w:abstractNum>
  <w:abstractNum w:abstractNumId="129">
    <w:nsid w:val="37DF2233"/>
    <w:multiLevelType w:val="hybridMultilevel"/>
    <w:lvl w:ilvl="0">
      <w:lvlJc w:val="left"/>
      <w:lvlText w:val="(%1)"/>
      <w:numFmt w:val="lowerLetter"/>
      <w:start w:val="2"/>
    </w:lvl>
  </w:abstractNum>
  <w:abstractNum w:abstractNumId="130">
    <w:nsid w:val="7AB49DAF"/>
    <w:multiLevelType w:val="hybridMultilevel"/>
    <w:lvl w:ilvl="0">
      <w:lvlJc w:val="left"/>
      <w:lvlText w:val="%1."/>
      <w:numFmt w:val="decimal"/>
      <w:start w:val="7"/>
    </w:lvl>
  </w:abstractNum>
  <w:abstractNum w:abstractNumId="131">
    <w:nsid w:val="759F82CD"/>
    <w:multiLevelType w:val="hybridMultilevel"/>
    <w:lvl w:ilvl="0">
      <w:lvlJc w:val="left"/>
      <w:lvlText w:val="%1."/>
      <w:numFmt w:val="decimal"/>
      <w:start w:val="1"/>
    </w:lvl>
  </w:abstractNum>
  <w:abstractNum w:abstractNumId="132">
    <w:nsid w:val="61E74EA3"/>
    <w:multiLevelType w:val="hybridMultilevel"/>
    <w:lvl w:ilvl="0">
      <w:lvlJc w:val="left"/>
      <w:lvlText w:val="%1."/>
      <w:numFmt w:val="decimal"/>
      <w:start w:val="2"/>
    </w:lvl>
  </w:abstractNum>
  <w:abstractNum w:abstractNumId="133">
    <w:nsid w:val="597B4D84"/>
    <w:multiLevelType w:val="hybridMultilevel"/>
    <w:lvl w:ilvl="0">
      <w:lvlJc w:val="left"/>
      <w:lvlText w:val="%1."/>
      <w:numFmt w:val="decimal"/>
      <w:start w:val="3"/>
    </w:lvl>
  </w:abstractNum>
  <w:abstractNum w:abstractNumId="134">
    <w:nsid w:val="F819E7F"/>
    <w:multiLevelType w:val="hybridMultilevel"/>
    <w:lvl w:ilvl="0">
      <w:lvlJc w:val="left"/>
      <w:lvlText w:val="%1."/>
      <w:numFmt w:val="decimal"/>
      <w:start w:val="4"/>
    </w:lvl>
  </w:abstractNum>
  <w:abstractNum w:abstractNumId="135">
    <w:nsid w:val="57C7D42D"/>
    <w:multiLevelType w:val="hybridMultilevel"/>
    <w:lvl w:ilvl="0">
      <w:lvlJc w:val="left"/>
      <w:lvlText w:val="(%1)"/>
      <w:numFmt w:val="lowerLetter"/>
      <w:start w:val="1"/>
    </w:lvl>
    <w:lvl w:ilvl="1">
      <w:lvlJc w:val="left"/>
      <w:lvlText w:val="(%2)"/>
      <w:numFmt w:val="lowerRoman"/>
      <w:start w:val="1"/>
    </w:lvl>
  </w:abstractNum>
  <w:abstractNum w:abstractNumId="136">
    <w:nsid w:val="312167AD"/>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abstractNum>
  <w:abstractNum w:abstractNumId="137">
    <w:nsid w:val="631B64D4"/>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138">
    <w:nsid w:val="78B5E776"/>
    <w:multiLevelType w:val="hybridMultilevel"/>
    <w:lvl w:ilvl="0">
      <w:lvlJc w:val="left"/>
      <w:lvlText w:val="(%1)"/>
      <w:numFmt w:val="lowerRoman"/>
      <w:start w:val="4"/>
    </w:lvl>
    <w:lvl w:ilvl="1">
      <w:lvlJc w:val="left"/>
      <w:lvlText w:val="(%2)"/>
      <w:numFmt w:val="lowerLetter"/>
      <w:start w:val="4"/>
    </w:lvl>
    <w:lvl w:ilvl="2">
      <w:lvlJc w:val="left"/>
      <w:lvlText w:val="%3"/>
      <w:numFmt w:val="lowerLetter"/>
      <w:start w:val="1"/>
    </w:lvl>
  </w:abstractNum>
  <w:abstractNum w:abstractNumId="139">
    <w:nsid w:val="75486E47"/>
    <w:multiLevelType w:val="hybridMultilevel"/>
    <w:lvl w:ilvl="0">
      <w:lvlJc w:val="left"/>
      <w:lvlText w:val="(%1)"/>
      <w:numFmt w:val="lowerLetter"/>
      <w:start w:val="6"/>
    </w:lvl>
  </w:abstractNum>
  <w:abstractNum w:abstractNumId="140">
    <w:nsid w:val="6E534CDE"/>
    <w:multiLevelType w:val="hybridMultilevel"/>
    <w:lvl w:ilvl="0">
      <w:lvlJc w:val="left"/>
      <w:lvlText w:val="(%1)"/>
      <w:numFmt w:val="lowerLetter"/>
      <w:start w:val="1"/>
    </w:lvl>
    <w:lvl w:ilvl="1">
      <w:lvlJc w:val="left"/>
      <w:lvlText w:val="(%2)"/>
      <w:numFmt w:val="lowerLetter"/>
      <w:start w:val="9"/>
    </w:lvl>
  </w:abstractNum>
  <w:abstractNum w:abstractNumId="141">
    <w:nsid w:val="1A0DDE32"/>
    <w:multiLevelType w:val="hybridMultilevel"/>
    <w:lvl w:ilvl="0">
      <w:lvlJc w:val="left"/>
      <w:lvlText w:val="(%1)"/>
      <w:numFmt w:val="lowerRoman"/>
      <w:start w:val="2"/>
    </w:lvl>
  </w:abstractNum>
  <w:abstractNum w:abstractNumId="142">
    <w:nsid w:val="65968C1C"/>
    <w:multiLevelType w:val="hybridMultilevel"/>
    <w:lvl w:ilvl="0">
      <w:lvlJc w:val="left"/>
      <w:lvlText w:val="(%1)"/>
      <w:numFmt w:val="lowerLetter"/>
      <w:start w:val="2"/>
    </w:lvl>
  </w:abstractNum>
  <w:abstractNum w:abstractNumId="143">
    <w:nsid w:val="46263DEC"/>
    <w:multiLevelType w:val="hybridMultilevel"/>
    <w:lvl w:ilvl="0">
      <w:lvlJc w:val="left"/>
      <w:lvlText w:val="(%1)"/>
      <w:numFmt w:val="lowerLetter"/>
      <w:start w:val="3"/>
    </w:lvl>
  </w:abstractNum>
  <w:abstractNum w:abstractNumId="144">
    <w:nsid w:val="260D8C4A"/>
    <w:multiLevelType w:val="hybridMultilevel"/>
    <w:lvl w:ilvl="0">
      <w:lvlJc w:val="left"/>
      <w:lvlText w:val="%1"/>
      <w:numFmt w:val="lowerRoman"/>
      <w:start w:val="1"/>
    </w:lvl>
    <w:lvl w:ilvl="1">
      <w:lvlJc w:val="left"/>
      <w:lvlText w:val="(%2)"/>
      <w:numFmt w:val="lowerLetter"/>
      <w:start w:val="1"/>
    </w:lvl>
  </w:abstractNum>
  <w:abstractNum w:abstractNumId="145">
    <w:nsid w:val="73D4D3C4"/>
    <w:multiLevelType w:val="hybridMultilevel"/>
    <w:lvl w:ilvl="0">
      <w:lvlJc w:val="left"/>
      <w:lvlText w:val="(%1)"/>
      <w:numFmt w:val="lowerRoman"/>
      <w:start w:val="7"/>
    </w:lvl>
    <w:lvl w:ilvl="1">
      <w:lvlJc w:val="left"/>
      <w:lvlText w:val="(%2)"/>
      <w:numFmt w:val="lowerLetter"/>
      <w:start w:val="2"/>
    </w:lvl>
  </w:abstractNum>
  <w:abstractNum w:abstractNumId="146">
    <w:nsid w:val="746F2E30"/>
    <w:multiLevelType w:val="hybridMultilevel"/>
    <w:lvl w:ilvl="0">
      <w:lvlJc w:val="left"/>
      <w:lvlText w:val="(%1)"/>
      <w:numFmt w:val="lowerLetter"/>
      <w:start w:val="1"/>
    </w:lvl>
  </w:abstractNum>
  <w:abstractNum w:abstractNumId="147">
    <w:nsid w:val="6FDE8AF6"/>
    <w:multiLevelType w:val="hybridMultilevel"/>
    <w:lvl w:ilvl="0">
      <w:lvlJc w:val="left"/>
      <w:lvlText w:val="(%1)"/>
      <w:numFmt w:val="lowerLetter"/>
      <w:start w:val="1"/>
    </w:lvl>
  </w:abstractNum>
  <w:abstractNum w:abstractNumId="148">
    <w:nsid w:val="3FC32E20"/>
    <w:multiLevelType w:val="hybridMultilevel"/>
    <w:lvl w:ilvl="0">
      <w:lvlJc w:val="left"/>
      <w:lvlText w:val="(%1)"/>
      <w:numFmt w:val="lowerLetter"/>
      <w:start w:val="1"/>
    </w:lvl>
    <w:lvl w:ilvl="1">
      <w:lvlJc w:val="left"/>
      <w:lvlText w:val="(%2)"/>
      <w:numFmt w:val="lowerRoman"/>
      <w:start w:val="1"/>
    </w:lvl>
  </w:abstractNum>
  <w:abstractNum w:abstractNumId="149">
    <w:nsid w:val="49C0E823"/>
    <w:multiLevelType w:val="hybridMultilevel"/>
    <w:lvl w:ilvl="0">
      <w:lvlJc w:val="left"/>
      <w:lvlText w:val="(%1)"/>
      <w:numFmt w:val="lowerLetter"/>
      <w:start w:val="2"/>
    </w:lvl>
  </w:abstractNum>
  <w:abstractNum w:abstractNumId="150">
    <w:nsid w:val="14D53685"/>
    <w:multiLevelType w:val="hybridMultilevel"/>
    <w:lvl w:ilvl="0">
      <w:lvlJc w:val="left"/>
      <w:lvlText w:val="(%1)"/>
      <w:numFmt w:val="lowerLetter"/>
      <w:start w:val="1"/>
    </w:lvl>
  </w:abstractNum>
  <w:abstractNum w:abstractNumId="151">
    <w:nsid w:val="230F856C"/>
    <w:multiLevelType w:val="hybridMultilevel"/>
    <w:lvl w:ilvl="0">
      <w:lvlJc w:val="left"/>
      <w:lvlText w:val="(%1)"/>
      <w:numFmt w:val="lowerLetter"/>
      <w:start w:val="4"/>
    </w:lvl>
  </w:abstractNum>
  <w:abstractNum w:abstractNumId="152">
    <w:nsid w:val="6EAA85FB"/>
    <w:multiLevelType w:val="hybridMultilevel"/>
    <w:lvl w:ilvl="0">
      <w:lvlJc w:val="left"/>
      <w:lvlText w:val="%1"/>
      <w:numFmt w:val="lowerLetter"/>
      <w:start w:val="1"/>
    </w:lvl>
    <w:lvl w:ilvl="1">
      <w:lvlJc w:val="left"/>
      <w:lvlText w:val="(%2)"/>
      <w:numFmt w:val="lowerLetter"/>
      <w:start w:val="1"/>
    </w:lvl>
  </w:abstractNum>
  <w:abstractNum w:abstractNumId="153">
    <w:nsid w:val="3F06ECB2"/>
    <w:multiLevelType w:val="hybridMultilevel"/>
    <w:lvl w:ilvl="0">
      <w:lvlJc w:val="left"/>
      <w:lvlText w:val="(%1)"/>
      <w:numFmt w:val="lowerLetter"/>
      <w:start w:val="9"/>
    </w:lvl>
    <w:lvl w:ilvl="1">
      <w:lvlJc w:val="left"/>
      <w:lvlText w:val="(%2)"/>
      <w:numFmt w:val="lowerLetter"/>
      <w:start w:val="2"/>
    </w:lvl>
  </w:abstractNum>
  <w:abstractNum w:abstractNumId="154">
    <w:nsid w:val="3B594807"/>
    <w:multiLevelType w:val="hybridMultilevel"/>
    <w:lvl w:ilvl="0">
      <w:lvlJc w:val="left"/>
      <w:lvlText w:val="(%1)"/>
      <w:numFmt w:val="lowerLetter"/>
      <w:start w:val="3"/>
    </w:lvl>
  </w:abstractNum>
  <w:abstractNum w:abstractNumId="155">
    <w:nsid w:val="6CAA230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41"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jpeg"/><Relationship Id="rId90" Type="http://schemas.openxmlformats.org/officeDocument/2006/relationships/image" Target="media/image62.png"/><Relationship Id="rId91" Type="http://schemas.openxmlformats.org/officeDocument/2006/relationships/image" Target="media/image63.jpeg"/><Relationship Id="rId92" Type="http://schemas.openxmlformats.org/officeDocument/2006/relationships/image" Target="media/image64.png"/><Relationship Id="rId93" Type="http://schemas.openxmlformats.org/officeDocument/2006/relationships/image" Target="media/image65.jpe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23" Type="http://schemas.openxmlformats.org/officeDocument/2006/relationships/hyperlink" Target="http://www.sec.gov/Archives/edgar/data/1657573/000119312521181945/d120843dex31.htm" TargetMode="External"/><Relationship Id="rId24" Type="http://schemas.openxmlformats.org/officeDocument/2006/relationships/hyperlink" Target="http://www.sec.gov/Archives/edgar/data/0001657573/000119312521194064/d120843dex32.htm" TargetMode="External"/><Relationship Id="rId25" Type="http://schemas.openxmlformats.org/officeDocument/2006/relationships/hyperlink" Target="http://www.sec.gov/Archives/edgar/data/1657573/000119312521181945/d120843dex33.htm" TargetMode="External"/><Relationship Id="rId26" Type="http://schemas.openxmlformats.org/officeDocument/2006/relationships/hyperlink" Target="http://www.sec.gov/Archives/edgar/data/0001657573/000119312521194064/d120843dex34.htm" TargetMode="External"/><Relationship Id="rId27" Type="http://schemas.openxmlformats.org/officeDocument/2006/relationships/hyperlink" Target="http://www.sec.gov/Archives/edgar/data/1657573/000119312521181945/d120843dex101.htm" TargetMode="External"/><Relationship Id="rId28" Type="http://schemas.openxmlformats.org/officeDocument/2006/relationships/hyperlink" Target="http://www.sec.gov/Archives/edgar/data/1657573/000119312521181945/d120843dex102.htm" TargetMode="External"/><Relationship Id="rId29" Type="http://schemas.openxmlformats.org/officeDocument/2006/relationships/hyperlink" Target="http://www.sec.gov/Archives/edgar/data/1657573/000119312521181945/d120843dex103.htm" TargetMode="External"/><Relationship Id="rId30" Type="http://schemas.openxmlformats.org/officeDocument/2006/relationships/hyperlink" Target="http://www.sec.gov/Archives/edgar/data/1657573/000119312521181945/d120843dex104.htm" TargetMode="External"/><Relationship Id="rId31" Type="http://schemas.openxmlformats.org/officeDocument/2006/relationships/hyperlink" Target="http://www.sec.gov/Archives/edgar/data/1657573/000119312521181945/d120843dex105.htm" TargetMode="External"/><Relationship Id="rId32" Type="http://schemas.openxmlformats.org/officeDocument/2006/relationships/hyperlink" Target="http://www.sec.gov/Archives/edgar/data/1657573/000119312521181945/d120843dex106.htm" TargetMode="External"/><Relationship Id="rId33" Type="http://schemas.openxmlformats.org/officeDocument/2006/relationships/hyperlink" Target="http://www.sec.gov/Archives/edgar/data/1657573/000119312521181945/d120843dex107.htm" TargetMode="External"/><Relationship Id="rId34" Type="http://schemas.openxmlformats.org/officeDocument/2006/relationships/hyperlink" Target="http://www.sec.gov/Archives/edgar/data/1657573/000119312521181945/d120843dex108.htm" TargetMode="External"/><Relationship Id="rId35" Type="http://schemas.openxmlformats.org/officeDocument/2006/relationships/hyperlink" Target="http://www.sec.gov/Archives/edgar/data/0001657573/000119312521194064/d120843dex109.htm" TargetMode="External"/><Relationship Id="rId36" Type="http://schemas.openxmlformats.org/officeDocument/2006/relationships/hyperlink" Target="http://www.sec.gov/Archives/edgar/data/0001657573/000119312521194064/d120843dex1015.htm" TargetMode="External"/><Relationship Id="rId37" Type="http://schemas.openxmlformats.org/officeDocument/2006/relationships/hyperlink" Target="http://www.sec.gov/Archives/edgar/data/0001657573/000119312521194064/d120843dex1016.htm" TargetMode="External"/><Relationship Id="rId38" Type="http://schemas.openxmlformats.org/officeDocument/2006/relationships/hyperlink" Target="http://www.sec.gov/Archives/edgar/data/0001657573/000119312521194064/d120843dex1017.htm" TargetMode="External"/><Relationship Id="rId39" Type="http://schemas.openxmlformats.org/officeDocument/2006/relationships/hyperlink" Target="http://www.sec.gov/Archives/edgar/data/0001657573/000119312521194064/d120843dex1018.htm" TargetMode="External"/><Relationship Id="rId40" Type="http://schemas.openxmlformats.org/officeDocument/2006/relationships/hyperlink" Target="http://www.sec.gov/Archives/edgar/data/1657573/000119312521181945/d120843dex211.htm" TargetMode="External"/><Relationship Id="rId42" Type="http://schemas.openxmlformats.org/officeDocument/2006/relationships/hyperlink" Target="http://www.sec.gov/Archives/edgar/data/0001657573/000119312521194064/d120843dex231.htm" TargetMode="External"/><Relationship Id="rId43" Type="http://schemas.openxmlformats.org/officeDocument/2006/relationships/hyperlink" Target="http://www.sec.gov/Archives/edgar/data/1657573/000119312521181945/d120843ds1.htm#ii120843_pwr" TargetMode="External"/><Relationship Id="rId44" Type="http://schemas.openxmlformats.org/officeDocument/2006/relationships/hyperlink" Target="http://www.sec.gov/Archives/edgar/data/0001657573/000119312521194064/d12084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2021-06-25T15:10:58Z</dcterms:created>
  <dcterms:modified xsi:type="dcterms:W3CDTF">2021-06-25T15:10:58Z</dcterms:modified>
</cp:coreProperties>
</file>