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53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Weymouth Katharine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20852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Xometry,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XMTR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5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5,416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20,399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02/27/2024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1,656</w:t>
            </w:r>
            <w:r>
              <w:rPr>
                <w:rFonts w:ascii="Times New Roman" w:cs="Times New Roman" w:eastAsia="Times New Roman" w:hAnsi="Times New Roman"/>
                <w:sz w:val="22"/>
                <w:szCs w:val="22"/>
                <w:color w:val="008000"/>
                <w:vertAlign w:val="superscript"/>
              </w:rPr>
              <w:t>(3)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22,055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2025,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will vest in four equal quarterly installments with the first installment vesting on April 1, 2024, subject to the Reporting Person's continuous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02/29/2024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2024-02-29T18:31:14Z</dcterms:created>
  <dcterms:modified xsi:type="dcterms:W3CDTF">2024-02-29T18:31:14Z</dcterms:modified>
</cp:coreProperties>
</file>