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333-256769</w:t>
      </w:r>
    </w:p>
    <w:p>
      <w:pPr>
        <w:jc w:val="center"/>
        <w:ind w:right="-159"/>
        <w:spacing w:after="0"/>
        <w:rPr>
          <w:sz w:val="20"/>
          <w:szCs w:val="20"/>
          <w:color w:val="auto"/>
        </w:rPr>
      </w:pPr>
      <w:r>
        <w:rPr>
          <w:rFonts w:ascii="Arial" w:cs="Arial" w:eastAsia="Arial" w:hAnsi="Arial"/>
          <w:sz w:val="21"/>
          <w:szCs w:val="21"/>
          <w:color w:val="auto"/>
        </w:rPr>
        <w:t>6,875,000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2493010</wp:posOffset>
            </wp:positionH>
            <wp:positionV relativeFrom="paragraph">
              <wp:posOffset>139700</wp:posOffset>
            </wp:positionV>
            <wp:extent cx="2157095" cy="501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21"/>
          <w:szCs w:val="2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147955</wp:posOffset>
            </wp:positionV>
            <wp:extent cx="1460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8" w:lineRule="exact"/>
        <w:rPr>
          <w:sz w:val="24"/>
          <w:szCs w:val="24"/>
          <w:color w:val="auto"/>
        </w:rPr>
      </w:pPr>
    </w:p>
    <w:p>
      <w:pPr>
        <w:ind w:left="720"/>
        <w:spacing w:after="0"/>
        <w:rPr>
          <w:sz w:val="20"/>
          <w:szCs w:val="20"/>
          <w:color w:val="auto"/>
        </w:rPr>
      </w:pPr>
      <w:r>
        <w:rPr>
          <w:rFonts w:ascii="Arial" w:cs="Arial" w:eastAsia="Arial" w:hAnsi="Arial"/>
          <w:sz w:val="14"/>
          <w:szCs w:val="14"/>
          <w:color w:val="auto"/>
        </w:rPr>
        <w:t>This is an initial public offering of shares of Class A common stock of Xometry, Inc.</w:t>
      </w:r>
    </w:p>
    <w:p>
      <w:pPr>
        <w:spacing w:after="0" w:line="106" w:lineRule="exact"/>
        <w:rPr>
          <w:sz w:val="24"/>
          <w:szCs w:val="24"/>
          <w:color w:val="auto"/>
        </w:rPr>
      </w:pPr>
    </w:p>
    <w:p>
      <w:pPr>
        <w:ind w:left="160" w:right="40" w:firstLine="546"/>
        <w:spacing w:after="0" w:line="254" w:lineRule="auto"/>
        <w:rPr>
          <w:sz w:val="20"/>
          <w:szCs w:val="20"/>
          <w:color w:val="auto"/>
        </w:rPr>
      </w:pPr>
      <w:r>
        <w:rPr>
          <w:rFonts w:ascii="Arial" w:cs="Arial" w:eastAsia="Arial" w:hAnsi="Arial"/>
          <w:sz w:val="14"/>
          <w:szCs w:val="14"/>
          <w:color w:val="auto"/>
        </w:rPr>
        <w:t>Prior to this offering, there has been no public market for our Class A common stock. The initial public offering price for our Class A common stock will be $44.00 per share. Our Class A common stock has been approved for listing on The Nasdaq Global Select Market under the symbol “XMTR.”</w:t>
      </w:r>
    </w:p>
    <w:p>
      <w:pPr>
        <w:spacing w:after="0" w:line="87" w:lineRule="exact"/>
        <w:rPr>
          <w:sz w:val="24"/>
          <w:szCs w:val="24"/>
          <w:color w:val="auto"/>
        </w:rPr>
      </w:pPr>
    </w:p>
    <w:p>
      <w:pPr>
        <w:ind w:left="160" w:right="120" w:firstLine="546"/>
        <w:spacing w:after="0" w:line="242"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 Immediately prior to the completion of this offering, an aggregate of 2,676,154 outstanding shares of our capital stock held by Randolph Altschuler, our Chief Executive Officer and Co-Founder, and Laurence Zuriff, our Chief Strategy Officer and Co-Founder, will be exchanged for an equivalent number of shares of our Class B common stock. The holders of our Class B common stock will hold approximately 57.1% of the voting power of our capital stock immediately following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74930</wp:posOffset>
            </wp:positionV>
            <wp:extent cx="764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3" w:lineRule="exact"/>
        <w:rPr>
          <w:sz w:val="24"/>
          <w:szCs w:val="24"/>
          <w:color w:val="auto"/>
        </w:rPr>
      </w:pPr>
    </w:p>
    <w:p>
      <w:pPr>
        <w:ind w:left="160" w:right="600" w:firstLine="546"/>
        <w:spacing w:after="0" w:line="254"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154305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1" w:lineRule="exact"/>
        <w:rPr>
          <w:sz w:val="24"/>
          <w:szCs w:val="24"/>
          <w:color w:val="auto"/>
        </w:rPr>
      </w:pPr>
    </w:p>
    <w:p>
      <w:pPr>
        <w:ind w:left="160" w:right="60" w:firstLine="546"/>
        <w:spacing w:after="0" w:line="275" w:lineRule="auto"/>
        <w:rPr>
          <w:rFonts w:ascii="Arial" w:cs="Arial" w:eastAsia="Arial" w:hAnsi="Arial"/>
          <w:sz w:val="14"/>
          <w:szCs w:val="14"/>
          <w:i w:val="1"/>
          <w:iCs w:val="1"/>
          <w:color w:val="auto"/>
        </w:rPr>
      </w:pPr>
      <w:r>
        <w:rPr>
          <w:rFonts w:ascii="Arial" w:cs="Arial" w:eastAsia="Arial" w:hAnsi="Arial"/>
          <w:sz w:val="14"/>
          <w:szCs w:val="14"/>
          <w:i w:val="1"/>
          <w:iCs w:val="1"/>
          <w:color w:val="auto"/>
        </w:rPr>
        <w:t>Investing in our Class A common stock involves risks. See “</w:t>
      </w:r>
      <w:hyperlink w:anchor="page24">
        <w:r>
          <w:rPr>
            <w:rFonts w:ascii="Arial" w:cs="Arial" w:eastAsia="Arial" w:hAnsi="Arial"/>
            <w:sz w:val="14"/>
            <w:szCs w:val="14"/>
            <w:i w:val="1"/>
            <w:iCs w:val="1"/>
            <w:u w:val="single" w:color="auto"/>
            <w:color w:val="0000EE"/>
          </w:rPr>
          <w:t>Risk Factors</w:t>
        </w:r>
      </w:hyperlink>
      <w:r>
        <w:rPr>
          <w:rFonts w:ascii="Arial" w:cs="Arial" w:eastAsia="Arial" w:hAnsi="Arial"/>
          <w:sz w:val="14"/>
          <w:szCs w:val="14"/>
          <w:i w:val="1"/>
          <w:iCs w:val="1"/>
          <w:color w:val="auto"/>
        </w:rPr>
        <w:t>” on page 18 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145415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43" w:lineRule="exact"/>
        <w:rPr>
          <w:sz w:val="24"/>
          <w:szCs w:val="24"/>
          <w:color w:val="auto"/>
        </w:rPr>
      </w:pPr>
    </w:p>
    <w:p>
      <w:pPr>
        <w:ind w:left="160" w:right="260" w:firstLine="546"/>
        <w:spacing w:after="0" w:line="281"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125730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8"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586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8"/>
              </w:rPr>
              <w:t>Per Share</w:t>
            </w: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tcPr>
          <w:p>
            <w:pPr>
              <w:spacing w:after="0"/>
              <w:rPr>
                <w:sz w:val="14"/>
                <w:szCs w:val="14"/>
                <w:color w:val="auto"/>
              </w:rPr>
            </w:pPr>
          </w:p>
        </w:tc>
      </w:tr>
      <w:tr>
        <w:trPr>
          <w:trHeight w:val="154"/>
        </w:trPr>
        <w:tc>
          <w:tcPr>
            <w:tcW w:w="5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Initial public offering price</w:t>
            </w:r>
          </w:p>
        </w:tc>
        <w:tc>
          <w:tcPr>
            <w:tcW w:w="3320" w:type="dxa"/>
            <w:vAlign w:val="bottom"/>
            <w:gridSpan w:val="2"/>
            <w:shd w:val="clear" w:color="auto" w:fill="CCEEFF"/>
          </w:tcPr>
          <w:p>
            <w:pPr>
              <w:ind w:left="3140"/>
              <w:spacing w:after="0" w:line="154"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60"/>
              <w:spacing w:after="0" w:line="154" w:lineRule="exact"/>
              <w:rPr>
                <w:sz w:val="20"/>
                <w:szCs w:val="20"/>
                <w:color w:val="auto"/>
              </w:rPr>
            </w:pPr>
            <w:r>
              <w:rPr>
                <w:rFonts w:ascii="Arial" w:cs="Arial" w:eastAsia="Arial" w:hAnsi="Arial"/>
                <w:sz w:val="14"/>
                <w:szCs w:val="14"/>
                <w:color w:val="auto"/>
              </w:rPr>
              <w:t>44.00</w:t>
            </w:r>
          </w:p>
        </w:tc>
        <w:tc>
          <w:tcPr>
            <w:tcW w:w="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line="154" w:lineRule="exact"/>
              <w:rPr>
                <w:sz w:val="20"/>
                <w:szCs w:val="20"/>
                <w:color w:val="auto"/>
              </w:rPr>
            </w:pPr>
            <w:r>
              <w:rPr>
                <w:rFonts w:ascii="Arial" w:cs="Arial" w:eastAsia="Arial" w:hAnsi="Arial"/>
                <w:sz w:val="14"/>
                <w:szCs w:val="14"/>
                <w:color w:val="auto"/>
              </w:rPr>
              <w:t>302,500,000</w:t>
            </w:r>
          </w:p>
        </w:tc>
      </w:tr>
      <w:tr>
        <w:trPr>
          <w:trHeight w:val="160"/>
        </w:trPr>
        <w:tc>
          <w:tcPr>
            <w:tcW w:w="5860" w:type="dxa"/>
            <w:vAlign w:val="bottom"/>
          </w:tcPr>
          <w:p>
            <w:pPr>
              <w:spacing w:after="0" w:line="161" w:lineRule="exact"/>
              <w:rPr>
                <w:sz w:val="20"/>
                <w:szCs w:val="20"/>
                <w:color w:val="auto"/>
              </w:rPr>
            </w:pPr>
            <w:r>
              <w:rPr>
                <w:rFonts w:ascii="Arial" w:cs="Arial" w:eastAsia="Arial" w:hAnsi="Arial"/>
                <w:sz w:val="11"/>
                <w:szCs w:val="11"/>
                <w:color w:val="auto"/>
              </w:rPr>
              <w:t>Underwriting discounts and commissions</w:t>
            </w:r>
            <w:r>
              <w:rPr>
                <w:rFonts w:ascii="Arial" w:cs="Arial" w:eastAsia="Arial" w:hAnsi="Arial"/>
                <w:sz w:val="18"/>
                <w:szCs w:val="18"/>
                <w:color w:val="auto"/>
                <w:vertAlign w:val="superscript"/>
              </w:rPr>
              <w:t>(1)</w:t>
            </w:r>
          </w:p>
        </w:tc>
        <w:tc>
          <w:tcPr>
            <w:tcW w:w="3320" w:type="dxa"/>
            <w:vAlign w:val="bottom"/>
            <w:gridSpan w:val="2"/>
          </w:tcPr>
          <w:p>
            <w:pPr>
              <w:ind w:left="3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2.97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20,418,750</w:t>
            </w:r>
          </w:p>
        </w:tc>
        <w:tc>
          <w:tcPr>
            <w:tcW w:w="40" w:type="dxa"/>
            <w:vAlign w:val="bottom"/>
          </w:tcPr>
          <w:p>
            <w:pPr>
              <w:spacing w:after="0"/>
              <w:rPr>
                <w:sz w:val="13"/>
                <w:szCs w:val="13"/>
                <w:color w:val="auto"/>
              </w:rPr>
            </w:pPr>
          </w:p>
        </w:tc>
      </w:tr>
      <w:tr>
        <w:trPr>
          <w:trHeight w:val="160"/>
        </w:trPr>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3320" w:type="dxa"/>
            <w:vAlign w:val="bottom"/>
            <w:gridSpan w:val="2"/>
            <w:shd w:val="clear" w:color="auto" w:fill="CCEEFF"/>
          </w:tcPr>
          <w:p>
            <w:pPr>
              <w:ind w:left="3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41.03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282,081,250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4"/>
          <w:szCs w:val="24"/>
          <w:color w:val="auto"/>
        </w:rPr>
      </w:pPr>
    </w:p>
    <w:p>
      <w:pPr>
        <w:ind w:left="600" w:hanging="433"/>
        <w:spacing w:after="0"/>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06" w:lineRule="exact"/>
        <w:rPr>
          <w:sz w:val="24"/>
          <w:szCs w:val="24"/>
          <w:color w:val="auto"/>
        </w:rPr>
      </w:pPr>
    </w:p>
    <w:p>
      <w:pPr>
        <w:ind w:left="160" w:right="380" w:firstLine="546"/>
        <w:spacing w:after="0" w:line="254" w:lineRule="auto"/>
        <w:rPr>
          <w:sz w:val="20"/>
          <w:szCs w:val="20"/>
          <w:color w:val="auto"/>
        </w:rPr>
      </w:pPr>
      <w:r>
        <w:rPr>
          <w:rFonts w:ascii="Arial" w:cs="Arial" w:eastAsia="Arial" w:hAnsi="Arial"/>
          <w:sz w:val="14"/>
          <w:szCs w:val="14"/>
          <w:color w:val="auto"/>
        </w:rPr>
        <w:t>To the extent that the underwriters sell more than 6,875,000 shares of Class A common stock, the underwriters have the option to purchase up to an additional 1,031,250 shares of Class A common stock from us at the initial public offering price less the underwriting discount.</w:t>
      </w:r>
    </w:p>
    <w:p>
      <w:pPr>
        <w:spacing w:after="0" w:line="87" w:lineRule="exact"/>
        <w:rPr>
          <w:sz w:val="24"/>
          <w:szCs w:val="24"/>
          <w:color w:val="auto"/>
        </w:rPr>
      </w:pPr>
    </w:p>
    <w:p>
      <w:pPr>
        <w:ind w:left="160" w:firstLine="546"/>
        <w:spacing w:after="0" w:line="241" w:lineRule="auto"/>
        <w:rPr>
          <w:sz w:val="20"/>
          <w:szCs w:val="20"/>
          <w:color w:val="auto"/>
        </w:rPr>
      </w:pPr>
      <w:r>
        <w:rPr>
          <w:rFonts w:ascii="Arial" w:cs="Arial" w:eastAsia="Arial" w:hAnsi="Arial"/>
          <w:sz w:val="14"/>
          <w:szCs w:val="14"/>
          <w:color w:val="auto"/>
        </w:rPr>
        <w:t>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The underwriters will receive the same discount on any shares of Class A common stock purchased by such funds and accounts advised or sub-advised by T. Rowe Price Associates, Inc. and one or more funds advised by Capital World Investors as they will on any other shares of Class A common stock sold to the public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134620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17" w:lineRule="exact"/>
        <w:rPr>
          <w:sz w:val="24"/>
          <w:szCs w:val="24"/>
          <w:color w:val="auto"/>
        </w:rPr>
      </w:pPr>
    </w:p>
    <w:p>
      <w:pPr>
        <w:ind w:left="720"/>
        <w:spacing w:after="0"/>
        <w:rPr>
          <w:sz w:val="20"/>
          <w:szCs w:val="20"/>
          <w:color w:val="auto"/>
        </w:rPr>
      </w:pPr>
      <w:r>
        <w:rPr>
          <w:rFonts w:ascii="Arial" w:cs="Arial" w:eastAsia="Arial" w:hAnsi="Arial"/>
          <w:sz w:val="14"/>
          <w:szCs w:val="14"/>
          <w:color w:val="auto"/>
        </w:rPr>
        <w:t>The underwriters expect to deliver the shares against payment in New York, New York on July 2, 2021.</w:t>
      </w:r>
    </w:p>
    <w:p>
      <w:pPr>
        <w:sectPr>
          <w:pgSz w:w="11900" w:h="16838" w:orient="portrait"/>
          <w:cols w:equalWidth="0" w:num="1">
            <w:col w:w="11080"/>
          </w:cols>
          <w:pgMar w:left="320" w:top="229" w:right="499" w:bottom="1440" w:gutter="0" w:footer="0" w:header="0"/>
        </w:sectPr>
      </w:pPr>
    </w:p>
    <w:p>
      <w:pPr>
        <w:spacing w:after="0" w:line="83" w:lineRule="exact"/>
        <w:rPr>
          <w:sz w:val="24"/>
          <w:szCs w:val="24"/>
          <w:color w:val="auto"/>
        </w:rPr>
      </w:pPr>
    </w:p>
    <w:p>
      <w:pPr>
        <w:ind w:left="16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1580"/>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UBS Investment Bank</w:t>
      </w:r>
    </w:p>
    <w:p>
      <w:pPr>
        <w:spacing w:after="0" w:line="152" w:lineRule="exact"/>
        <w:rPr>
          <w:sz w:val="24"/>
          <w:szCs w:val="24"/>
          <w:color w:val="auto"/>
        </w:rPr>
      </w:pPr>
    </w:p>
    <w:p>
      <w:pPr>
        <w:sectPr>
          <w:pgSz w:w="11900" w:h="16838" w:orient="portrait"/>
          <w:cols w:equalWidth="0" w:num="3">
            <w:col w:w="4640" w:space="720"/>
            <w:col w:w="2780" w:space="720"/>
            <w:col w:w="2220"/>
          </w:cols>
          <w:pgMar w:left="320" w:top="229" w:right="499" w:bottom="1440" w:gutter="0" w:footer="0" w:header="0"/>
          <w:type w:val="continuous"/>
        </w:sectPr>
      </w:pPr>
    </w:p>
    <w:p>
      <w:pPr>
        <w:ind w:left="1180"/>
        <w:spacing w:after="0"/>
        <w:rPr>
          <w:sz w:val="20"/>
          <w:szCs w:val="20"/>
          <w:color w:val="auto"/>
        </w:rPr>
      </w:pPr>
      <w:r>
        <w:rPr>
          <w:rFonts w:ascii="Arial" w:cs="Arial" w:eastAsia="Arial" w:hAnsi="Arial"/>
          <w:sz w:val="14"/>
          <w:szCs w:val="14"/>
          <w:b w:val="1"/>
          <w:bCs w:val="1"/>
          <w:color w:val="auto"/>
        </w:rPr>
        <w:t>Citigroup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William Blair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RBC Capital Markets</w:t>
      </w:r>
    </w:p>
    <w:p>
      <w:pPr>
        <w:spacing w:after="0" w:line="173" w:lineRule="exact"/>
        <w:rPr>
          <w:sz w:val="24"/>
          <w:szCs w:val="24"/>
          <w:color w:val="auto"/>
        </w:rPr>
      </w:pPr>
    </w:p>
    <w:p>
      <w:pPr>
        <w:sectPr>
          <w:pgSz w:w="11900" w:h="16838" w:orient="portrait"/>
          <w:cols w:equalWidth="0" w:num="4">
            <w:col w:w="2440" w:space="720"/>
            <w:col w:w="2220" w:space="720"/>
            <w:col w:w="1760" w:space="720"/>
            <w:col w:w="2500"/>
          </w:cols>
          <w:pgMar w:left="320" w:top="229" w:right="499" w:bottom="1440" w:gutter="0" w:footer="0" w:header="0"/>
          <w:type w:val="continuous"/>
        </w:sectPr>
      </w:pPr>
    </w:p>
    <w:p>
      <w:pPr>
        <w:ind w:left="2040"/>
        <w:spacing w:after="0"/>
        <w:rPr>
          <w:sz w:val="20"/>
          <w:szCs w:val="20"/>
          <w:color w:val="auto"/>
        </w:rPr>
      </w:pPr>
      <w:r>
        <w:rPr>
          <w:rFonts w:ascii="Arial" w:cs="Arial" w:eastAsia="Arial" w:hAnsi="Arial"/>
          <w:sz w:val="14"/>
          <w:szCs w:val="14"/>
          <w:b w:val="1"/>
          <w:bCs w:val="1"/>
          <w:color w:val="auto"/>
        </w:rPr>
        <w:t>C.L. King &amp; Associates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Loop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-1844675</wp:posOffset>
            </wp:positionH>
            <wp:positionV relativeFrom="paragraph">
              <wp:posOffset>161290</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660" w:space="720"/>
            <w:col w:w="3700"/>
          </w:cols>
          <w:pgMar w:left="320" w:top="229" w:right="499" w:bottom="1440" w:gutter="0" w:footer="0" w:header="0"/>
          <w:type w:val="continuous"/>
        </w:sectPr>
      </w:pPr>
    </w:p>
    <w:p>
      <w:pPr>
        <w:spacing w:after="0" w:line="179"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Prospectus dated June 29, 2021.</w:t>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00" w:type="dxa"/>
            <w:vAlign w:val="bottom"/>
            <w:gridSpan w:val="11"/>
            <w:vMerge w:val="restart"/>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PROSPECTUS SUMMARY</w:t>
              </w:r>
            </w:hyperlink>
          </w:p>
        </w:tc>
        <w:tc>
          <w:tcPr>
            <w:tcW w:w="8280" w:type="dxa"/>
            <w:vAlign w:val="bottom"/>
            <w:gridSpan w:val="13"/>
            <w:vMerge w:val="restart"/>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200" w:type="dxa"/>
            <w:vAlign w:val="bottom"/>
            <w:tcBorders>
              <w:bottom w:val="single" w:sz="8" w:color="0000EE"/>
            </w:tcBorders>
            <w:gridSpan w:val="11"/>
            <w:vMerge w:val="continue"/>
          </w:tcPr>
          <w:p>
            <w:pPr>
              <w:spacing w:after="0"/>
              <w:rPr>
                <w:sz w:val="13"/>
                <w:szCs w:val="13"/>
                <w:color w:val="auto"/>
              </w:rPr>
            </w:pPr>
          </w:p>
        </w:tc>
        <w:tc>
          <w:tcPr>
            <w:tcW w:w="8280" w:type="dxa"/>
            <w:vAlign w:val="bottom"/>
            <w:gridSpan w:val="13"/>
            <w:vMerge w:val="continue"/>
          </w:tcPr>
          <w:p>
            <w:pPr>
              <w:spacing w:after="0"/>
              <w:rPr>
                <w:sz w:val="13"/>
                <w:szCs w:val="13"/>
                <w:color w:val="auto"/>
              </w:rPr>
            </w:pPr>
          </w:p>
        </w:tc>
        <w:tc>
          <w:tcPr>
            <w:tcW w:w="3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20" w:type="dxa"/>
            <w:vAlign w:val="bottom"/>
            <w:tcBorders>
              <w:bottom w:val="single" w:sz="8" w:color="0000EE"/>
            </w:tcBorders>
            <w:gridSpan w:val="5"/>
          </w:tcPr>
          <w:p>
            <w:pPr>
              <w:spacing w:after="0" w:line="194"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RISK FACTORS</w:t>
              </w:r>
            </w:hyperlink>
          </w:p>
        </w:tc>
        <w:tc>
          <w:tcPr>
            <w:tcW w:w="9160" w:type="dxa"/>
            <w:vAlign w:val="bottom"/>
            <w:gridSpan w:val="19"/>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66">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1"/>
        </w:trPr>
        <w:tc>
          <w:tcPr>
            <w:tcW w:w="3340" w:type="dxa"/>
            <w:vAlign w:val="bottom"/>
            <w:tcBorders>
              <w:top w:val="single" w:sz="8" w:color="0000EE"/>
              <w:bottom w:val="single" w:sz="8" w:color="0000EE"/>
            </w:tcBorders>
            <w:gridSpan w:val="16"/>
          </w:tcPr>
          <w:p>
            <w:pPr>
              <w:spacing w:after="0" w:line="181"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MARKET, INDUSTRY AND OTHER DATA</w:t>
              </w:r>
            </w:hyperlink>
          </w:p>
        </w:tc>
        <w:tc>
          <w:tcPr>
            <w:tcW w:w="2140" w:type="dxa"/>
            <w:vAlign w:val="bottom"/>
            <w:tcBorders>
              <w:top w:val="single" w:sz="8" w:color="0000EE"/>
            </w:tcBorders>
            <w:gridSpan w:val="3"/>
          </w:tcPr>
          <w:p>
            <w:pPr>
              <w:spacing w:after="0"/>
              <w:rPr>
                <w:sz w:val="15"/>
                <w:szCs w:val="15"/>
                <w:color w:val="auto"/>
              </w:rPr>
            </w:pPr>
          </w:p>
        </w:tc>
        <w:tc>
          <w:tcPr>
            <w:tcW w:w="5000" w:type="dxa"/>
            <w:vAlign w:val="bottom"/>
            <w:gridSpan w:val="5"/>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69">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1720" w:type="dxa"/>
            <w:vAlign w:val="bottom"/>
            <w:tcBorders>
              <w:top w:val="single" w:sz="8" w:color="0000EE"/>
            </w:tcBorders>
            <w:gridSpan w:val="10"/>
          </w:tcPr>
          <w:p>
            <w:pPr>
              <w:spacing w:after="0" w:line="181" w:lineRule="exact"/>
              <w:rPr>
                <w:rFonts w:ascii="Arial" w:cs="Arial" w:eastAsia="Arial" w:hAnsi="Arial"/>
                <w:sz w:val="18"/>
                <w:szCs w:val="18"/>
                <w:color w:val="0000EE"/>
              </w:rPr>
            </w:pPr>
            <w:hyperlink w:anchor="page70">
              <w:r>
                <w:rPr>
                  <w:rFonts w:ascii="Arial" w:cs="Arial" w:eastAsia="Arial" w:hAnsi="Arial"/>
                  <w:sz w:val="18"/>
                  <w:szCs w:val="18"/>
                  <w:color w:val="0000EE"/>
                </w:rPr>
                <w:t>DIVIDEND POLICY</w:t>
              </w:r>
            </w:hyperlink>
          </w:p>
        </w:tc>
        <w:tc>
          <w:tcPr>
            <w:tcW w:w="8760" w:type="dxa"/>
            <w:vAlign w:val="bottom"/>
            <w:gridSpan w:val="14"/>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1"/>
        </w:trPr>
        <w:tc>
          <w:tcPr>
            <w:tcW w:w="144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CAPITALIZATION</w:t>
              </w:r>
            </w:hyperlink>
          </w:p>
        </w:tc>
        <w:tc>
          <w:tcPr>
            <w:tcW w:w="120" w:type="dxa"/>
            <w:vAlign w:val="bottom"/>
            <w:tcBorders>
              <w:top w:val="single" w:sz="8" w:color="0000EE"/>
            </w:tcBorders>
            <w:gridSpan w:val="2"/>
          </w:tcPr>
          <w:p>
            <w:pPr>
              <w:spacing w:after="0"/>
              <w:rPr>
                <w:sz w:val="15"/>
                <w:szCs w:val="15"/>
                <w:color w:val="auto"/>
              </w:rPr>
            </w:pPr>
          </w:p>
        </w:tc>
        <w:tc>
          <w:tcPr>
            <w:tcW w:w="8920" w:type="dxa"/>
            <w:vAlign w:val="bottom"/>
            <w:gridSpan w:val="15"/>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1"/>
        </w:trPr>
        <w:tc>
          <w:tcPr>
            <w:tcW w:w="860" w:type="dxa"/>
            <w:vAlign w:val="bottom"/>
            <w:tcBorders>
              <w:bottom w:val="single" w:sz="8" w:color="0000EE"/>
            </w:tcBorders>
            <w:gridSpan w:val="2"/>
          </w:tcPr>
          <w:p>
            <w:pPr>
              <w:spacing w:after="0" w:line="181"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DILUTION</w:t>
              </w:r>
            </w:hyperlink>
          </w:p>
        </w:tc>
        <w:tc>
          <w:tcPr>
            <w:tcW w:w="9620" w:type="dxa"/>
            <w:vAlign w:val="bottom"/>
            <w:gridSpan w:val="22"/>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1"/>
        </w:trPr>
        <w:tc>
          <w:tcPr>
            <w:tcW w:w="7060" w:type="dxa"/>
            <w:vAlign w:val="bottom"/>
            <w:tcBorders>
              <w:top w:val="single" w:sz="8" w:color="0000EE"/>
              <w:bottom w:val="single" w:sz="8" w:color="0000EE"/>
            </w:tcBorders>
            <w:gridSpan w:val="21"/>
          </w:tcPr>
          <w:p>
            <w:pPr>
              <w:spacing w:after="0" w:line="181"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LETTER FROM RANDOLPH ALTSCHULER AND LAURENCE ZURIFF, CO-FOUNDERS</w:t>
              </w:r>
            </w:hyperlink>
          </w:p>
        </w:tc>
        <w:tc>
          <w:tcPr>
            <w:tcW w:w="1980" w:type="dxa"/>
            <w:vAlign w:val="bottom"/>
            <w:tcBorders>
              <w:top w:val="single" w:sz="8" w:color="0000EE"/>
            </w:tcBorders>
          </w:tcPr>
          <w:p>
            <w:pPr>
              <w:spacing w:after="0"/>
              <w:rPr>
                <w:sz w:val="15"/>
                <w:szCs w:val="15"/>
                <w:color w:val="auto"/>
              </w:rPr>
            </w:pPr>
          </w:p>
        </w:tc>
        <w:tc>
          <w:tcPr>
            <w:tcW w:w="1440" w:type="dxa"/>
            <w:vAlign w:val="bottom"/>
            <w:gridSpan w:val="2"/>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104">
              <w:r>
                <w:rPr>
                  <w:rFonts w:ascii="Arial" w:cs="Arial" w:eastAsia="Arial" w:hAnsi="Arial"/>
                  <w:sz w:val="18"/>
                  <w:szCs w:val="18"/>
                  <w:color w:val="0000EE"/>
                </w:rPr>
                <w:t>BUSINESS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131">
              <w:r>
                <w:rPr>
                  <w:rFonts w:ascii="Arial" w:cs="Arial" w:eastAsia="Arial" w:hAnsi="Arial"/>
                  <w:sz w:val="18"/>
                  <w:szCs w:val="18"/>
                  <w:color w:val="0000EE"/>
                </w:rPr>
                <w:t>MANAGEMENT</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00" w:type="dxa"/>
            <w:vAlign w:val="bottom"/>
            <w:tcBorders>
              <w:bottom w:val="single" w:sz="8" w:color="0000EE"/>
            </w:tcBorders>
            <w:gridSpan w:val="13"/>
          </w:tcPr>
          <w:p>
            <w:pPr>
              <w:spacing w:after="0" w:line="181"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EXECUTIVE COMPENSATION</w:t>
              </w:r>
            </w:hyperlink>
          </w:p>
        </w:tc>
        <w:tc>
          <w:tcPr>
            <w:tcW w:w="7980" w:type="dxa"/>
            <w:vAlign w:val="bottom"/>
            <w:gridSpan w:val="11"/>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0" w:type="dxa"/>
            <w:vAlign w:val="bottom"/>
            <w:tcBorders>
              <w:bottom w:val="single" w:sz="8" w:color="0000EE"/>
            </w:tcBorders>
            <w:gridSpan w:val="20"/>
          </w:tcPr>
          <w:p>
            <w:pPr>
              <w:spacing w:after="0" w:line="181" w:lineRule="exact"/>
              <w:rPr>
                <w:rFonts w:ascii="Arial" w:cs="Arial" w:eastAsia="Arial" w:hAnsi="Arial"/>
                <w:sz w:val="18"/>
                <w:szCs w:val="18"/>
                <w:color w:val="0000EE"/>
                <w:w w:val="97"/>
              </w:rPr>
            </w:pPr>
            <w:hyperlink w:anchor="page155">
              <w:r>
                <w:rPr>
                  <w:rFonts w:ascii="Arial" w:cs="Arial" w:eastAsia="Arial" w:hAnsi="Arial"/>
                  <w:sz w:val="18"/>
                  <w:szCs w:val="18"/>
                  <w:color w:val="0000EE"/>
                  <w:w w:val="97"/>
                </w:rPr>
                <w:t>CERTAIN RELATIONSHIPS AND RELATED PARTY TRANSACTIONS</w:t>
              </w:r>
            </w:hyperlink>
          </w:p>
        </w:tc>
        <w:tc>
          <w:tcPr>
            <w:tcW w:w="4880" w:type="dxa"/>
            <w:vAlign w:val="bottom"/>
            <w:gridSpan w:val="4"/>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60" w:type="dxa"/>
            <w:vAlign w:val="bottom"/>
            <w:tcBorders>
              <w:bottom w:val="single" w:sz="8" w:color="0000EE"/>
            </w:tcBorders>
            <w:gridSpan w:val="12"/>
          </w:tcPr>
          <w:p>
            <w:pPr>
              <w:spacing w:after="0" w:line="181" w:lineRule="exact"/>
              <w:rPr>
                <w:rFonts w:ascii="Arial" w:cs="Arial" w:eastAsia="Arial" w:hAnsi="Arial"/>
                <w:sz w:val="18"/>
                <w:szCs w:val="18"/>
                <w:color w:val="0000EE"/>
                <w:w w:val="97"/>
              </w:rPr>
            </w:pPr>
            <w:hyperlink w:anchor="page159">
              <w:r>
                <w:rPr>
                  <w:rFonts w:ascii="Arial" w:cs="Arial" w:eastAsia="Arial" w:hAnsi="Arial"/>
                  <w:sz w:val="18"/>
                  <w:szCs w:val="18"/>
                  <w:color w:val="0000EE"/>
                  <w:w w:val="97"/>
                </w:rPr>
                <w:t>PRINCIPAL STOCKHOLDERS</w:t>
              </w:r>
            </w:hyperlink>
          </w:p>
        </w:tc>
        <w:tc>
          <w:tcPr>
            <w:tcW w:w="8020" w:type="dxa"/>
            <w:vAlign w:val="bottom"/>
            <w:gridSpan w:val="12"/>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169">
              <w:r>
                <w:rPr>
                  <w:rFonts w:ascii="Arial" w:cs="Arial" w:eastAsia="Arial" w:hAnsi="Arial"/>
                  <w:sz w:val="18"/>
                  <w:szCs w:val="18"/>
                  <w:color w:val="0000EE"/>
                </w:rPr>
                <w:t>SHARES ELIGIBLE FOR FUTURE SALE</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172">
              <w:r>
                <w:rPr>
                  <w:rFonts w:ascii="Arial" w:cs="Arial" w:eastAsia="Arial" w:hAnsi="Arial"/>
                  <w:sz w:val="18"/>
                  <w:szCs w:val="18"/>
                  <w:color w:val="0000EE"/>
                </w:rPr>
                <w:t>MATERIAL U.S. FEDERAL INCOME TAX CONSEQUENCES TO NON-U.S. HOLDERS OF OUR CLASS A COMMON STOCK</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Borders>
              <w:top w:val="single" w:sz="8" w:color="0000EE"/>
              <w:bottom w:val="single" w:sz="8" w:color="0000EE"/>
            </w:tcBorders>
            <w:gridSpan w:val="6"/>
          </w:tcPr>
          <w:p>
            <w:pPr>
              <w:spacing w:after="0" w:line="181" w:lineRule="exact"/>
              <w:rPr>
                <w:rFonts w:ascii="Arial" w:cs="Arial" w:eastAsia="Arial" w:hAnsi="Arial"/>
                <w:sz w:val="18"/>
                <w:szCs w:val="18"/>
                <w:color w:val="0000EE"/>
                <w:w w:val="98"/>
              </w:rPr>
            </w:pPr>
            <w:hyperlink w:anchor="page176">
              <w:r>
                <w:rPr>
                  <w:rFonts w:ascii="Arial" w:cs="Arial" w:eastAsia="Arial" w:hAnsi="Arial"/>
                  <w:sz w:val="18"/>
                  <w:szCs w:val="18"/>
                  <w:color w:val="0000EE"/>
                  <w:w w:val="98"/>
                </w:rPr>
                <w:t>UNDERWRITING</w:t>
              </w:r>
            </w:hyperlink>
          </w:p>
        </w:tc>
        <w:tc>
          <w:tcPr>
            <w:tcW w:w="8580" w:type="dxa"/>
            <w:vAlign w:val="bottom"/>
            <w:tcBorders>
              <w:top w:val="single" w:sz="8" w:color="0000EE"/>
            </w:tcBorders>
            <w:gridSpan w:val="17"/>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Borders>
              <w:bottom w:val="single" w:sz="8" w:color="0000EE"/>
            </w:tcBorders>
            <w:gridSpan w:val="8"/>
          </w:tcPr>
          <w:p>
            <w:pPr>
              <w:spacing w:after="0" w:line="181"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LEGAL MATTERS</w:t>
              </w:r>
            </w:hyperlink>
          </w:p>
        </w:tc>
        <w:tc>
          <w:tcPr>
            <w:tcW w:w="9000" w:type="dxa"/>
            <w:vAlign w:val="bottom"/>
            <w:gridSpan w:val="16"/>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bottom w:val="single" w:sz="8" w:color="0000EE"/>
            </w:tcBorders>
          </w:tcPr>
          <w:p>
            <w:pPr>
              <w:spacing w:after="0" w:line="181"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EXPERTS</w:t>
              </w:r>
            </w:hyperlink>
          </w:p>
        </w:tc>
        <w:tc>
          <w:tcPr>
            <w:tcW w:w="9640" w:type="dxa"/>
            <w:vAlign w:val="bottom"/>
            <w:gridSpan w:val="23"/>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4"/>
          </w:tcPr>
          <w:p>
            <w:pPr>
              <w:spacing w:after="0" w:line="181" w:lineRule="exact"/>
              <w:rPr>
                <w:rFonts w:ascii="Arial" w:cs="Arial" w:eastAsia="Arial" w:hAnsi="Arial"/>
                <w:sz w:val="18"/>
                <w:szCs w:val="18"/>
                <w:color w:val="0000EE"/>
              </w:rPr>
            </w:pPr>
            <w:hyperlink w:anchor="page185">
              <w:r>
                <w:rPr>
                  <w:rFonts w:ascii="Arial" w:cs="Arial" w:eastAsia="Arial" w:hAnsi="Arial"/>
                  <w:sz w:val="18"/>
                  <w:szCs w:val="18"/>
                  <w:color w:val="0000EE"/>
                </w:rPr>
                <w:t>WHERE YOU CAN FIND ADDITIONAL INFORMATION</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gridSpan w:val="1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0000EE"/>
            </w:tcBorders>
            <w:gridSpan w:val="18"/>
          </w:tcPr>
          <w:p>
            <w:pPr>
              <w:spacing w:after="0" w:line="181" w:lineRule="exact"/>
              <w:rPr>
                <w:rFonts w:ascii="Arial" w:cs="Arial" w:eastAsia="Arial" w:hAnsi="Arial"/>
                <w:sz w:val="18"/>
                <w:szCs w:val="18"/>
                <w:color w:val="0000EE"/>
                <w:w w:val="98"/>
              </w:rPr>
            </w:pPr>
            <w:hyperlink w:anchor="page186">
              <w:r>
                <w:rPr>
                  <w:rFonts w:ascii="Arial" w:cs="Arial" w:eastAsia="Arial" w:hAnsi="Arial"/>
                  <w:sz w:val="18"/>
                  <w:szCs w:val="18"/>
                  <w:color w:val="0000EE"/>
                  <w:w w:val="98"/>
                </w:rPr>
                <w:t>INDEX TO CONSOLIDATED FINANCIAL STATEMENTS</w:t>
              </w:r>
            </w:hyperlink>
          </w:p>
        </w:tc>
        <w:tc>
          <w:tcPr>
            <w:tcW w:w="5980" w:type="dxa"/>
            <w:vAlign w:val="bottom"/>
            <w:gridSpan w:val="6"/>
          </w:tcPr>
          <w:p>
            <w:pPr>
              <w:spacing w:after="0"/>
              <w:rPr>
                <w:sz w:val="15"/>
                <w:szCs w:val="15"/>
                <w:color w:val="auto"/>
              </w:rPr>
            </w:pPr>
          </w:p>
        </w:tc>
        <w:tc>
          <w:tcPr>
            <w:tcW w:w="400" w:type="dxa"/>
            <w:vAlign w:val="bottom"/>
            <w:gridSpan w:val="2"/>
          </w:tcPr>
          <w:p>
            <w:pPr>
              <w:ind w:left="100"/>
              <w:spacing w:after="0" w:line="181"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237490</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60" w:right="260" w:firstLine="546"/>
        <w:spacing w:after="0" w:line="243" w:lineRule="auto"/>
        <w:rPr>
          <w:sz w:val="20"/>
          <w:szCs w:val="20"/>
          <w:color w:val="auto"/>
        </w:rPr>
      </w:pPr>
      <w:r>
        <w:rPr>
          <w:rFonts w:ascii="Arial" w:cs="Arial" w:eastAsia="Arial" w:hAnsi="Arial"/>
          <w:sz w:val="18"/>
          <w:szCs w:val="18"/>
          <w:b w:val="1"/>
          <w:bCs w:val="1"/>
          <w:color w:val="auto"/>
        </w:rPr>
        <w:t>Through and including July 24, 2021 (the 25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212725</wp:posOffset>
            </wp:positionV>
            <wp:extent cx="1460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202"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possession and distribution of this prospectus outside of the United States.</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12" w:lineRule="exact"/>
        <w:rPr>
          <w:sz w:val="20"/>
          <w:szCs w:val="20"/>
          <w:color w:val="auto"/>
        </w:rPr>
      </w:pPr>
    </w:p>
    <w:p>
      <w:pPr>
        <w:ind w:left="340" w:right="20" w:firstLine="527"/>
        <w:spacing w:after="0" w:line="23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“Xometry,” the “company,” “we,” “our,” “us” or similar terms refer to Xometry, Inc. and its subsidiaries. Unless otherwise indicated, references to our “common stock” include our Class A common stock and Class B common stock.</w:t>
      </w: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Mission</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accelerate innovation by providing real time, equitable access to global manufacturing capacity and demand.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drive efficiency, sustainability and innovation by lowering the barriers to entry to the manufacturing ecosystem.</w:t>
      </w: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Company</w:t>
      </w:r>
    </w:p>
    <w:p>
      <w:pPr>
        <w:spacing w:after="0" w:line="230" w:lineRule="exact"/>
        <w:rPr>
          <w:sz w:val="20"/>
          <w:szCs w:val="20"/>
          <w:color w:val="auto"/>
        </w:rPr>
      </w:pPr>
    </w:p>
    <w:p>
      <w:pPr>
        <w:ind w:left="340" w:firstLine="527"/>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340" w:right="100" w:firstLine="527"/>
        <w:spacing w:after="0" w:line="250" w:lineRule="auto"/>
        <w:rPr>
          <w:sz w:val="20"/>
          <w:szCs w:val="20"/>
          <w:color w:val="auto"/>
        </w:rPr>
      </w:pPr>
      <w:r>
        <w:rPr>
          <w:rFonts w:ascii="Arial" w:cs="Arial" w:eastAsia="Arial" w:hAnsi="Arial"/>
          <w:sz w:val="17"/>
          <w:szCs w:val="17"/>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196"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340" w:right="360" w:firstLine="527"/>
        <w:spacing w:after="0" w:line="237" w:lineRule="auto"/>
        <w:rPr>
          <w:sz w:val="20"/>
          <w:szCs w:val="20"/>
          <w:color w:val="auto"/>
        </w:rPr>
      </w:pPr>
      <w:r>
        <w:rPr>
          <w:rFonts w:ascii="Arial" w:cs="Arial" w:eastAsia="Arial" w:hAnsi="Arial"/>
          <w:sz w:val="18"/>
          <w:szCs w:val="18"/>
          <w:color w:val="auto"/>
        </w:rPr>
        <w:t>We enable buyers across industries to source a broad array of manufacturing processes to meet their needs. We generate substantially all of our revenue from the prices we charge buyers on our platform. Buyers begin by uploading an engineering schematic that contains 3D design specifications,</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79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57791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20"/>
        <w:spacing w:after="0" w:line="235" w:lineRule="auto"/>
        <w:rPr>
          <w:sz w:val="20"/>
          <w:szCs w:val="20"/>
          <w:color w:val="auto"/>
        </w:rPr>
      </w:pPr>
      <w:r>
        <w:rPr>
          <w:rFonts w:ascii="Arial" w:cs="Arial" w:eastAsia="Arial" w:hAnsi="Arial"/>
          <w:sz w:val="18"/>
          <w:szCs w:val="18"/>
          <w:color w:val="auto"/>
        </w:rPr>
        <w:t>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w:t>
      </w:r>
    </w:p>
    <w:p>
      <w:pPr>
        <w:spacing w:after="0" w:line="204"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203" w:lineRule="exact"/>
        <w:rPr>
          <w:sz w:val="20"/>
          <w:szCs w:val="20"/>
          <w:color w:val="auto"/>
        </w:rPr>
      </w:pPr>
    </w:p>
    <w:p>
      <w:pPr>
        <w:ind w:left="340" w:right="140" w:firstLine="527"/>
        <w:spacing w:after="0" w:line="239"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a seller more than anticipated to manufacture the order.</w:t>
      </w:r>
    </w:p>
    <w:p>
      <w:pPr>
        <w:spacing w:after="0" w:line="203" w:lineRule="exact"/>
        <w:rPr>
          <w:sz w:val="20"/>
          <w:szCs w:val="20"/>
          <w:color w:val="auto"/>
        </w:rPr>
      </w:pPr>
    </w:p>
    <w:p>
      <w:pPr>
        <w:ind w:left="340" w:right="380" w:firstLine="527"/>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Today, we are the largest on-demand manufacturing marketplace by revenue. We have connected over 43,000 unique buyers,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including nearly 30% of the Fortune 500, and nearly 5,000 unique sellers of all sizes. We have achieved rapid growth while improving</w:t>
      </w:r>
    </w:p>
    <w:p>
      <w:pPr>
        <w:ind w:left="340"/>
        <w:spacing w:after="0" w:line="238" w:lineRule="auto"/>
        <w:rPr>
          <w:sz w:val="20"/>
          <w:szCs w:val="20"/>
          <w:color w:val="auto"/>
        </w:rPr>
      </w:pPr>
      <w:r>
        <w:rPr>
          <w:rFonts w:ascii="Arial" w:cs="Arial" w:eastAsia="Arial" w:hAnsi="Arial"/>
          <w:sz w:val="18"/>
          <w:szCs w:val="18"/>
          <w:color w:val="auto"/>
        </w:rPr>
        <w:t>our margin profile. We generated revenue of $38.4 million in 2018, $80.2 million in 2019, and $141.4 million in 2020, representing</w:t>
      </w:r>
    </w:p>
    <w:p>
      <w:pPr>
        <w:ind w:left="340"/>
        <w:spacing w:after="0" w:line="233" w:lineRule="auto"/>
        <w:rPr>
          <w:sz w:val="20"/>
          <w:szCs w:val="20"/>
          <w:color w:val="auto"/>
        </w:rPr>
      </w:pPr>
      <w:r>
        <w:rPr>
          <w:rFonts w:ascii="Arial" w:cs="Arial" w:eastAsia="Arial" w:hAnsi="Arial"/>
          <w:sz w:val="18"/>
          <w:szCs w:val="18"/>
          <w:color w:val="auto"/>
        </w:rPr>
        <w:t>year-over-year growth of 109% in 2019 and 76% in 2020. Our gross profit was $6.5 million in 2018, $14.7 million in 2019, and</w:t>
      </w:r>
    </w:p>
    <w:p>
      <w:pPr>
        <w:ind w:left="340"/>
        <w:spacing w:after="0" w:line="232" w:lineRule="auto"/>
        <w:rPr>
          <w:sz w:val="20"/>
          <w:szCs w:val="20"/>
          <w:color w:val="auto"/>
        </w:rPr>
      </w:pPr>
      <w:r>
        <w:rPr>
          <w:rFonts w:ascii="Arial" w:cs="Arial" w:eastAsia="Arial" w:hAnsi="Arial"/>
          <w:sz w:val="18"/>
          <w:szCs w:val="18"/>
          <w:color w:val="auto"/>
        </w:rPr>
        <w:t>$33.3 million in 2020, representing a 17% gross margin in 2018, 18% gross margin in 2019, and 24% gross margin in 2020. Our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losses were $20.1 million in 2018, $31.0 million in 2019 and $31.1 million in 2020.</w:t>
      </w:r>
    </w:p>
    <w:p>
      <w:pPr>
        <w:spacing w:after="0" w:line="208" w:lineRule="exact"/>
        <w:rPr>
          <w:sz w:val="20"/>
          <w:szCs w:val="20"/>
          <w:color w:val="auto"/>
        </w:rPr>
      </w:pPr>
    </w:p>
    <w:p>
      <w:pPr>
        <w:ind w:left="340" w:right="220" w:firstLine="527"/>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our growth strategy to scale our company.</w:t>
      </w: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Industry Overview</w:t>
      </w:r>
    </w:p>
    <w:p>
      <w:pPr>
        <w:spacing w:after="0" w:line="234" w:lineRule="exact"/>
        <w:rPr>
          <w:sz w:val="20"/>
          <w:szCs w:val="20"/>
          <w:color w:val="auto"/>
        </w:rPr>
      </w:pPr>
    </w:p>
    <w:p>
      <w:pPr>
        <w:ind w:left="1060" w:right="260" w:hanging="190"/>
        <w:spacing w:after="0" w:line="26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Manufacturing is a massive, highly fragmented, and regionalized industry in need of solutions to drive efficiency. </w:t>
      </w:r>
      <w:r>
        <w:rPr>
          <w:rFonts w:ascii="Arial" w:cs="Arial" w:eastAsia="Arial" w:hAnsi="Arial"/>
          <w:sz w:val="18"/>
          <w:szCs w:val="18"/>
          <w:color w:val="auto"/>
        </w:rPr>
        <w:t>The global manufacturing industry is one of the largest</w:t>
      </w:r>
    </w:p>
    <w:p>
      <w:pPr>
        <w:spacing w:after="0" w:line="36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360"/>
        <w:spacing w:after="0" w:line="235" w:lineRule="auto"/>
        <w:rPr>
          <w:sz w:val="20"/>
          <w:szCs w:val="20"/>
          <w:color w:val="auto"/>
        </w:rPr>
      </w:pPr>
      <w:r>
        <w:rPr>
          <w:rFonts w:ascii="Arial" w:cs="Arial" w:eastAsia="Arial" w:hAnsi="Arial"/>
          <w:sz w:val="18"/>
          <w:szCs w:val="18"/>
          <w:color w:val="auto"/>
        </w:rPr>
        <w:t>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88" w:lineRule="exact"/>
        <w:rPr>
          <w:sz w:val="20"/>
          <w:szCs w:val="20"/>
          <w:color w:val="auto"/>
        </w:rPr>
      </w:pPr>
    </w:p>
    <w:p>
      <w:pPr>
        <w:ind w:left="1060" w:right="340" w:hanging="190"/>
        <w:spacing w:after="0" w:line="24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buyers and sellers, 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84" w:lineRule="exact"/>
        <w:rPr>
          <w:rFonts w:ascii="Arial" w:cs="Arial" w:eastAsia="Arial" w:hAnsi="Arial"/>
          <w:sz w:val="18"/>
          <w:szCs w:val="18"/>
          <w:color w:val="auto"/>
        </w:rPr>
      </w:pPr>
    </w:p>
    <w:p>
      <w:pPr>
        <w:ind w:left="1060" w:right="2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Resilient, localized and compliant supply chains are imperative. </w:t>
      </w:r>
      <w:r>
        <w:rPr>
          <w:rFonts w:ascii="Arial" w:cs="Arial" w:eastAsia="Arial" w:hAnsi="Arial"/>
          <w:sz w:val="18"/>
          <w:szCs w:val="18"/>
          <w:color w:val="auto"/>
        </w:rPr>
        <w:t>We believe there is a significant opportunity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around the world improve their supply chain diversification, access just-in-time production, and build supply chain resilience. 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87" w:lineRule="exact"/>
        <w:rPr>
          <w:rFonts w:ascii="Arial" w:cs="Arial" w:eastAsia="Arial" w:hAnsi="Arial"/>
          <w:sz w:val="18"/>
          <w:szCs w:val="18"/>
          <w:color w:val="auto"/>
        </w:rPr>
      </w:pPr>
    </w:p>
    <w:p>
      <w:pPr>
        <w:ind w:left="1060" w:hanging="190"/>
        <w:spacing w:after="0" w:line="23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is increasing focus on the manufacturing industry to address ESG issues. </w:t>
      </w:r>
      <w:r>
        <w:rPr>
          <w:rFonts w:ascii="Arial" w:cs="Arial" w:eastAsia="Arial" w:hAnsi="Arial"/>
          <w:sz w:val="18"/>
          <w:szCs w:val="18"/>
          <w:color w:val="auto"/>
        </w:rPr>
        <w:t>Companies and investors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86" w:lineRule="exact"/>
        <w:rPr>
          <w:rFonts w:ascii="Arial" w:cs="Arial" w:eastAsia="Arial" w:hAnsi="Arial"/>
          <w:sz w:val="18"/>
          <w:szCs w:val="18"/>
          <w:color w:val="auto"/>
        </w:rPr>
      </w:pPr>
    </w:p>
    <w:p>
      <w:pPr>
        <w:ind w:left="1060" w:right="160" w:hanging="190"/>
        <w:spacing w:after="0" w:line="24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proliferation of new technologies, necessitates digital solutions that increase productivity, improve financial performance and allow them to compete sustainably.</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340" w:right="600" w:firstLine="527"/>
        <w:spacing w:after="0" w:line="257" w:lineRule="auto"/>
        <w:rPr>
          <w:sz w:val="20"/>
          <w:szCs w:val="20"/>
          <w:color w:val="auto"/>
        </w:rPr>
      </w:pPr>
      <w:r>
        <w:rPr>
          <w:rFonts w:ascii="Arial" w:cs="Arial" w:eastAsia="Arial" w:hAnsi="Arial"/>
          <w:sz w:val="17"/>
          <w:szCs w:val="17"/>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8" w:lineRule="exact"/>
        <w:rPr>
          <w:sz w:val="20"/>
          <w:szCs w:val="20"/>
          <w:color w:val="auto"/>
        </w:rPr>
      </w:pPr>
    </w:p>
    <w:p>
      <w:pPr>
        <w:jc w:val="both"/>
        <w:ind w:left="340" w:right="100" w:firstLine="527"/>
        <w:spacing w:after="0" w:line="236"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 metal manufacturing, 3D printing (including fused deposition modeling, direct metal laser sintering, PolyJet, stereolithography, selective laser sintering, binder jetting, carbon digital light synthesis and</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80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5880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spacing w:after="0" w:line="239" w:lineRule="auto"/>
        <w:rPr>
          <w:sz w:val="20"/>
          <w:szCs w:val="20"/>
          <w:color w:val="auto"/>
        </w:rPr>
      </w:pPr>
      <w:r>
        <w:rPr>
          <w:rFonts w:ascii="Arial" w:cs="Arial" w:eastAsia="Arial" w:hAnsi="Arial"/>
          <w:sz w:val="18"/>
          <w:szCs w:val="18"/>
          <w:color w:val="auto"/>
        </w:rPr>
        <w:t>multi jet fusion), die casting, injection molding and urethane casting. Our estimates are based on independent industry publications or other publicly available information, as well as our internal sources.</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340" w:right="240" w:firstLine="527"/>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340" w:right="320" w:firstLine="527"/>
        <w:spacing w:after="0" w:line="257" w:lineRule="auto"/>
        <w:rPr>
          <w:sz w:val="20"/>
          <w:szCs w:val="20"/>
          <w:color w:val="auto"/>
        </w:rPr>
      </w:pPr>
      <w:r>
        <w:rPr>
          <w:rFonts w:ascii="Arial" w:cs="Arial" w:eastAsia="Arial" w:hAnsi="Arial"/>
          <w:sz w:val="17"/>
          <w:szCs w:val="17"/>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88" w:lineRule="exact"/>
        <w:rPr>
          <w:sz w:val="20"/>
          <w:szCs w:val="20"/>
          <w:color w:val="auto"/>
        </w:rPr>
      </w:pPr>
    </w:p>
    <w:p>
      <w:pPr>
        <w:ind w:left="340" w:right="20" w:firstLine="527"/>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340" w:right="280" w:firstLine="527"/>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340" w:right="160" w:firstLine="527"/>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Additional Seller Offerings</w:t>
      </w:r>
    </w:p>
    <w:p>
      <w:pPr>
        <w:spacing w:after="0" w:line="234" w:lineRule="exact"/>
        <w:rPr>
          <w:sz w:val="20"/>
          <w:szCs w:val="20"/>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w:t>
      </w:r>
    </w:p>
    <w:p>
      <w:pPr>
        <w:spacing w:after="0" w:line="88" w:lineRule="exact"/>
        <w:rPr>
          <w:rFonts w:ascii="Arial" w:cs="Arial" w:eastAsia="Arial" w:hAnsi="Arial"/>
          <w:sz w:val="18"/>
          <w:szCs w:val="18"/>
          <w:color w:val="auto"/>
        </w:rPr>
      </w:pPr>
    </w:p>
    <w:p>
      <w:pPr>
        <w:ind w:left="1060" w:right="60" w:hanging="190"/>
        <w:spacing w:after="0" w:line="24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These offerings include the Xometry Advance Card, which generally gives sellers up to 30% of their job payment in advance, and FastPay, a fee-based service through which sellers can receive accelerated payment.</w:t>
      </w: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6" w:right="7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106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Instant and Competitive Pricing and Lead Times. </w:t>
      </w:r>
      <w:r>
        <w:rPr>
          <w:rFonts w:ascii="Arial" w:cs="Arial" w:eastAsia="Arial" w:hAnsi="Arial"/>
          <w:sz w:val="18"/>
          <w:szCs w:val="18"/>
          <w:color w:val="auto"/>
        </w:rPr>
        <w:t>We create value for buyers through marketplace generation fueled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88" w:lineRule="exact"/>
        <w:rPr>
          <w:rFonts w:ascii="Arial" w:cs="Arial" w:eastAsia="Arial" w:hAnsi="Arial"/>
          <w:sz w:val="18"/>
          <w:szCs w:val="18"/>
          <w:color w:val="auto"/>
        </w:rPr>
      </w:pPr>
    </w:p>
    <w:p>
      <w:pPr>
        <w:ind w:left="1060" w:right="4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1060" w:right="12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a Massive Network of Sellers. </w:t>
      </w:r>
      <w:r>
        <w:rPr>
          <w:rFonts w:ascii="Arial" w:cs="Arial" w:eastAsia="Arial" w:hAnsi="Arial"/>
          <w:sz w:val="18"/>
          <w:szCs w:val="18"/>
          <w:color w:val="auto"/>
        </w:rPr>
        <w:t>We provide buyers access to the massive, global network of sellers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8" w:lineRule="exact"/>
        <w:rPr>
          <w:rFonts w:ascii="Arial" w:cs="Arial" w:eastAsia="Arial" w:hAnsi="Arial"/>
          <w:sz w:val="18"/>
          <w:szCs w:val="18"/>
          <w:color w:val="auto"/>
        </w:rPr>
      </w:pPr>
    </w:p>
    <w:p>
      <w:pPr>
        <w:ind w:left="1060" w:right="2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1060" w:right="480" w:hanging="190"/>
        <w:spacing w:after="0" w:line="26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and Quality. </w:t>
      </w:r>
      <w:r>
        <w:rPr>
          <w:rFonts w:ascii="Arial" w:cs="Arial" w:eastAsia="Arial" w:hAnsi="Arial"/>
          <w:sz w:val="17"/>
          <w:szCs w:val="17"/>
          <w:color w:val="auto"/>
        </w:rPr>
        <w:t>We offer consistently high-quality products and certainty of order fulfillment for buyers.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69" w:lineRule="exact"/>
        <w:rPr>
          <w:rFonts w:ascii="Arial" w:cs="Arial" w:eastAsia="Arial" w:hAnsi="Arial"/>
          <w:sz w:val="17"/>
          <w:szCs w:val="17"/>
          <w:color w:val="auto"/>
        </w:rPr>
      </w:pPr>
    </w:p>
    <w:p>
      <w:pPr>
        <w:ind w:left="1060" w:right="20" w:hanging="190"/>
        <w:spacing w:after="0" w:line="24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7" w:lineRule="exact"/>
        <w:rPr>
          <w:rFonts w:ascii="Arial" w:cs="Arial" w:eastAsia="Arial" w:hAnsi="Arial"/>
          <w:sz w:val="18"/>
          <w:szCs w:val="18"/>
          <w:color w:val="auto"/>
        </w:rPr>
      </w:pPr>
    </w:p>
    <w:p>
      <w:pPr>
        <w:ind w:left="1060" w:right="14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1060" w:right="100" w:hanging="190"/>
        <w:spacing w:after="0" w:line="24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3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36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240" w:hanging="190"/>
        <w:spacing w:after="0" w:line="24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1060" w:right="100" w:hanging="190"/>
        <w:spacing w:after="0" w:line="24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sellers. Our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84" w:lineRule="exact"/>
        <w:rPr>
          <w:rFonts w:ascii="Arial" w:cs="Arial" w:eastAsia="Arial" w:hAnsi="Arial"/>
          <w:sz w:val="18"/>
          <w:szCs w:val="18"/>
          <w:color w:val="auto"/>
        </w:rPr>
      </w:pPr>
    </w:p>
    <w:p>
      <w:pPr>
        <w:ind w:left="1060" w:right="4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8" w:lineRule="exact"/>
        <w:rPr>
          <w:rFonts w:ascii="Arial" w:cs="Arial" w:eastAsia="Arial" w:hAnsi="Arial"/>
          <w:sz w:val="18"/>
          <w:szCs w:val="18"/>
          <w:color w:val="auto"/>
        </w:rPr>
      </w:pPr>
    </w:p>
    <w:p>
      <w:pPr>
        <w:ind w:left="106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1060" w:right="120" w:hanging="190"/>
        <w:spacing w:after="0" w:line="23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1060" w:right="80" w:hanging="190"/>
        <w:spacing w:after="0" w:line="23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87" w:lineRule="exact"/>
        <w:rPr>
          <w:rFonts w:ascii="Arial" w:cs="Arial" w:eastAsia="Arial" w:hAnsi="Arial"/>
          <w:sz w:val="18"/>
          <w:szCs w:val="18"/>
          <w:color w:val="auto"/>
        </w:rPr>
      </w:pPr>
    </w:p>
    <w:p>
      <w:pPr>
        <w:ind w:left="1060" w:hanging="190"/>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58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5581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060" w:hanging="190"/>
        <w:spacing w:after="0" w:line="24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1060" w:right="40" w:hanging="190"/>
        <w:spacing w:after="0" w:line="23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us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saw a 34% year-over-year increase in accounts with at least $50,000 annual spend.</w:t>
      </w:r>
    </w:p>
    <w:p>
      <w:pPr>
        <w:spacing w:after="0" w:line="87" w:lineRule="exact"/>
        <w:rPr>
          <w:rFonts w:ascii="Arial" w:cs="Arial" w:eastAsia="Arial" w:hAnsi="Arial"/>
          <w:sz w:val="18"/>
          <w:szCs w:val="18"/>
          <w:color w:val="auto"/>
        </w:rPr>
      </w:pPr>
    </w:p>
    <w:p>
      <w:pPr>
        <w:ind w:left="1060" w:right="18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1060" w:right="20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060" w:right="4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84" w:lineRule="exact"/>
        <w:rPr>
          <w:rFonts w:ascii="Arial" w:cs="Arial" w:eastAsia="Arial" w:hAnsi="Arial"/>
          <w:sz w:val="18"/>
          <w:szCs w:val="18"/>
          <w:color w:val="auto"/>
        </w:rPr>
      </w:pPr>
    </w:p>
    <w:p>
      <w:pPr>
        <w:ind w:left="1060" w:right="100" w:hanging="190"/>
        <w:spacing w:after="0" w:line="24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our entire platform. We are focused on attracting new sellers, recognizing the massive opportunity still in front of us and the intrinsic benefit an active, diverse seller population brings to the overall platform.</w:t>
      </w:r>
    </w:p>
    <w:p>
      <w:pPr>
        <w:spacing w:after="0" w:line="77" w:lineRule="exact"/>
        <w:rPr>
          <w:rFonts w:ascii="Arial" w:cs="Arial" w:eastAsia="Arial" w:hAnsi="Arial"/>
          <w:sz w:val="18"/>
          <w:szCs w:val="18"/>
          <w:color w:val="auto"/>
        </w:rPr>
      </w:pPr>
    </w:p>
    <w:p>
      <w:pPr>
        <w:ind w:left="106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w:t>
      </w:r>
    </w:p>
    <w:p>
      <w:pPr>
        <w:spacing w:after="0" w:line="84" w:lineRule="exact"/>
        <w:rPr>
          <w:rFonts w:ascii="Arial" w:cs="Arial" w:eastAsia="Arial" w:hAnsi="Arial"/>
          <w:sz w:val="18"/>
          <w:szCs w:val="18"/>
          <w:color w:val="auto"/>
        </w:rPr>
      </w:pPr>
    </w:p>
    <w:p>
      <w:pPr>
        <w:ind w:left="1060" w:right="200" w:hanging="190"/>
        <w:spacing w:after="0" w:line="23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and increase engagement. During the year ended December 31, 2020, 40% of active sellers used our seller services. Although revenue from our seller services was approximately five percent of our total revenue for the year ended December 31, 2020, we expect revenue from seller services to grow over time. In 2020, we introduced a new suite of financial services for sellers that offer us attractive growth opportunities. We plan to continue to market the Xometry Pay platform to U.S. sellers, enhance</w:t>
      </w: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features that allow quicker conversion of purchase orders to cash, and build toward a full-service digital wallet for sellers to use for payouts and purchases.</w:t>
      </w:r>
    </w:p>
    <w:p>
      <w:pPr>
        <w:spacing w:after="0" w:line="87" w:lineRule="exact"/>
        <w:rPr>
          <w:sz w:val="20"/>
          <w:szCs w:val="20"/>
          <w:color w:val="auto"/>
        </w:rPr>
      </w:pPr>
    </w:p>
    <w:p>
      <w:pPr>
        <w:ind w:left="1060" w:right="20" w:hanging="190"/>
        <w:spacing w:after="0" w:line="26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our international expansion. </w:t>
      </w:r>
      <w:r>
        <w:rPr>
          <w:rFonts w:ascii="Arial" w:cs="Arial" w:eastAsia="Arial" w:hAnsi="Arial"/>
          <w:sz w:val="17"/>
          <w:szCs w:val="17"/>
          <w:color w:val="auto"/>
        </w:rPr>
        <w:t>We believe there is significant opportunity in the global manufacturing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marketplace 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69" w:lineRule="exact"/>
        <w:rPr>
          <w:rFonts w:ascii="Arial" w:cs="Arial" w:eastAsia="Arial" w:hAnsi="Arial"/>
          <w:sz w:val="17"/>
          <w:szCs w:val="17"/>
          <w:color w:val="auto"/>
        </w:rPr>
      </w:pPr>
    </w:p>
    <w:p>
      <w:pPr>
        <w:ind w:left="1060" w:right="100" w:hanging="190"/>
        <w:spacing w:after="0" w:line="26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targeted investments and acquisitions to strengthen our competitive position and processes.</w:t>
      </w:r>
    </w:p>
    <w:p>
      <w:pPr>
        <w:spacing w:after="0" w:line="26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 Summary</w:t>
      </w:r>
    </w:p>
    <w:p>
      <w:pPr>
        <w:spacing w:after="0" w:line="230" w:lineRule="exact"/>
        <w:rPr>
          <w:sz w:val="20"/>
          <w:szCs w:val="20"/>
          <w:color w:val="auto"/>
        </w:rPr>
      </w:pPr>
    </w:p>
    <w:p>
      <w:pPr>
        <w:ind w:left="340" w:right="220" w:firstLine="527"/>
        <w:spacing w:after="0" w:line="237" w:lineRule="auto"/>
        <w:rPr>
          <w:sz w:val="20"/>
          <w:szCs w:val="20"/>
          <w:color w:val="auto"/>
        </w:rPr>
      </w:pPr>
      <w:r>
        <w:rPr>
          <w:rFonts w:ascii="Arial" w:cs="Arial" w:eastAsia="Arial" w:hAnsi="Arial"/>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91" w:lineRule="exact"/>
        <w:rPr>
          <w:sz w:val="20"/>
          <w:szCs w:val="20"/>
          <w:color w:val="auto"/>
        </w:rPr>
      </w:pPr>
    </w:p>
    <w:p>
      <w:pPr>
        <w:ind w:left="1060" w:right="6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have incurred net losses in the past, expect to incur net losses in the future and may never achieve or maintain profitability.</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not continue to grow on pace with historical rates.</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are unable to manage the anticipated growth of our business, our future revenue and operating results may be adversely affected.</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operating results may fluctuate from quarter to quarter, which makes our future results difficult to predict.</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growth depends on our ability to attract and retain a large community of buyers and sellers.</w:t>
      </w:r>
    </w:p>
    <w:p>
      <w:pPr>
        <w:spacing w:after="0" w:line="113" w:lineRule="exact"/>
        <w:rPr>
          <w:rFonts w:ascii="Arial" w:cs="Arial" w:eastAsia="Arial" w:hAnsi="Arial"/>
          <w:sz w:val="18"/>
          <w:szCs w:val="18"/>
          <w:i w:val="1"/>
          <w:iCs w:val="1"/>
          <w:color w:val="auto"/>
        </w:rPr>
      </w:pPr>
    </w:p>
    <w:p>
      <w:pPr>
        <w:ind w:left="1060" w:right="4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rFonts w:ascii="Arial" w:cs="Arial" w:eastAsia="Arial" w:hAnsi="Arial"/>
          <w:sz w:val="18"/>
          <w:szCs w:val="18"/>
          <w:color w:val="auto"/>
        </w:rPr>
      </w:pPr>
    </w:p>
    <w:p>
      <w:pPr>
        <w:ind w:left="1060" w:right="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provide quality assurance to buyers.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business model involves our agreeing to pricing with a buyer in advance of sourcing the opportunity to a seller.</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or our third-party partners or service providers may experience a security breach, including unauthorized parties obtaining access to buyers’ confidential information.</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Failure to deal effectively with bad actors engaging on our marketplace or platform could harm our business.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be subject to disputes between sellers and suppliers on our platform.</w:t>
      </w:r>
    </w:p>
    <w:p>
      <w:pPr>
        <w:spacing w:after="0" w:line="113" w:lineRule="exact"/>
        <w:rPr>
          <w:rFonts w:ascii="Arial" w:cs="Arial" w:eastAsia="Arial" w:hAnsi="Arial"/>
          <w:sz w:val="18"/>
          <w:szCs w:val="18"/>
          <w:color w:val="auto"/>
        </w:rPr>
      </w:pPr>
    </w:p>
    <w:p>
      <w:pPr>
        <w:ind w:left="1060" w:right="4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rely on a third-party payment processor to process payments made by buyers and payments made to sellers and suppliers.</w:t>
      </w:r>
    </w:p>
    <w:p>
      <w:pPr>
        <w:spacing w:after="0" w:line="3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320" w:top="456" w:right="8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15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591502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third parties to fulfill buyer orders.</w:t>
      </w:r>
    </w:p>
    <w:p>
      <w:pPr>
        <w:spacing w:after="0" w:line="113" w:lineRule="exact"/>
        <w:rPr>
          <w:rFonts w:ascii="Arial" w:cs="Arial" w:eastAsia="Arial" w:hAnsi="Arial"/>
          <w:sz w:val="18"/>
          <w:szCs w:val="18"/>
          <w:color w:val="auto"/>
        </w:rPr>
      </w:pPr>
    </w:p>
    <w:p>
      <w:pPr>
        <w:ind w:left="1060" w:right="42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face significant competition and expect to face increasing competition in many aspects of our business, which could cause our operating results to suffer.</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not effectively expand into markets outside the United States.</w:t>
      </w:r>
    </w:p>
    <w:p>
      <w:pPr>
        <w:spacing w:after="0" w:line="113" w:lineRule="exact"/>
        <w:rPr>
          <w:rFonts w:ascii="Arial" w:cs="Arial" w:eastAsia="Arial" w:hAnsi="Arial"/>
          <w:sz w:val="18"/>
          <w:szCs w:val="18"/>
          <w:color w:val="auto"/>
        </w:rPr>
      </w:pPr>
    </w:p>
    <w:p>
      <w:pPr>
        <w:ind w:left="1060" w:right="1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ongoing COVID-19 pandemic and measures intended to prevent its spread have had a material effect on our business and results of operations.</w:t>
      </w:r>
    </w:p>
    <w:p>
      <w:pPr>
        <w:spacing w:after="0" w:line="73" w:lineRule="exact"/>
        <w:rPr>
          <w:rFonts w:ascii="Arial" w:cs="Arial" w:eastAsia="Arial" w:hAnsi="Arial"/>
          <w:sz w:val="18"/>
          <w:szCs w:val="18"/>
          <w:color w:val="auto"/>
        </w:rPr>
      </w:pPr>
    </w:p>
    <w:p>
      <w:pPr>
        <w:ind w:left="1060" w:right="140" w:hanging="190"/>
        <w:spacing w:after="0" w:line="29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49" w:lineRule="exact"/>
        <w:rPr>
          <w:rFonts w:ascii="Arial" w:cs="Arial" w:eastAsia="Arial" w:hAnsi="Arial"/>
          <w:sz w:val="17"/>
          <w:szCs w:val="17"/>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subject to stringent and evolving laws and regulations relating to consumer data privacy and data protection.</w:t>
      </w:r>
    </w:p>
    <w:p>
      <w:pPr>
        <w:spacing w:after="0" w:line="113" w:lineRule="exact"/>
        <w:rPr>
          <w:rFonts w:ascii="Arial" w:cs="Arial" w:eastAsia="Arial" w:hAnsi="Arial"/>
          <w:sz w:val="18"/>
          <w:szCs w:val="18"/>
          <w:color w:val="auto"/>
        </w:rPr>
      </w:pPr>
    </w:p>
    <w:p>
      <w:pPr>
        <w:ind w:left="1060" w:right="3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rFonts w:ascii="Arial" w:cs="Arial" w:eastAsia="Arial" w:hAnsi="Arial"/>
          <w:sz w:val="18"/>
          <w:szCs w:val="18"/>
          <w:color w:val="auto"/>
        </w:rPr>
      </w:pPr>
    </w:p>
    <w:p>
      <w:pPr>
        <w:ind w:left="1060" w:right="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rFonts w:ascii="Arial" w:cs="Arial" w:eastAsia="Arial" w:hAnsi="Arial"/>
          <w:sz w:val="18"/>
          <w:szCs w:val="18"/>
          <w:color w:val="auto"/>
        </w:rPr>
      </w:pPr>
    </w:p>
    <w:p>
      <w:pPr>
        <w:ind w:left="1060" w:right="4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27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We were incorporated in 2013 under the name NextLine Manufacturing Corp. We changed our name to Xometry, Inc. on</w:t>
      </w:r>
    </w:p>
    <w:p>
      <w:pPr>
        <w:ind w:left="340"/>
        <w:spacing w:after="0" w:line="235" w:lineRule="auto"/>
        <w:rPr>
          <w:sz w:val="20"/>
          <w:szCs w:val="20"/>
          <w:color w:val="auto"/>
        </w:rPr>
      </w:pPr>
      <w:r>
        <w:rPr>
          <w:rFonts w:ascii="Arial" w:cs="Arial" w:eastAsia="Arial" w:hAnsi="Arial"/>
          <w:sz w:val="18"/>
          <w:szCs w:val="18"/>
          <w:color w:val="auto"/>
        </w:rPr>
        <w:t>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is an inactive textual reference only, and you should not consider information on our website to be part of this prospectus or in deciding whether or not to purchase our Class A common stock offered in this offering.</w:t>
      </w:r>
    </w:p>
    <w:p>
      <w:pPr>
        <w:spacing w:after="0" w:line="201" w:lineRule="exact"/>
        <w:rPr>
          <w:sz w:val="20"/>
          <w:szCs w:val="20"/>
          <w:color w:val="auto"/>
        </w:rPr>
      </w:pPr>
    </w:p>
    <w:p>
      <w:pPr>
        <w:ind w:left="340" w:right="140" w:firstLine="527"/>
        <w:spacing w:after="0" w:line="237" w:lineRule="auto"/>
        <w:rPr>
          <w:sz w:val="20"/>
          <w:szCs w:val="20"/>
          <w:color w:val="auto"/>
        </w:rPr>
      </w:pPr>
      <w:r>
        <w:rPr>
          <w:rFonts w:ascii="Arial" w:cs="Arial" w:eastAsia="Arial" w:hAnsi="Arial"/>
          <w:sz w:val="18"/>
          <w:szCs w:val="18"/>
          <w:color w:val="auto"/>
        </w:rPr>
        <w:t>“Xometry</w:t>
      </w:r>
      <w:r>
        <w:rPr>
          <w:rFonts w:ascii="Arial" w:cs="Arial" w:eastAsia="Arial" w:hAnsi="Arial"/>
          <w:sz w:val="15"/>
          <w:szCs w:val="15"/>
          <w:color w:val="auto"/>
        </w:rPr>
        <w:t>®</w:t>
      </w:r>
      <w:r>
        <w:rPr>
          <w:rFonts w:ascii="Arial" w:cs="Arial" w:eastAsia="Arial" w:hAnsi="Arial"/>
          <w:sz w:val="18"/>
          <w:szCs w:val="18"/>
          <w:color w:val="auto"/>
        </w:rPr>
        <w:t xml:space="preserve">” and our other registered and common law trade names, trademarks and service marks are the property of Xometry, Inc. or our subsidiaries.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 xml:space="preserve">TM </w:t>
      </w:r>
      <w:r>
        <w:rPr>
          <w:rFonts w:ascii="Arial" w:cs="Arial" w:eastAsia="Arial" w:hAnsi="Arial"/>
          <w:sz w:val="17"/>
          <w:szCs w:val="17"/>
          <w:color w:val="auto"/>
        </w:rPr>
        <w:t>symbols.</w:t>
      </w:r>
    </w:p>
    <w:p>
      <w:pPr>
        <w:spacing w:after="0" w:line="28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0" w:lineRule="exact"/>
        <w:rPr>
          <w:sz w:val="20"/>
          <w:szCs w:val="20"/>
          <w:color w:val="auto"/>
        </w:rPr>
      </w:pPr>
    </w:p>
    <w:p>
      <w:pPr>
        <w:ind w:left="340" w:right="100" w:firstLine="527"/>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w:t>
      </w: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008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20085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40"/>
        <w:spacing w:after="0" w:line="235" w:lineRule="auto"/>
        <w:rPr>
          <w:sz w:val="20"/>
          <w:szCs w:val="20"/>
          <w:color w:val="auto"/>
        </w:rPr>
      </w:pPr>
      <w:r>
        <w:rPr>
          <w:rFonts w:ascii="Arial" w:cs="Arial" w:eastAsia="Arial" w:hAnsi="Arial"/>
          <w:sz w:val="18"/>
          <w:szCs w:val="18"/>
          <w:color w:val="auto"/>
        </w:rPr>
        <w:t>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4" w:lineRule="exact"/>
        <w:rPr>
          <w:sz w:val="20"/>
          <w:szCs w:val="20"/>
          <w:color w:val="auto"/>
        </w:rPr>
      </w:pPr>
    </w:p>
    <w:p>
      <w:pPr>
        <w:ind w:left="340" w:firstLine="527"/>
        <w:spacing w:after="0" w:line="235"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is more than $700 million as of June 30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90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54902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7"/>
          <w:szCs w:val="17"/>
          <w:color w:val="auto"/>
        </w:rPr>
        <w:t>6,875,000 shares</w:t>
      </w:r>
    </w:p>
    <w:p>
      <w:pPr>
        <w:spacing w:after="0" w:line="8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7"/>
          <w:szCs w:val="17"/>
          <w:color w:val="auto"/>
        </w:rPr>
        <w:t>40,197,281 shares (or 41,228,531 shares if the underwriters</w:t>
      </w:r>
    </w:p>
    <w:p>
      <w:pPr>
        <w:ind w:left="5820"/>
        <w:spacing w:after="0"/>
        <w:rPr>
          <w:sz w:val="20"/>
          <w:szCs w:val="20"/>
          <w:color w:val="auto"/>
        </w:rPr>
      </w:pPr>
      <w:r>
        <w:rPr>
          <w:rFonts w:ascii="Arial" w:cs="Arial" w:eastAsia="Arial" w:hAnsi="Arial"/>
          <w:sz w:val="18"/>
          <w:szCs w:val="18"/>
          <w:color w:val="auto"/>
        </w:rPr>
        <w:t>exercise their option to purchase additional shares in full)</w:t>
      </w:r>
    </w:p>
    <w:p>
      <w:pPr>
        <w:spacing w:after="0" w:line="74"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7"/>
          <w:szCs w:val="17"/>
          <w:color w:val="auto"/>
        </w:rPr>
        <w:t>2,676,154 shares</w:t>
      </w:r>
    </w:p>
    <w:p>
      <w:pPr>
        <w:spacing w:after="0" w:line="8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Underwriters’ option to purchase additional shares of Class A</w:t>
      </w:r>
      <w:r>
        <w:rPr>
          <w:sz w:val="20"/>
          <w:szCs w:val="20"/>
          <w:color w:val="auto"/>
        </w:rPr>
        <w:tab/>
      </w:r>
      <w:r>
        <w:rPr>
          <w:rFonts w:ascii="Arial" w:cs="Arial" w:eastAsia="Arial" w:hAnsi="Arial"/>
          <w:sz w:val="17"/>
          <w:szCs w:val="17"/>
          <w:color w:val="auto"/>
        </w:rPr>
        <w:t>1,031,250 shares</w:t>
      </w:r>
    </w:p>
    <w:p>
      <w:pPr>
        <w:ind w:left="460"/>
        <w:spacing w:after="0"/>
        <w:rPr>
          <w:sz w:val="20"/>
          <w:szCs w:val="20"/>
          <w:color w:val="auto"/>
        </w:rPr>
      </w:pPr>
      <w:r>
        <w:rPr>
          <w:rFonts w:ascii="Arial" w:cs="Arial" w:eastAsia="Arial" w:hAnsi="Arial"/>
          <w:sz w:val="18"/>
          <w:szCs w:val="18"/>
          <w:color w:val="auto"/>
        </w:rPr>
        <w:t>common stock offered by us</w:t>
      </w:r>
    </w:p>
    <w:p>
      <w:pPr>
        <w:sectPr>
          <w:pgSz w:w="11900" w:h="16838" w:orient="portrait"/>
          <w:cols w:equalWidth="0" w:num="1">
            <w:col w:w="10860"/>
          </w:cols>
          <w:pgMar w:left="320" w:top="456" w:right="719" w:bottom="1440" w:gutter="0" w:footer="0" w:header="0"/>
        </w:sectPr>
      </w:pPr>
    </w:p>
    <w:p>
      <w:pPr>
        <w:spacing w:after="0" w:line="87" w:lineRule="exact"/>
        <w:rPr>
          <w:sz w:val="20"/>
          <w:szCs w:val="20"/>
          <w:color w:val="auto"/>
        </w:rPr>
      </w:pPr>
    </w:p>
    <w:p>
      <w:pPr>
        <w:ind w:left="460" w:hanging="106"/>
        <w:spacing w:after="0" w:line="239"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42,873,435 shares (or 43,904,685 shares if the underwriters exercise their option to purchase additional shares in full)</w:t>
      </w:r>
    </w:p>
    <w:p>
      <w:pPr>
        <w:spacing w:after="0" w:line="5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$278.1 million (or approximately $320.4 million if the underwriters’ option to purchase additional shares of our Class A common stock from us is exercised in full), based on the initial public offering price of $44.00 per share, and after deducting underwriting discounts and commissions and estimated offering expenses.</w:t>
      </w:r>
    </w:p>
    <w:p>
      <w:pPr>
        <w:spacing w:after="0" w:line="7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from this offering to repay our outstanding indebtedness under our Amended Loan and Security Agreement (as defined in the section titled “Management’s Discussion of Financial and Analysis of Financial Condition and Results of Operations—Liquidity and Capital Resources—Term Loan Facility”), which matures on May 1, 2022 under which $15.8 million was outstanding at an annual interest rate of 8.7% as of March 31, 2021. In addition, we may also use a portion of the net proceeds from this offering to acquire complementary businesses, products, services or technologies. However, we do not have agreements or commitments to enter into</w:t>
      </w:r>
    </w:p>
    <w:p>
      <w:pPr>
        <w:spacing w:after="0" w:line="200" w:lineRule="exact"/>
        <w:rPr>
          <w:sz w:val="20"/>
          <w:szCs w:val="20"/>
          <w:color w:val="auto"/>
        </w:rPr>
      </w:pPr>
    </w:p>
    <w:p>
      <w:pPr>
        <w:sectPr>
          <w:pgSz w:w="11900" w:h="16838" w:orient="portrait"/>
          <w:cols w:equalWidth="0" w:num="2">
            <w:col w:w="5240" w:space="580"/>
            <w:col w:w="5040"/>
          </w:cols>
          <w:pgMar w:left="320" w:top="456" w:right="719" w:bottom="1440" w:gutter="0" w:footer="0" w:header="0"/>
          <w:type w:val="continuous"/>
        </w:sectPr>
      </w:pPr>
    </w:p>
    <w:p>
      <w:pPr>
        <w:spacing w:after="0" w:line="19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60"/>
          </w:cols>
          <w:pgMar w:left="320" w:top="456" w:right="7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36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color w:val="auto"/>
              </w:rPr>
              <w:t>any acquisitions at this time. See the section titled “Use of</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Proceeds” for additional information.</w:t>
            </w:r>
          </w:p>
        </w:tc>
      </w:tr>
      <w:tr>
        <w:trPr>
          <w:trHeight w:val="281"/>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Voting rights</w:t>
            </w: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Following this offering, we will have two classes of common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stock: Class A common stock and Class B common stock.</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Class A common stock is entitled to one vote per share and</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Class B common stock is entitled to 20 votes per share.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addition, all shares of Class B common stock will automatically</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convert into shares of Class A common stock in certain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circumstances, including on the final conversion date, defined</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as the earlier of (a) the seventh anniversary of this offering, or</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(b) the date specified by the vote of the holders of a majority of</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the outstanding shares of Class B common stock. See the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section titled “Description of Capital Stock—Class A Common</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Stock and Class B Common Stock.”</w:t>
            </w:r>
          </w:p>
        </w:tc>
      </w:tr>
      <w:tr>
        <w:trPr>
          <w:trHeight w:val="268"/>
        </w:trPr>
        <w:tc>
          <w:tcPr>
            <w:tcW w:w="3620" w:type="dxa"/>
            <w:vAlign w:val="bottom"/>
            <w:tcBorders>
              <w:left w:val="single" w:sz="8" w:color="auto"/>
            </w:tcBorders>
          </w:tcPr>
          <w:p>
            <w:pPr>
              <w:spacing w:after="0"/>
              <w:rPr>
                <w:sz w:val="23"/>
                <w:szCs w:val="23"/>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Holders of Class A common stock and Class B common stock</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will generally vote together as a single class, unless otherwise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required by law or our amended and restated certificate of</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incorporation that will be in effect on the completion of this</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offering. Immediately following the completion of this offering, all</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shares of our Class B common stock will be held by Randolph</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Altschuler, our Chief Executive Officer and Co-Founder, and</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Laurence Zuriff, our Chief Strategy Officer and Co-Founder. The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holders of our Class B common stock will hold approximately</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57.1% (or approximately 56.5% if the underwriters’ option to</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purchase additional shares of our common stock is exercised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full) of the voting power of our capital stock following this</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offering and will have the ability to control the outcome of most</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matters submitted to our stockholders for approval, including the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election of our directors and the approval of any change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control transaction. See the sections titled “Principal</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Stockholders” and “Description of Capital Stock” for additional</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information.</w:t>
            </w:r>
          </w:p>
        </w:tc>
      </w:tr>
      <w:tr>
        <w:trPr>
          <w:trHeight w:val="268"/>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Indications of Interest</w:t>
            </w: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Certain funds and accounts advised or sub-advised by T. Rowe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Price Associates, Inc. have indicated a non-binding interest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purchasing up to an aggregate of $40 million in shares of our</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Class A common stock being offered in this offering at the initial</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public offering price. One or more funds advised by Capital</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World Investors have indicated a non-binding interest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purchasing up to an aggregate of $30 million in shares of our</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Class A common stock being</w:t>
            </w:r>
          </w:p>
        </w:tc>
      </w:tr>
      <w:tr>
        <w:trPr>
          <w:trHeight w:val="226"/>
        </w:trPr>
        <w:tc>
          <w:tcPr>
            <w:tcW w:w="3620" w:type="dxa"/>
            <w:vAlign w:val="bottom"/>
            <w:tcBorders>
              <w:left w:val="single" w:sz="8" w:color="auto"/>
              <w:bottom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spacing w:after="0"/>
              <w:rPr>
                <w:sz w:val="19"/>
                <w:szCs w:val="19"/>
                <w:color w:val="auto"/>
              </w:rPr>
            </w:pPr>
          </w:p>
        </w:tc>
      </w:tr>
      <w:tr>
        <w:trPr>
          <w:trHeight w:val="356"/>
        </w:trPr>
        <w:tc>
          <w:tcPr>
            <w:tcW w:w="3620" w:type="dxa"/>
            <w:vAlign w:val="bottom"/>
          </w:tcPr>
          <w:p>
            <w:pPr>
              <w:spacing w:after="0"/>
              <w:rPr>
                <w:sz w:val="24"/>
                <w:szCs w:val="24"/>
                <w:color w:val="auto"/>
              </w:rPr>
            </w:pPr>
          </w:p>
        </w:tc>
        <w:tc>
          <w:tcPr>
            <w:tcW w:w="7300" w:type="dxa"/>
            <w:vAlign w:val="bottom"/>
          </w:tcPr>
          <w:p>
            <w:pPr>
              <w:ind w:left="17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31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5431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offered in this offering at the initial public offering price. These</w:t>
      </w:r>
    </w:p>
    <w:p>
      <w:pPr>
        <w:ind w:left="5820"/>
        <w:spacing w:after="0" w:line="232" w:lineRule="auto"/>
        <w:rPr>
          <w:sz w:val="20"/>
          <w:szCs w:val="20"/>
          <w:color w:val="auto"/>
        </w:rPr>
      </w:pPr>
      <w:r>
        <w:rPr>
          <w:rFonts w:ascii="Arial" w:cs="Arial" w:eastAsia="Arial" w:hAnsi="Arial"/>
          <w:sz w:val="18"/>
          <w:szCs w:val="18"/>
          <w:color w:val="auto"/>
        </w:rPr>
        <w:t>indications of interest have been made severally but not jointly.</w:t>
      </w:r>
    </w:p>
    <w:p>
      <w:pPr>
        <w:ind w:left="5820"/>
        <w:spacing w:after="0" w:line="233" w:lineRule="auto"/>
        <w:rPr>
          <w:sz w:val="20"/>
          <w:szCs w:val="20"/>
          <w:color w:val="auto"/>
        </w:rPr>
      </w:pPr>
      <w:r>
        <w:rPr>
          <w:rFonts w:ascii="Arial" w:cs="Arial" w:eastAsia="Arial" w:hAnsi="Arial"/>
          <w:sz w:val="18"/>
          <w:szCs w:val="18"/>
          <w:color w:val="auto"/>
        </w:rPr>
        <w:t>As these indications of interest are not binding agreements or</w:t>
      </w:r>
    </w:p>
    <w:p>
      <w:pPr>
        <w:ind w:left="5820"/>
        <w:spacing w:after="0" w:line="232" w:lineRule="auto"/>
        <w:rPr>
          <w:sz w:val="20"/>
          <w:szCs w:val="20"/>
          <w:color w:val="auto"/>
        </w:rPr>
      </w:pPr>
      <w:r>
        <w:rPr>
          <w:rFonts w:ascii="Arial" w:cs="Arial" w:eastAsia="Arial" w:hAnsi="Arial"/>
          <w:sz w:val="18"/>
          <w:szCs w:val="18"/>
          <w:color w:val="auto"/>
        </w:rPr>
        <w:t>commitments to purchase, such funds and accounts advised or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sub-advised by T. Rowe Price Associates, Inc. and one or more</w:t>
      </w:r>
    </w:p>
    <w:p>
      <w:pPr>
        <w:ind w:left="5820"/>
        <w:spacing w:after="0" w:line="238" w:lineRule="auto"/>
        <w:rPr>
          <w:sz w:val="20"/>
          <w:szCs w:val="20"/>
          <w:color w:val="auto"/>
        </w:rPr>
      </w:pPr>
      <w:r>
        <w:rPr>
          <w:rFonts w:ascii="Arial" w:cs="Arial" w:eastAsia="Arial" w:hAnsi="Arial"/>
          <w:sz w:val="18"/>
          <w:szCs w:val="18"/>
          <w:color w:val="auto"/>
        </w:rPr>
        <w:t>funds advised by Capital World Investors may determine to</w:t>
      </w:r>
    </w:p>
    <w:p>
      <w:pPr>
        <w:ind w:left="5820"/>
        <w:spacing w:after="0" w:line="233" w:lineRule="auto"/>
        <w:rPr>
          <w:sz w:val="20"/>
          <w:szCs w:val="20"/>
          <w:color w:val="auto"/>
        </w:rPr>
      </w:pPr>
      <w:r>
        <w:rPr>
          <w:rFonts w:ascii="Arial" w:cs="Arial" w:eastAsia="Arial" w:hAnsi="Arial"/>
          <w:sz w:val="18"/>
          <w:szCs w:val="18"/>
          <w:color w:val="auto"/>
        </w:rPr>
        <w:t>purchase more, fewer or no shares in this offering or the</w:t>
      </w:r>
    </w:p>
    <w:p>
      <w:pPr>
        <w:ind w:left="5820"/>
        <w:spacing w:after="0" w:line="232" w:lineRule="auto"/>
        <w:rPr>
          <w:sz w:val="20"/>
          <w:szCs w:val="20"/>
          <w:color w:val="auto"/>
        </w:rPr>
      </w:pPr>
      <w:r>
        <w:rPr>
          <w:rFonts w:ascii="Arial" w:cs="Arial" w:eastAsia="Arial" w:hAnsi="Arial"/>
          <w:sz w:val="18"/>
          <w:szCs w:val="18"/>
          <w:color w:val="auto"/>
        </w:rPr>
        <w:t>underwriters may determine to sell more, fewer or no shares to</w:t>
      </w:r>
    </w:p>
    <w:p>
      <w:pPr>
        <w:ind w:left="5820"/>
        <w:spacing w:after="0" w:line="233" w:lineRule="auto"/>
        <w:rPr>
          <w:sz w:val="20"/>
          <w:szCs w:val="20"/>
          <w:color w:val="auto"/>
        </w:rPr>
      </w:pPr>
      <w:r>
        <w:rPr>
          <w:rFonts w:ascii="Arial" w:cs="Arial" w:eastAsia="Arial" w:hAnsi="Arial"/>
          <w:sz w:val="18"/>
          <w:szCs w:val="18"/>
          <w:color w:val="auto"/>
        </w:rPr>
        <w:t>such funds and accounts advised or sub-advised by T. Rowe</w:t>
      </w:r>
    </w:p>
    <w:p>
      <w:pPr>
        <w:ind w:left="5820"/>
        <w:spacing w:after="0"/>
        <w:rPr>
          <w:sz w:val="20"/>
          <w:szCs w:val="20"/>
          <w:color w:val="auto"/>
        </w:rPr>
      </w:pPr>
      <w:r>
        <w:rPr>
          <w:rFonts w:ascii="Arial" w:cs="Arial" w:eastAsia="Arial" w:hAnsi="Arial"/>
          <w:sz w:val="17"/>
          <w:szCs w:val="17"/>
          <w:color w:val="auto"/>
        </w:rPr>
        <w:t>Price Associates, Inc. and one or more funds advised by Capital</w:t>
      </w:r>
    </w:p>
    <w:p>
      <w:pPr>
        <w:ind w:left="5820"/>
        <w:spacing w:after="0" w:line="238" w:lineRule="auto"/>
        <w:rPr>
          <w:sz w:val="20"/>
          <w:szCs w:val="20"/>
          <w:color w:val="auto"/>
        </w:rPr>
      </w:pPr>
      <w:r>
        <w:rPr>
          <w:rFonts w:ascii="Arial" w:cs="Arial" w:eastAsia="Arial" w:hAnsi="Arial"/>
          <w:sz w:val="18"/>
          <w:szCs w:val="18"/>
          <w:color w:val="auto"/>
        </w:rPr>
        <w:t>World Investors. The underwriters will receive the same</w:t>
      </w:r>
    </w:p>
    <w:p>
      <w:pPr>
        <w:ind w:left="5820"/>
        <w:spacing w:after="0"/>
        <w:rPr>
          <w:sz w:val="20"/>
          <w:szCs w:val="20"/>
          <w:color w:val="auto"/>
        </w:rPr>
      </w:pPr>
      <w:r>
        <w:rPr>
          <w:rFonts w:ascii="Arial" w:cs="Arial" w:eastAsia="Arial" w:hAnsi="Arial"/>
          <w:sz w:val="17"/>
          <w:szCs w:val="17"/>
          <w:color w:val="auto"/>
        </w:rPr>
        <w:t>discount on any shares of Class A common stock purchased by</w:t>
      </w:r>
    </w:p>
    <w:p>
      <w:pPr>
        <w:ind w:left="5820"/>
        <w:spacing w:after="0" w:line="238" w:lineRule="auto"/>
        <w:rPr>
          <w:sz w:val="20"/>
          <w:szCs w:val="20"/>
          <w:color w:val="auto"/>
        </w:rPr>
      </w:pPr>
      <w:r>
        <w:rPr>
          <w:rFonts w:ascii="Arial" w:cs="Arial" w:eastAsia="Arial" w:hAnsi="Arial"/>
          <w:sz w:val="18"/>
          <w:szCs w:val="18"/>
          <w:color w:val="auto"/>
        </w:rPr>
        <w:t>such funds and accounts advised or sub-advised by T. Rowe</w:t>
      </w:r>
    </w:p>
    <w:p>
      <w:pPr>
        <w:ind w:left="5820"/>
        <w:spacing w:after="0"/>
        <w:rPr>
          <w:sz w:val="20"/>
          <w:szCs w:val="20"/>
          <w:color w:val="auto"/>
        </w:rPr>
      </w:pPr>
      <w:r>
        <w:rPr>
          <w:rFonts w:ascii="Arial" w:cs="Arial" w:eastAsia="Arial" w:hAnsi="Arial"/>
          <w:sz w:val="17"/>
          <w:szCs w:val="17"/>
          <w:color w:val="auto"/>
        </w:rPr>
        <w:t>Price Associates, Inc. and one or more funds advised by Capital</w:t>
      </w:r>
    </w:p>
    <w:p>
      <w:pPr>
        <w:ind w:left="5820"/>
        <w:spacing w:after="0" w:line="238" w:lineRule="auto"/>
        <w:rPr>
          <w:sz w:val="20"/>
          <w:szCs w:val="20"/>
          <w:color w:val="auto"/>
        </w:rPr>
      </w:pPr>
      <w:r>
        <w:rPr>
          <w:rFonts w:ascii="Arial" w:cs="Arial" w:eastAsia="Arial" w:hAnsi="Arial"/>
          <w:sz w:val="18"/>
          <w:szCs w:val="18"/>
          <w:color w:val="auto"/>
        </w:rPr>
        <w:t>World Investors as they will on any other shares of Class A</w:t>
      </w:r>
    </w:p>
    <w:p>
      <w:pPr>
        <w:ind w:left="5820"/>
        <w:spacing w:after="0"/>
        <w:rPr>
          <w:sz w:val="20"/>
          <w:szCs w:val="20"/>
          <w:color w:val="auto"/>
        </w:rPr>
      </w:pPr>
      <w:r>
        <w:rPr>
          <w:rFonts w:ascii="Arial" w:cs="Arial" w:eastAsia="Arial" w:hAnsi="Arial"/>
          <w:sz w:val="18"/>
          <w:szCs w:val="18"/>
          <w:color w:val="auto"/>
        </w:rPr>
        <w:t>common stock sold to the public in this offering.</w:t>
      </w:r>
    </w:p>
    <w:p>
      <w:pPr>
        <w:spacing w:after="0" w:line="81" w:lineRule="exact"/>
        <w:rPr>
          <w:sz w:val="20"/>
          <w:szCs w:val="20"/>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RiskYou should carefully read the section titled “</w:t>
      </w:r>
      <w:hyperlink w:anchor="page24">
        <w:r>
          <w:rPr>
            <w:rFonts w:ascii="Arial" w:cs="Arial" w:eastAsia="Arial" w:hAnsi="Arial"/>
            <w:sz w:val="18"/>
            <w:szCs w:val="18"/>
            <w:u w:val="single" w:color="auto"/>
            <w:color w:val="0000EE"/>
          </w:rPr>
          <w:t>Risk Factors</w:t>
        </w:r>
      </w:hyperlink>
      <w:r>
        <w:rPr>
          <w:rFonts w:ascii="Arial" w:cs="Arial" w:eastAsia="Arial" w:hAnsi="Arial"/>
          <w:sz w:val="18"/>
          <w:szCs w:val="18"/>
          <w:color w:val="auto"/>
        </w:rPr>
        <w:t>”</w:t>
      </w:r>
    </w:p>
    <w:p>
      <w:pPr>
        <w:ind w:left="340"/>
        <w:spacing w:after="0" w:line="232" w:lineRule="auto"/>
        <w:tabs>
          <w:tab w:leader="none" w:pos="5800" w:val="left"/>
        </w:tabs>
        <w:rPr>
          <w:sz w:val="20"/>
          <w:szCs w:val="20"/>
          <w:color w:val="auto"/>
        </w:rPr>
      </w:pPr>
      <w:r>
        <w:rPr>
          <w:rFonts w:ascii="Arial" w:cs="Arial" w:eastAsia="Arial" w:hAnsi="Arial"/>
          <w:sz w:val="18"/>
          <w:szCs w:val="18"/>
          <w:color w:val="auto"/>
        </w:rPr>
        <w:t>factors</w:t>
      </w:r>
      <w:r>
        <w:rPr>
          <w:sz w:val="20"/>
          <w:szCs w:val="20"/>
          <w:color w:val="auto"/>
        </w:rPr>
        <w:tab/>
      </w:r>
      <w:r>
        <w:rPr>
          <w:rFonts w:ascii="Arial" w:cs="Arial" w:eastAsia="Arial" w:hAnsi="Arial"/>
          <w:sz w:val="18"/>
          <w:szCs w:val="18"/>
          <w:color w:val="auto"/>
        </w:rPr>
        <w:t>beginning on page 18 and the other information included in this</w:t>
      </w:r>
    </w:p>
    <w:p>
      <w:pPr>
        <w:ind w:left="5820"/>
        <w:spacing w:after="0" w:line="233" w:lineRule="auto"/>
        <w:rPr>
          <w:sz w:val="20"/>
          <w:szCs w:val="20"/>
          <w:color w:val="auto"/>
        </w:rPr>
      </w:pPr>
      <w:r>
        <w:rPr>
          <w:rFonts w:ascii="Arial" w:cs="Arial" w:eastAsia="Arial" w:hAnsi="Arial"/>
          <w:sz w:val="18"/>
          <w:szCs w:val="18"/>
          <w:color w:val="auto"/>
        </w:rPr>
        <w:t>prospectus for a discussion of facts that you should consider</w:t>
      </w:r>
    </w:p>
    <w:p>
      <w:pPr>
        <w:ind w:left="5820"/>
        <w:spacing w:after="0" w:line="232" w:lineRule="auto"/>
        <w:rPr>
          <w:sz w:val="20"/>
          <w:szCs w:val="20"/>
          <w:color w:val="auto"/>
        </w:rPr>
      </w:pPr>
      <w:r>
        <w:rPr>
          <w:rFonts w:ascii="Arial" w:cs="Arial" w:eastAsia="Arial" w:hAnsi="Arial"/>
          <w:sz w:val="18"/>
          <w:szCs w:val="18"/>
          <w:color w:val="auto"/>
        </w:rPr>
        <w:t>before deciding to invest in shares of our Class A common</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stock.</w:t>
      </w:r>
    </w:p>
    <w:p>
      <w:pPr>
        <w:spacing w:after="0" w:line="74"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Nasdaq trading symbol</w:t>
      </w:r>
      <w:r>
        <w:rPr>
          <w:sz w:val="20"/>
          <w:szCs w:val="20"/>
          <w:color w:val="auto"/>
        </w:rPr>
        <w:tab/>
      </w:r>
      <w:r>
        <w:rPr>
          <w:rFonts w:ascii="Arial" w:cs="Arial" w:eastAsia="Arial" w:hAnsi="Arial"/>
          <w:sz w:val="17"/>
          <w:szCs w:val="17"/>
          <w:color w:val="auto"/>
        </w:rPr>
        <w:t>“XMTR”</w:t>
      </w:r>
    </w:p>
    <w:p>
      <w:pPr>
        <w:spacing w:after="0" w:line="221" w:lineRule="exact"/>
        <w:rPr>
          <w:sz w:val="20"/>
          <w:szCs w:val="20"/>
          <w:color w:val="auto"/>
        </w:rPr>
      </w:pPr>
    </w:p>
    <w:p>
      <w:pPr>
        <w:ind w:left="340" w:right="40" w:firstLine="527"/>
        <w:spacing w:after="0" w:line="237"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109" w:lineRule="exact"/>
        <w:rPr>
          <w:sz w:val="20"/>
          <w:szCs w:val="20"/>
          <w:color w:val="auto"/>
        </w:rPr>
      </w:pPr>
    </w:p>
    <w:p>
      <w:pPr>
        <w:ind w:left="1060" w:right="120" w:hanging="190"/>
        <w:spacing w:after="0" w:line="23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Equity Incentive Plan, or 2016 Plan, and the Nextline Manufacturing Corp. 2014 Stock Option Plan, or 2014 Plan, with a weighted-average exercise price of $3.43 per share;</w:t>
      </w:r>
    </w:p>
    <w:p>
      <w:pPr>
        <w:spacing w:after="0" w:line="108" w:lineRule="exact"/>
        <w:rPr>
          <w:rFonts w:ascii="Arial" w:cs="Arial" w:eastAsia="Arial" w:hAnsi="Arial"/>
          <w:sz w:val="18"/>
          <w:szCs w:val="18"/>
          <w:color w:val="auto"/>
        </w:rPr>
      </w:pPr>
    </w:p>
    <w:p>
      <w:pPr>
        <w:ind w:left="1060" w:right="16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1,308,381 shares of Class A common stock issuable upon the exercise of outstanding stock options issued after March 31, 2021 pursuant to our 2016 Plan with a weighted-average exercise price of $12.32 per share;</w:t>
      </w:r>
    </w:p>
    <w:p>
      <w:pPr>
        <w:spacing w:after="0" w:line="109"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112,026 shares of Class A common stock issuable upon the exercise of warrants outstanding as of March 31, 2021 with a weighted-average exercise price of $4.37 per share;</w:t>
      </w:r>
    </w:p>
    <w:p>
      <w:pPr>
        <w:spacing w:after="0" w:line="109" w:lineRule="exact"/>
        <w:rPr>
          <w:rFonts w:ascii="Arial" w:cs="Arial" w:eastAsia="Arial" w:hAnsi="Arial"/>
          <w:sz w:val="18"/>
          <w:szCs w:val="18"/>
          <w:color w:val="auto"/>
        </w:rPr>
      </w:pPr>
    </w:p>
    <w:p>
      <w:pPr>
        <w:ind w:left="1060" w:right="60" w:hanging="190"/>
        <w:spacing w:after="0" w:line="23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Equity Incentive Plan, or 2021 Plan (which does not give effect to the contemplated director nominee grant described under “Management—Non-Employee Director Compensation”), which became effective upon the execution of the underwriting agreement for this offering, as well as any future increases, including annual automatic evergreen increases, in the number of shares of</w:t>
      </w: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320" w:top="456"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503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3503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220"/>
        <w:spacing w:after="0" w:line="239" w:lineRule="auto"/>
        <w:rPr>
          <w:sz w:val="20"/>
          <w:szCs w:val="20"/>
          <w:color w:val="auto"/>
        </w:rPr>
      </w:pPr>
      <w:r>
        <w:rPr>
          <w:rFonts w:ascii="Arial" w:cs="Arial" w:eastAsia="Arial" w:hAnsi="Arial"/>
          <w:sz w:val="18"/>
          <w:szCs w:val="18"/>
          <w:color w:val="auto"/>
        </w:rPr>
        <w:t>Class A common stock reserved for issuance under our 2021 Plan, as more fully described in the section titled “Executive Compensation—Equity Incentive Plans”; and</w:t>
      </w:r>
    </w:p>
    <w:p>
      <w:pPr>
        <w:spacing w:after="0" w:line="109" w:lineRule="exact"/>
        <w:rPr>
          <w:sz w:val="20"/>
          <w:szCs w:val="20"/>
          <w:color w:val="auto"/>
        </w:rPr>
      </w:pPr>
    </w:p>
    <w:p>
      <w:pPr>
        <w:ind w:left="1060" w:right="120" w:hanging="190"/>
        <w:spacing w:after="0" w:line="23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14" w:lineRule="exact"/>
        <w:rPr>
          <w:sz w:val="20"/>
          <w:szCs w:val="20"/>
          <w:color w:val="auto"/>
        </w:rPr>
      </w:pPr>
    </w:p>
    <w:p>
      <w:pPr>
        <w:ind w:left="1060" w:right="28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be in effect on the completion of this offering, and associated authorization of our Class A common stock and Class B common stock;</w:t>
      </w:r>
    </w:p>
    <w:p>
      <w:pPr>
        <w:spacing w:after="0" w:line="109"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our outstanding common stock into Class A common stock, which will occur immediately prior to the completion of this offering;</w:t>
      </w:r>
    </w:p>
    <w:p>
      <w:pPr>
        <w:spacing w:after="0" w:line="109" w:lineRule="exact"/>
        <w:rPr>
          <w:rFonts w:ascii="Arial" w:cs="Arial" w:eastAsia="Arial" w:hAnsi="Arial"/>
          <w:sz w:val="18"/>
          <w:szCs w:val="18"/>
          <w:color w:val="auto"/>
        </w:rPr>
      </w:pPr>
    </w:p>
    <w:p>
      <w:pPr>
        <w:ind w:left="1060" w:right="22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conversion of all of our outstanding convertible preferred stock into an equal number of shares of our Class A common stock, which will occur immediately prior to the completion of this offering;</w:t>
      </w:r>
    </w:p>
    <w:p>
      <w:pPr>
        <w:spacing w:after="0" w:line="109" w:lineRule="exact"/>
        <w:rPr>
          <w:rFonts w:ascii="Arial" w:cs="Arial" w:eastAsia="Arial" w:hAnsi="Arial"/>
          <w:sz w:val="18"/>
          <w:szCs w:val="18"/>
          <w:color w:val="auto"/>
        </w:rPr>
      </w:pPr>
    </w:p>
    <w:p>
      <w:pPr>
        <w:ind w:left="1060" w:hanging="190"/>
        <w:spacing w:after="0" w:line="23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exchange of an aggregate of 2,676,154 shares of Class A common stock held by our co-founders for an equivalent number of shares of our Class B common stock, which will occur immediately prior to the completion of this offering pursuant to the terms of an exchange agreement to be entered into with us;</w:t>
      </w:r>
    </w:p>
    <w:p>
      <w:pPr>
        <w:spacing w:after="0" w:line="108" w:lineRule="exact"/>
        <w:rPr>
          <w:rFonts w:ascii="Arial" w:cs="Arial" w:eastAsia="Arial" w:hAnsi="Arial"/>
          <w:sz w:val="18"/>
          <w:szCs w:val="18"/>
          <w:color w:val="auto"/>
        </w:rPr>
      </w:pPr>
    </w:p>
    <w:p>
      <w:pPr>
        <w:ind w:left="1060" w:right="40" w:hanging="190"/>
        <w:spacing w:after="0" w:line="23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shares of convertible preferred stock issuable upon exercise of outstanding warrants into an equal number of shares of our Class A common stock issuable upon exercise of warrants, which will occur immediately prior to the completion of this offering; and</w:t>
      </w:r>
    </w:p>
    <w:p>
      <w:pPr>
        <w:spacing w:after="0" w:line="108" w:lineRule="exact"/>
        <w:rPr>
          <w:rFonts w:ascii="Arial" w:cs="Arial" w:eastAsia="Arial" w:hAnsi="Arial"/>
          <w:sz w:val="18"/>
          <w:szCs w:val="18"/>
          <w:color w:val="auto"/>
        </w:rPr>
      </w:pPr>
    </w:p>
    <w:p>
      <w:pPr>
        <w:ind w:left="1060" w:right="2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up to an additional 1,031,250 shares of Class A common stock from us in this offering.</w:t>
      </w: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74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59740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2" w:lineRule="exact"/>
        <w:rPr>
          <w:sz w:val="20"/>
          <w:szCs w:val="20"/>
          <w:color w:val="auto"/>
        </w:rPr>
      </w:pPr>
    </w:p>
    <w:p>
      <w:pPr>
        <w:ind w:left="340" w:firstLine="527"/>
        <w:spacing w:after="0" w:line="245" w:lineRule="auto"/>
        <w:rPr>
          <w:sz w:val="20"/>
          <w:szCs w:val="20"/>
          <w:color w:val="auto"/>
        </w:rPr>
      </w:pPr>
      <w:r>
        <w:rPr>
          <w:rFonts w:ascii="Arial" w:cs="Arial" w:eastAsia="Arial" w:hAnsi="Arial"/>
          <w:sz w:val="16"/>
          <w:szCs w:val="16"/>
          <w:color w:val="auto"/>
        </w:rPr>
        <w:t>The summary consolidated statement of operations data for the years ended December 31, 2019 and December 31, 2020 have been derived from our audited consolidated financial statements included elsewhere in this prospectus. We have derived the summary consolidated statements of operations data for the three months ended March 31, 2020 and 2021 and the consolidated balance sheet data as of March 31, 2021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management’s opinion, are necessary to state fairly the information set forth in those consolidated financial statements. Our historical results are not necessarily indicative of the results that may be expected in the future and our results for the three months ended March 31, 2021 are not necessarily indicative of the results that may be expected for the full year ending December 31, 2021 or any other period.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The summary consolidated statement of operations data is not intended to replace the consolidated financial statements and the accompanying notes and are qualified in their entirety by our consolidated financial statements and the accompanying notes included elsewhere in the prospectus.</w:t>
      </w:r>
    </w:p>
    <w:p>
      <w:pPr>
        <w:sectPr>
          <w:pgSz w:w="11900" w:h="16838" w:orient="portrait"/>
          <w:cols w:equalWidth="0" w:num="1">
            <w:col w:w="10900"/>
          </w:cols>
          <w:pgMar w:left="320" w:top="456" w:right="679" w:bottom="1440" w:gutter="0" w:footer="0" w:header="0"/>
        </w:sect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p>
      <w:pPr>
        <w:ind w:left="5760"/>
        <w:spacing w:after="0"/>
        <w:tabs>
          <w:tab w:leader="none" w:pos="7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Quarter Ended March 31,</w:t>
      </w:r>
    </w:p>
    <w:p>
      <w:pPr>
        <w:spacing w:after="0" w:line="26"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960" w:space="720"/>
            <w:col w:w="2220"/>
          </w:cols>
          <w:pgMar w:left="320" w:top="456" w:right="679" w:bottom="1440" w:gutter="0" w:footer="0" w:header="0"/>
          <w:type w:val="continuous"/>
        </w:sectPr>
      </w:pPr>
    </w:p>
    <w:tbl>
      <w:tblPr>
        <w:tblLayout w:type="fixed"/>
        <w:tblInd w:w="360" w:type="dxa"/>
        <w:tblCellMar>
          <w:top w:w="0" w:type="dxa"/>
          <w:left w:w="0" w:type="dxa"/>
          <w:bottom w:w="0" w:type="dxa"/>
          <w:right w:w="0" w:type="dxa"/>
        </w:tblCellMar>
      </w:tblPr>
      <w:tr>
        <w:trPr>
          <w:trHeight w:val="141"/>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40"/>
              <w:spacing w:after="0" w:line="141" w:lineRule="exact"/>
              <w:rPr>
                <w:sz w:val="20"/>
                <w:szCs w:val="20"/>
                <w:color w:val="auto"/>
              </w:rPr>
            </w:pPr>
            <w:r>
              <w:rPr>
                <w:rFonts w:ascii="Arial" w:cs="Arial" w:eastAsia="Arial" w:hAnsi="Arial"/>
                <w:sz w:val="14"/>
                <w:szCs w:val="14"/>
                <w:b w:val="1"/>
                <w:bCs w:val="1"/>
                <w:color w:val="auto"/>
              </w:rPr>
              <w:t>(unaudited)</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80,228</w:t>
            </w: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141,406</w:t>
            </w:r>
          </w:p>
        </w:tc>
        <w:tc>
          <w:tcPr>
            <w:tcW w:w="28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26,689</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65,492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21,324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33,286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5,365</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14,599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22,567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4,730</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 and support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12,186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2,958</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60" w:type="dxa"/>
            <w:vAlign w:val="bottom"/>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62,502</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13,717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(30,549)</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(29,216)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(8,352)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(10,049)</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(241)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(1,089)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Total other expenses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(445)</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(1,869)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(31,085)</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Deemed dividend to preferred stockholders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(8,801)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(39,886)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60" w:type="dxa"/>
            <w:vAlign w:val="bottom"/>
          </w:tcPr>
          <w:p>
            <w:pPr>
              <w:spacing w:after="0" w:line="154" w:lineRule="exact"/>
              <w:rPr>
                <w:sz w:val="20"/>
                <w:szCs w:val="20"/>
                <w:color w:val="auto"/>
              </w:rPr>
            </w:pPr>
            <w:r>
              <w:rPr>
                <w:rFonts w:ascii="Arial" w:cs="Arial" w:eastAsia="Arial" w:hAnsi="Arial"/>
                <w:sz w:val="14"/>
                <w:szCs w:val="14"/>
                <w:color w:val="auto"/>
              </w:rPr>
              <w:t>Net loss per share attributable to common stockholders, basic and diluted</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(4.88)</w:t>
            </w:r>
          </w:p>
        </w:tc>
        <w:tc>
          <w:tcPr>
            <w:tcW w:w="5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(5.32)</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(1.17)</w:t>
            </w:r>
          </w:p>
        </w:tc>
        <w:tc>
          <w:tcPr>
            <w:tcW w:w="24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6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Weighted-average shares used to compute net loss per share attributable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shd w:val="clear" w:color="auto" w:fill="CCEEFF"/>
          </w:tcPr>
          <w:p>
            <w:pPr>
              <w:ind w:left="140"/>
              <w:spacing w:after="0" w:line="163" w:lineRule="exact"/>
              <w:rPr>
                <w:sz w:val="20"/>
                <w:szCs w:val="20"/>
                <w:color w:val="auto"/>
              </w:rPr>
            </w:pPr>
            <w:r>
              <w:rPr>
                <w:rFonts w:ascii="Arial" w:cs="Arial" w:eastAsia="Arial" w:hAnsi="Arial"/>
                <w:sz w:val="11"/>
                <w:szCs w:val="11"/>
                <w:color w:val="auto"/>
              </w:rPr>
              <w:t>to common stockholders, basic and diluted</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6,345,498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7,492,876</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7,354,673</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7,924,848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Pro forma earnings per share attributable to common stockholders, basic</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40"/>
              <w:spacing w:after="0" w:line="156" w:lineRule="exact"/>
              <w:rPr>
                <w:sz w:val="20"/>
                <w:szCs w:val="20"/>
                <w:color w:val="auto"/>
              </w:rPr>
            </w:pPr>
            <w:r>
              <w:rPr>
                <w:rFonts w:ascii="Arial" w:cs="Arial" w:eastAsia="Arial" w:hAnsi="Arial"/>
                <w:sz w:val="14"/>
                <w:szCs w:val="14"/>
                <w:color w:val="auto"/>
              </w:rPr>
              <w:t>and diluted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(1.17)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Weighted-average shares used to compute pro forma earnings per share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attributable to common stockholders, basic and diluted</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33,998,591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35,683,789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760" w:right="520" w:hanging="412"/>
        <w:spacing w:after="0" w:line="254"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included elsewhere in this prospectus for an explanation of the calculations of our basic and diluted earnings per share attributable to common stockholders, pro forma earnings per share</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6" w:right="6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82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59829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attributable to common stockholders and the weighted-average number of shares used in the computation of the per share amounts.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7"/>
        </w:trPr>
        <w:tc>
          <w:tcPr>
            <w:tcW w:w="49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tcPr>
          <w:p>
            <w:pPr>
              <w:jc w:val="right"/>
              <w:ind w:right="561"/>
              <w:spacing w:after="0" w:line="137" w:lineRule="exact"/>
              <w:rPr>
                <w:sz w:val="20"/>
                <w:szCs w:val="20"/>
                <w:color w:val="auto"/>
              </w:rPr>
            </w:pPr>
            <w:r>
              <w:rPr>
                <w:rFonts w:ascii="Arial" w:cs="Arial" w:eastAsia="Arial" w:hAnsi="Arial"/>
                <w:sz w:val="14"/>
                <w:szCs w:val="14"/>
                <w:b w:val="1"/>
                <w:bCs w:val="1"/>
                <w:color w:val="auto"/>
              </w:rPr>
              <w:t>Pro</w:t>
            </w:r>
          </w:p>
        </w:tc>
        <w:tc>
          <w:tcPr>
            <w:tcW w:w="10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1"/>
                <w:szCs w:val="11"/>
                <w:color w:val="auto"/>
              </w:rPr>
            </w:pPr>
          </w:p>
        </w:tc>
      </w:tr>
      <w:tr>
        <w:trPr>
          <w:trHeight w:val="177"/>
        </w:trPr>
        <w:tc>
          <w:tcPr>
            <w:tcW w:w="4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40" w:type="dxa"/>
            <w:vAlign w:val="bottom"/>
          </w:tcPr>
          <w:p>
            <w:pPr>
              <w:jc w:val="right"/>
              <w:ind w:right="249"/>
              <w:spacing w:after="0"/>
              <w:rPr>
                <w:sz w:val="20"/>
                <w:szCs w:val="20"/>
                <w:color w:val="auto"/>
              </w:rPr>
            </w:pPr>
            <w:r>
              <w:rPr>
                <w:rFonts w:ascii="Arial" w:cs="Arial" w:eastAsia="Arial" w:hAnsi="Arial"/>
                <w:sz w:val="14"/>
                <w:szCs w:val="14"/>
                <w:b w:val="1"/>
                <w:bCs w:val="1"/>
                <w:color w:val="auto"/>
              </w:rPr>
              <w:t>Actual</w:t>
            </w:r>
          </w:p>
        </w:tc>
        <w:tc>
          <w:tcPr>
            <w:tcW w:w="1480" w:type="dxa"/>
            <w:vAlign w:val="bottom"/>
          </w:tcPr>
          <w:p>
            <w:pPr>
              <w:jc w:val="right"/>
              <w:ind w:right="381"/>
              <w:spacing w:after="0" w:line="177" w:lineRule="exact"/>
              <w:rPr>
                <w:sz w:val="20"/>
                <w:szCs w:val="20"/>
                <w:color w:val="auto"/>
              </w:rPr>
            </w:pPr>
            <w:r>
              <w:rPr>
                <w:rFonts w:ascii="Arial" w:cs="Arial" w:eastAsia="Arial" w:hAnsi="Arial"/>
                <w:sz w:val="12"/>
                <w:szCs w:val="12"/>
                <w:b w:val="1"/>
                <w:bCs w:val="1"/>
                <w:color w:val="auto"/>
              </w:rPr>
              <w:t>Forma</w:t>
            </w:r>
            <w:r>
              <w:rPr>
                <w:rFonts w:ascii="Arial" w:cs="Arial" w:eastAsia="Arial" w:hAnsi="Arial"/>
                <w:sz w:val="20"/>
                <w:szCs w:val="20"/>
                <w:b w:val="1"/>
                <w:bCs w:val="1"/>
                <w:color w:val="auto"/>
                <w:vertAlign w:val="superscript"/>
              </w:rPr>
              <w:t>(1)</w:t>
            </w:r>
          </w:p>
        </w:tc>
        <w:tc>
          <w:tcPr>
            <w:tcW w:w="1060" w:type="dxa"/>
            <w:vAlign w:val="bottom"/>
            <w:gridSpan w:val="2"/>
          </w:tcPr>
          <w:p>
            <w:pPr>
              <w:jc w:val="center"/>
              <w:ind w:right="40"/>
              <w:spacing w:after="0" w:line="177"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41"/>
        </w:trPr>
        <w:tc>
          <w:tcPr>
            <w:tcW w:w="4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4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2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498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3020" w:type="dxa"/>
            <w:vAlign w:val="bottom"/>
            <w:gridSpan w:val="2"/>
          </w:tcPr>
          <w:p>
            <w:pPr>
              <w:jc w:val="right"/>
              <w:ind w:right="49"/>
              <w:spacing w:after="0" w:line="201" w:lineRule="exact"/>
              <w:rPr>
                <w:sz w:val="20"/>
                <w:szCs w:val="20"/>
                <w:color w:val="auto"/>
              </w:rPr>
            </w:pPr>
            <w:r>
              <w:rPr>
                <w:rFonts w:ascii="Arial" w:cs="Arial" w:eastAsia="Arial" w:hAnsi="Arial"/>
                <w:sz w:val="18"/>
                <w:szCs w:val="18"/>
                <w:color w:val="auto"/>
              </w:rPr>
              <w:t>$  49,512</w:t>
            </w:r>
          </w:p>
        </w:tc>
        <w:tc>
          <w:tcPr>
            <w:tcW w:w="1480" w:type="dxa"/>
            <w:vAlign w:val="bottom"/>
          </w:tcPr>
          <w:p>
            <w:pPr>
              <w:jc w:val="right"/>
              <w:ind w:right="361"/>
              <w:spacing w:after="0" w:line="201" w:lineRule="exact"/>
              <w:rPr>
                <w:sz w:val="20"/>
                <w:szCs w:val="20"/>
                <w:color w:val="auto"/>
              </w:rPr>
            </w:pPr>
            <w:r>
              <w:rPr>
                <w:rFonts w:ascii="Arial" w:cs="Arial" w:eastAsia="Arial" w:hAnsi="Arial"/>
                <w:sz w:val="18"/>
                <w:szCs w:val="18"/>
                <w:color w:val="auto"/>
              </w:rPr>
              <w:t>$49,512</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   311,785</w:t>
            </w:r>
          </w:p>
        </w:tc>
        <w:tc>
          <w:tcPr>
            <w:tcW w:w="60" w:type="dxa"/>
            <w:vAlign w:val="bottom"/>
          </w:tcPr>
          <w:p>
            <w:pPr>
              <w:spacing w:after="0"/>
              <w:rPr>
                <w:sz w:val="17"/>
                <w:szCs w:val="17"/>
                <w:color w:val="auto"/>
              </w:rPr>
            </w:pPr>
          </w:p>
        </w:tc>
      </w:tr>
      <w:tr>
        <w:trPr>
          <w:trHeight w:val="201"/>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assets</w:t>
            </w:r>
          </w:p>
        </w:tc>
        <w:tc>
          <w:tcPr>
            <w:tcW w:w="302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84,612</w:t>
            </w:r>
          </w:p>
        </w:tc>
        <w:tc>
          <w:tcPr>
            <w:tcW w:w="1480" w:type="dxa"/>
            <w:vAlign w:val="bottom"/>
            <w:shd w:val="clear" w:color="auto" w:fill="CCEEFF"/>
          </w:tcPr>
          <w:p>
            <w:pPr>
              <w:jc w:val="right"/>
              <w:ind w:right="361"/>
              <w:spacing w:after="0" w:line="201" w:lineRule="exact"/>
              <w:rPr>
                <w:sz w:val="20"/>
                <w:szCs w:val="20"/>
                <w:color w:val="auto"/>
              </w:rPr>
            </w:pPr>
            <w:r>
              <w:rPr>
                <w:rFonts w:ascii="Arial" w:cs="Arial" w:eastAsia="Arial" w:hAnsi="Arial"/>
                <w:sz w:val="18"/>
                <w:szCs w:val="18"/>
                <w:color w:val="auto"/>
              </w:rPr>
              <w:t>84,612</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346,885</w:t>
            </w:r>
          </w:p>
        </w:tc>
        <w:tc>
          <w:tcPr>
            <w:tcW w:w="60" w:type="dxa"/>
            <w:vAlign w:val="bottom"/>
            <w:shd w:val="clear" w:color="auto" w:fill="CCEEFF"/>
          </w:tcPr>
          <w:p>
            <w:pPr>
              <w:spacing w:after="0"/>
              <w:rPr>
                <w:sz w:val="17"/>
                <w:szCs w:val="17"/>
                <w:color w:val="auto"/>
              </w:rPr>
            </w:pPr>
          </w:p>
        </w:tc>
      </w:tr>
      <w:tr>
        <w:trPr>
          <w:trHeight w:val="201"/>
        </w:trPr>
        <w:tc>
          <w:tcPr>
            <w:tcW w:w="4980" w:type="dxa"/>
            <w:vAlign w:val="bottom"/>
          </w:tcPr>
          <w:p>
            <w:pPr>
              <w:spacing w:after="0" w:line="201"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020" w:type="dxa"/>
            <w:vAlign w:val="bottom"/>
            <w:gridSpan w:val="2"/>
          </w:tcPr>
          <w:p>
            <w:pPr>
              <w:jc w:val="right"/>
              <w:ind w:right="49"/>
              <w:spacing w:after="0" w:line="201" w:lineRule="exact"/>
              <w:rPr>
                <w:sz w:val="20"/>
                <w:szCs w:val="20"/>
                <w:color w:val="auto"/>
              </w:rPr>
            </w:pPr>
            <w:r>
              <w:rPr>
                <w:rFonts w:ascii="Arial" w:cs="Arial" w:eastAsia="Arial" w:hAnsi="Arial"/>
                <w:sz w:val="18"/>
                <w:szCs w:val="18"/>
                <w:color w:val="auto"/>
              </w:rPr>
              <w:t>30,319</w:t>
            </w:r>
          </w:p>
        </w:tc>
        <w:tc>
          <w:tcPr>
            <w:tcW w:w="1480" w:type="dxa"/>
            <w:vAlign w:val="bottom"/>
          </w:tcPr>
          <w:p>
            <w:pPr>
              <w:jc w:val="right"/>
              <w:ind w:right="361"/>
              <w:spacing w:after="0" w:line="201" w:lineRule="exact"/>
              <w:rPr>
                <w:sz w:val="20"/>
                <w:szCs w:val="20"/>
                <w:color w:val="auto"/>
              </w:rPr>
            </w:pPr>
            <w:r>
              <w:rPr>
                <w:rFonts w:ascii="Arial" w:cs="Arial" w:eastAsia="Arial" w:hAnsi="Arial"/>
                <w:sz w:val="18"/>
                <w:szCs w:val="18"/>
                <w:color w:val="auto"/>
              </w:rPr>
              <w:t>30,319</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308,401</w:t>
            </w:r>
          </w:p>
        </w:tc>
        <w:tc>
          <w:tcPr>
            <w:tcW w:w="60" w:type="dxa"/>
            <w:vAlign w:val="bottom"/>
          </w:tcPr>
          <w:p>
            <w:pPr>
              <w:spacing w:after="0"/>
              <w:rPr>
                <w:sz w:val="17"/>
                <w:szCs w:val="17"/>
                <w:color w:val="auto"/>
              </w:rPr>
            </w:pPr>
          </w:p>
        </w:tc>
      </w:tr>
      <w:tr>
        <w:trPr>
          <w:trHeight w:val="201"/>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w:t>
            </w:r>
          </w:p>
        </w:tc>
        <w:tc>
          <w:tcPr>
            <w:tcW w:w="302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160,713</w:t>
            </w:r>
          </w:p>
        </w:tc>
        <w:tc>
          <w:tcPr>
            <w:tcW w:w="1480" w:type="dxa"/>
            <w:vAlign w:val="bottom"/>
            <w:shd w:val="clear" w:color="auto" w:fill="CCEEFF"/>
          </w:tcPr>
          <w:p>
            <w:pPr>
              <w:jc w:val="right"/>
              <w:ind w:right="361"/>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(120,369)</w:t>
            </w:r>
          </w:p>
        </w:tc>
        <w:tc>
          <w:tcPr>
            <w:tcW w:w="1480" w:type="dxa"/>
            <w:vAlign w:val="bottom"/>
          </w:tcPr>
          <w:p>
            <w:pPr>
              <w:jc w:val="right"/>
              <w:ind w:right="361"/>
              <w:spacing w:after="0"/>
              <w:rPr>
                <w:sz w:val="20"/>
                <w:szCs w:val="20"/>
                <w:color w:val="auto"/>
              </w:rPr>
            </w:pPr>
            <w:r>
              <w:rPr>
                <w:rFonts w:ascii="Arial" w:cs="Arial" w:eastAsia="Arial" w:hAnsi="Arial"/>
                <w:sz w:val="18"/>
                <w:szCs w:val="18"/>
                <w:color w:val="auto"/>
              </w:rPr>
              <w:t>40,344</w:t>
            </w:r>
          </w:p>
        </w:tc>
        <w:tc>
          <w:tcPr>
            <w:tcW w:w="1000" w:type="dxa"/>
            <w:vAlign w:val="bottom"/>
          </w:tcPr>
          <w:p>
            <w:pPr>
              <w:jc w:val="right"/>
              <w:spacing w:after="0"/>
              <w:rPr>
                <w:sz w:val="20"/>
                <w:szCs w:val="20"/>
                <w:color w:val="auto"/>
              </w:rPr>
            </w:pPr>
            <w:r>
              <w:rPr>
                <w:rFonts w:ascii="Arial" w:cs="Arial" w:eastAsia="Arial" w:hAnsi="Arial"/>
                <w:sz w:val="18"/>
                <w:szCs w:val="18"/>
                <w:color w:val="auto"/>
              </w:rPr>
              <w:t>302,617</w:t>
            </w:r>
          </w:p>
        </w:tc>
        <w:tc>
          <w:tcPr>
            <w:tcW w:w="60" w:type="dxa"/>
            <w:vAlign w:val="bottom"/>
          </w:tcPr>
          <w:p>
            <w:pPr>
              <w:spacing w:after="0"/>
              <w:rPr>
                <w:sz w:val="18"/>
                <w:szCs w:val="18"/>
                <w:color w:val="auto"/>
              </w:rPr>
            </w:pPr>
          </w:p>
        </w:tc>
      </w:tr>
    </w:tbl>
    <w:p>
      <w:pPr>
        <w:spacing w:after="0" w:line="179" w:lineRule="exact"/>
        <w:rPr>
          <w:sz w:val="20"/>
          <w:szCs w:val="20"/>
          <w:color w:val="auto"/>
        </w:rPr>
      </w:pPr>
    </w:p>
    <w:p>
      <w:pPr>
        <w:ind w:left="760" w:right="120" w:hanging="412"/>
        <w:spacing w:after="0" w:line="239"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(a) the reclassification of our outstanding common stock into Class A common stock, (b) the automatic conversion of all of our outstanding shares of convertible preferred stock into an aggregate of 27,758,941 shares of Class A common stock in connection with this offering, (c) the exchange of an aggregate of 2,676,154 shares of Class A common stock held by our co-founders for an equivalent number of shares of our Class B common stock pursuant to the terms of an exchange agreement to be entered into with us, and (d) the filing and effectiveness of our amended and restated certificate of incorporation that will be in effect on the completion of this offering.</w:t>
      </w:r>
    </w:p>
    <w:p>
      <w:pPr>
        <w:ind w:left="760" w:right="80" w:hanging="412"/>
        <w:spacing w:after="0" w:line="239"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items described in footnote (1) above, (b) our receipt of estimated net proceeds from the sale of shares of Class A common stock that we are offering at the initial public offering price of $44.00 per share, after deducting the underwriting discounts and commissions and estimated offering expenses and (c) repayment of our outstanding indebtedness under our Amended Loan and Security Agreement, as described in “Use of Proceeds.”</w:t>
      </w:r>
    </w:p>
    <w:p>
      <w:pPr>
        <w:ind w:left="760" w:hanging="412"/>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March 31,</w:t>
            </w:r>
          </w:p>
        </w:tc>
      </w:tr>
      <w:tr>
        <w:trPr>
          <w:trHeight w:val="154"/>
        </w:trPr>
        <w:tc>
          <w:tcPr>
            <w:tcW w:w="5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Borders>
              <w:top w:val="single" w:sz="8" w:color="auto"/>
            </w:tcBorders>
          </w:tcPr>
          <w:p>
            <w:pPr>
              <w:jc w:val="right"/>
              <w:ind w:right="149"/>
              <w:spacing w:after="0" w:line="154"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00"/>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880" w:type="dxa"/>
            <w:vAlign w:val="bottom"/>
            <w:gridSpan w:val="2"/>
          </w:tcPr>
          <w:p>
            <w:pPr>
              <w:jc w:val="right"/>
              <w:ind w:right="109"/>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81"/>
        </w:trPr>
        <w:tc>
          <w:tcPr>
            <w:tcW w:w="58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Key Operational and Business Metrics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Active Buyers</w:t>
            </w:r>
          </w:p>
        </w:tc>
        <w:tc>
          <w:tcPr>
            <w:tcW w:w="224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11,527</w:t>
            </w:r>
          </w:p>
        </w:tc>
        <w:tc>
          <w:tcPr>
            <w:tcW w:w="132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21,128</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24,160</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Revenue from Existing Accounts</w:t>
            </w:r>
          </w:p>
        </w:tc>
        <w:tc>
          <w:tcPr>
            <w:tcW w:w="224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w:t>
            </w:r>
          </w:p>
        </w:tc>
        <w:tc>
          <w:tcPr>
            <w:tcW w:w="132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95%</w:t>
            </w:r>
          </w:p>
        </w:tc>
        <w:tc>
          <w:tcPr>
            <w:tcW w:w="11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95%</w:t>
            </w: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Accounts with Last Twelve-Month Spend of at least $50,000</w:t>
            </w:r>
          </w:p>
        </w:tc>
        <w:tc>
          <w:tcPr>
            <w:tcW w:w="1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266</w:t>
            </w:r>
          </w:p>
        </w:tc>
        <w:tc>
          <w:tcPr>
            <w:tcW w:w="36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389</w:t>
            </w:r>
          </w:p>
        </w:tc>
        <w:tc>
          <w:tcPr>
            <w:tcW w:w="380" w:type="dxa"/>
            <w:vAlign w:val="bottom"/>
          </w:tcPr>
          <w:p>
            <w:pPr>
              <w:spacing w:after="0"/>
              <w:rPr>
                <w:sz w:val="17"/>
                <w:szCs w:val="17"/>
                <w:color w:val="auto"/>
              </w:rPr>
            </w:pP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224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$(26,439)</w:t>
            </w:r>
          </w:p>
        </w:tc>
        <w:tc>
          <w:tcPr>
            <w:tcW w:w="132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$(23,498)</w:t>
            </w:r>
          </w:p>
        </w:tc>
        <w:tc>
          <w:tcPr>
            <w:tcW w:w="11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 (8,810)</w:t>
            </w:r>
          </w:p>
        </w:tc>
      </w:tr>
    </w:tbl>
    <w:p>
      <w:pPr>
        <w:spacing w:after="0" w:line="179" w:lineRule="exact"/>
        <w:rPr>
          <w:sz w:val="20"/>
          <w:szCs w:val="20"/>
          <w:color w:val="auto"/>
        </w:rPr>
      </w:pPr>
    </w:p>
    <w:p>
      <w:pPr>
        <w:ind w:left="760" w:right="40" w:hanging="412"/>
        <w:spacing w:after="0" w:line="239"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for Active Buyers and Accounts with Last Twelve-Month Spend of at least $50,000 are as of December 31, 2019 and 2020 and March 31, 2021, and Percentage of Revenue from Existing Accounts is presented for the quarters ended December 31, 2019 and 2020 and March 31, 2021. Adjusted EBITDA is presented for the years ended December 31, 2019 and 2020 and the quarter ended March 31, 2021. See the section titled “Management’s Discussion and Analysis of Financial Condition and Results of Operations—Key Operational and Business Metrics” included elsewhere in this prospectus for our definitions of these metrics.</w:t>
      </w:r>
    </w:p>
    <w:p>
      <w:pPr>
        <w:ind w:left="760" w:right="200" w:hanging="412"/>
        <w:spacing w:after="0" w:line="246"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EBITDA is a non-GAAP financial measure. We define Adjusted EBITDA as net income (loss), adjusted to exclude interest and other expense, depreciation and amortization, stock-based compensation expense and goodwill and intangible asset impairment charges. Adjusted EBITDA is a performance measure that we use to assess our operating performance and the operating leverage in our business.</w:t>
      </w:r>
    </w:p>
    <w:p>
      <w:pPr>
        <w:spacing w:after="0" w:line="106" w:lineRule="exact"/>
        <w:rPr>
          <w:rFonts w:ascii="Arial" w:cs="Arial" w:eastAsia="Arial" w:hAnsi="Arial"/>
          <w:sz w:val="14"/>
          <w:szCs w:val="14"/>
          <w:color w:val="auto"/>
        </w:rPr>
      </w:pPr>
    </w:p>
    <w:p>
      <w:pPr>
        <w:ind w:left="760" w:right="80"/>
        <w:spacing w:after="0" w:line="242" w:lineRule="auto"/>
        <w:rPr>
          <w:rFonts w:ascii="Arial" w:cs="Arial" w:eastAsia="Arial" w:hAnsi="Arial"/>
          <w:sz w:val="14"/>
          <w:szCs w:val="14"/>
          <w:color w:val="auto"/>
        </w:rPr>
      </w:pPr>
      <w:r>
        <w:rPr>
          <w:rFonts w:ascii="Arial" w:cs="Arial" w:eastAsia="Arial" w:hAnsi="Arial"/>
          <w:sz w:val="14"/>
          <w:szCs w:val="14"/>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109" w:lineRule="exact"/>
        <w:rPr>
          <w:rFonts w:ascii="Arial" w:cs="Arial" w:eastAsia="Arial" w:hAnsi="Arial"/>
          <w:sz w:val="14"/>
          <w:szCs w:val="14"/>
          <w:color w:val="auto"/>
        </w:rPr>
      </w:pPr>
    </w:p>
    <w:p>
      <w:pPr>
        <w:ind w:left="760" w:right="360"/>
        <w:spacing w:after="0" w:line="246" w:lineRule="auto"/>
        <w:rPr>
          <w:rFonts w:ascii="Arial" w:cs="Arial" w:eastAsia="Arial" w:hAnsi="Arial"/>
          <w:sz w:val="14"/>
          <w:szCs w:val="14"/>
          <w:color w:val="auto"/>
        </w:rPr>
      </w:pPr>
      <w:r>
        <w:rPr>
          <w:rFonts w:ascii="Arial" w:cs="Arial" w:eastAsia="Arial" w:hAnsi="Arial"/>
          <w:sz w:val="14"/>
          <w:szCs w:val="14"/>
          <w:color w:val="auto"/>
        </w:rPr>
        <w:t>We compensate for these limitations by providing a reconciliation of Adjusted EBITDA to net loss, the most related GAAP financial measure. We encourage investors and others to review our business, results of operations, and financial information in its entirety, not to rely on any single financial measure. The following tables provide a reconciliation of net loss to Adjusted EBITDA:</w:t>
      </w:r>
    </w:p>
    <w:p>
      <w:pPr>
        <w:spacing w:after="0" w:line="3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6" w:right="6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1702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1702435"/>
                    </a:xfrm>
                    <a:prstGeom prst="rect">
                      <a:avLst/>
                    </a:prstGeom>
                    <a:noFill/>
                  </pic:spPr>
                </pic:pic>
              </a:graphicData>
            </a:graphic>
          </wp:anchor>
        </w:drawing>
      </w:r>
    </w:p>
    <w:p>
      <w:pPr>
        <w:sectPr>
          <w:pgSz w:w="11900" w:h="16838" w:orient="portrait"/>
          <w:cols w:equalWidth="0" w:num="1">
            <w:col w:w="10840"/>
          </w:cols>
          <w:pgMar w:left="320" w:top="45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Adjusted EBITDA Reconciliation:</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loss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w:t>
      </w:r>
    </w:p>
    <w:p>
      <w:pPr>
        <w:ind w:left="640"/>
        <w:spacing w:after="0"/>
        <w:rPr>
          <w:sz w:val="20"/>
          <w:szCs w:val="20"/>
          <w:color w:val="auto"/>
        </w:rPr>
      </w:pPr>
      <w:r>
        <w:rPr>
          <w:rFonts w:ascii="Arial" w:cs="Arial" w:eastAsia="Arial" w:hAnsi="Arial"/>
          <w:sz w:val="14"/>
          <w:szCs w:val="14"/>
          <w:color w:val="auto"/>
        </w:rPr>
        <w:t>Interest and other expense</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Depreciation and amortization</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Stock-based compensation</w:t>
      </w:r>
    </w:p>
    <w:p>
      <w:pPr>
        <w:spacing w:after="0" w:line="40" w:lineRule="exact"/>
        <w:rPr>
          <w:sz w:val="20"/>
          <w:szCs w:val="20"/>
          <w:color w:val="auto"/>
        </w:rPr>
      </w:pPr>
    </w:p>
    <w:p>
      <w:pPr>
        <w:ind w:left="360" w:right="1220" w:firstLine="285"/>
        <w:spacing w:after="0" w:line="294" w:lineRule="auto"/>
        <w:rPr>
          <w:sz w:val="20"/>
          <w:szCs w:val="20"/>
          <w:color w:val="auto"/>
        </w:rPr>
      </w:pPr>
      <w:r>
        <w:rPr>
          <w:rFonts w:ascii="Arial" w:cs="Arial" w:eastAsia="Arial" w:hAnsi="Arial"/>
          <w:sz w:val="14"/>
          <w:szCs w:val="14"/>
          <w:color w:val="auto"/>
        </w:rPr>
        <w:t>Impairment of goodwill and intangible assets 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54"/>
        </w:trPr>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(30,994)</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(31,085)</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(8,607)</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255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1,847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689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544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148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1,719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1,592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line="164"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line="16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(26,439)</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(23,498)</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(7,515)</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60" w:space="720"/>
            <w:col w:w="5460"/>
          </w:cols>
          <w:pgMar w:left="320" w:top="456" w:right="739" w:bottom="1440" w:gutter="0" w:footer="0" w:header="0"/>
          <w:type w:val="continuous"/>
        </w:sect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40"/>
          </w:cols>
          <w:pgMar w:left="320" w:top="456" w:right="7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Our Business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have incurred net losses since our inception in 2013. We incurred a net loss of $31.1 million in 2020 and $31.0 million in 2019, and a net loss of $10.5 million for the three months ended March 31, 2021, and we expect to incur net losses for the foreseeable future. As a result of these losses, as of March 31, 2021, we had an accumulated deficit of $122.5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We have grown rapidly over the last several years, but our recent revenue growth rate and financial performance should not be considered indicative of our future performance. In 2020 and 2019, our revenue was $141.4 million and $80.2 million, respectively, representing a 76% growth rate. During the three months ended March 31, 2021 and March 31, 2020, our revenue was $43.9 million and $26.7 million, respectively, representing a growth rate of 65%. In addition, in 2020, unlike in many other industries, the COVID-19 pandemic contributed to an increase in our revenue, particularly in the third quarter of 2020. The circumstances that have accelerated the growth of our business stemming from the effects of 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6"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adversely affected.</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2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109" w:lineRule="exact"/>
        <w:rPr>
          <w:sz w:val="20"/>
          <w:szCs w:val="20"/>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sellers;</w:t>
      </w:r>
    </w:p>
    <w:p>
      <w:pPr>
        <w:spacing w:after="0" w:line="125" w:lineRule="exact"/>
        <w:rPr>
          <w:rFonts w:ascii="Arial" w:cs="Arial" w:eastAsia="Arial" w:hAnsi="Arial"/>
          <w:sz w:val="17"/>
          <w:szCs w:val="17"/>
          <w:color w:val="auto"/>
        </w:rPr>
      </w:pPr>
    </w:p>
    <w:p>
      <w:pPr>
        <w:ind w:left="920" w:right="12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109" w:lineRule="exact"/>
        <w:rPr>
          <w:rFonts w:ascii="Arial" w:cs="Arial" w:eastAsia="Arial" w:hAnsi="Arial"/>
          <w:sz w:val="18"/>
          <w:szCs w:val="18"/>
          <w:color w:val="auto"/>
        </w:rPr>
      </w:pPr>
    </w:p>
    <w:p>
      <w:pPr>
        <w:ind w:left="5520" w:right="120" w:hanging="4818"/>
        <w:spacing w:after="0" w:line="410" w:lineRule="auto"/>
        <w:tabs>
          <w:tab w:leader="none" w:pos="9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 19</w:t>
      </w:r>
    </w:p>
    <w:p>
      <w:pPr>
        <w:sectPr>
          <w:pgSz w:w="11900" w:h="16838" w:orient="portrait"/>
          <w:cols w:equalWidth="0" w:num="1">
            <w:col w:w="11020"/>
          </w:cols>
          <w:pgMar w:left="320" w:top="456"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4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13" w:lineRule="exact"/>
        <w:rPr>
          <w:rFonts w:ascii="Arial" w:cs="Arial" w:eastAsia="Arial" w:hAnsi="Arial"/>
          <w:sz w:val="18"/>
          <w:szCs w:val="18"/>
          <w:color w:val="auto"/>
        </w:rPr>
      </w:pPr>
    </w:p>
    <w:p>
      <w:pPr>
        <w:ind w:left="920" w:right="42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109" w:lineRule="exact"/>
        <w:rPr>
          <w:rFonts w:ascii="Arial" w:cs="Arial" w:eastAsia="Arial" w:hAnsi="Arial"/>
          <w:sz w:val="18"/>
          <w:szCs w:val="18"/>
          <w:color w:val="auto"/>
        </w:rPr>
      </w:pPr>
    </w:p>
    <w:p>
      <w:pPr>
        <w:ind w:left="920" w:right="20" w:hanging="218"/>
        <w:spacing w:after="0" w:line="236"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08"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287"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6"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96"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289"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20" w:firstLine="546"/>
        <w:spacing w:after="0" w:line="237" w:lineRule="auto"/>
        <w:rPr>
          <w:sz w:val="20"/>
          <w:szCs w:val="20"/>
          <w:color w:val="auto"/>
        </w:rPr>
      </w:pPr>
      <w:r>
        <w:rPr>
          <w:rFonts w:ascii="Arial" w:cs="Arial" w:eastAsia="Arial" w:hAnsi="Arial"/>
          <w:sz w:val="18"/>
          <w:szCs w:val="18"/>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210" w:lineRule="exact"/>
        <w:rPr>
          <w:sz w:val="20"/>
          <w:szCs w:val="20"/>
          <w:color w:val="auto"/>
        </w:rPr>
      </w:pPr>
    </w:p>
    <w:p>
      <w:pPr>
        <w:ind w:left="160" w:right="20" w:firstLine="546"/>
        <w:spacing w:after="0" w:line="249" w:lineRule="auto"/>
        <w:rPr>
          <w:sz w:val="20"/>
          <w:szCs w:val="20"/>
          <w:color w:val="auto"/>
        </w:rPr>
      </w:pPr>
      <w:r>
        <w:rPr>
          <w:rFonts w:ascii="Arial" w:cs="Arial" w:eastAsia="Arial" w:hAnsi="Arial"/>
          <w:sz w:val="17"/>
          <w:szCs w:val="17"/>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94"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5"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29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287"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20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6"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209" w:lineRule="exact"/>
        <w:rPr>
          <w:sz w:val="20"/>
          <w:szCs w:val="20"/>
          <w:color w:val="auto"/>
        </w:rPr>
      </w:pPr>
    </w:p>
    <w:p>
      <w:pPr>
        <w:ind w:left="160" w:right="120" w:firstLine="546"/>
        <w:spacing w:after="0" w:line="233" w:lineRule="auto"/>
        <w:rPr>
          <w:sz w:val="20"/>
          <w:szCs w:val="20"/>
          <w:color w:val="auto"/>
        </w:rPr>
      </w:pPr>
      <w:r>
        <w:rPr>
          <w:rFonts w:ascii="Arial" w:cs="Arial" w:eastAsia="Arial" w:hAnsi="Arial"/>
          <w:sz w:val="18"/>
          <w:szCs w:val="18"/>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288"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87"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200"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6"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202" w:lineRule="exact"/>
        <w:rPr>
          <w:sz w:val="20"/>
          <w:szCs w:val="20"/>
          <w:color w:val="auto"/>
        </w:rPr>
      </w:pPr>
    </w:p>
    <w:p>
      <w:pPr>
        <w:ind w:left="160" w:right="40" w:firstLine="546"/>
        <w:spacing w:after="0" w:line="232" w:lineRule="auto"/>
        <w:rPr>
          <w:sz w:val="20"/>
          <w:szCs w:val="20"/>
          <w:color w:val="auto"/>
        </w:rPr>
      </w:pPr>
      <w:r>
        <w:rPr>
          <w:rFonts w:ascii="Arial" w:cs="Arial" w:eastAsia="Arial" w:hAnsi="Arial"/>
          <w:sz w:val="18"/>
          <w:szCs w:val="18"/>
          <w:color w:val="auto"/>
        </w:rPr>
        <w:t>Additionally, our third-party payment processor requires us to comply with payment card network operating rules, which are set and interpreted by the payment card networks. The payment card networks could adopt new operating rules or</w:t>
      </w:r>
    </w:p>
    <w:p>
      <w:pPr>
        <w:spacing w:after="0" w:line="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2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card networks could refuse to allow us to process through their networks. Any of the foregoing could materially adversely impact our business, financial condition or results of operations.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289"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73"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97"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80"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11" w:lineRule="exact"/>
        <w:rPr>
          <w:sz w:val="20"/>
          <w:szCs w:val="20"/>
          <w:color w:val="auto"/>
        </w:rPr>
      </w:pPr>
    </w:p>
    <w:p>
      <w:pPr>
        <w:ind w:left="920" w:right="18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109" w:lineRule="exact"/>
        <w:rPr>
          <w:rFonts w:ascii="Arial" w:cs="Arial" w:eastAsia="Arial" w:hAnsi="Arial"/>
          <w:sz w:val="18"/>
          <w:szCs w:val="18"/>
          <w:color w:val="auto"/>
        </w:rPr>
      </w:pPr>
    </w:p>
    <w:p>
      <w:pPr>
        <w:ind w:left="920" w:right="240" w:hanging="218"/>
        <w:spacing w:after="0" w:line="268"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5" w:lineRule="exact"/>
        <w:rPr>
          <w:rFonts w:ascii="Arial" w:cs="Arial" w:eastAsia="Arial" w:hAnsi="Arial"/>
          <w:sz w:val="17"/>
          <w:szCs w:val="17"/>
          <w:color w:val="auto"/>
        </w:rPr>
      </w:pPr>
    </w:p>
    <w:p>
      <w:pPr>
        <w:ind w:left="920" w:right="620" w:hanging="218"/>
        <w:spacing w:after="0" w:line="23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108"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109" w:lineRule="exact"/>
        <w:rPr>
          <w:rFonts w:ascii="Arial" w:cs="Arial" w:eastAsia="Arial" w:hAnsi="Arial"/>
          <w:sz w:val="18"/>
          <w:szCs w:val="18"/>
          <w:color w:val="auto"/>
        </w:rPr>
      </w:pPr>
    </w:p>
    <w:p>
      <w:pPr>
        <w:ind w:left="920" w:right="120" w:hanging="218"/>
        <w:spacing w:after="0" w:line="23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109"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87" w:lineRule="exact"/>
        <w:rPr>
          <w:sz w:val="20"/>
          <w:szCs w:val="20"/>
          <w:color w:val="auto"/>
        </w:rPr>
      </w:pPr>
    </w:p>
    <w:p>
      <w:pPr>
        <w:ind w:left="160" w:right="200"/>
        <w:spacing w:after="0" w:line="270" w:lineRule="auto"/>
        <w:rPr>
          <w:sz w:val="20"/>
          <w:szCs w:val="20"/>
          <w:color w:val="auto"/>
        </w:rPr>
      </w:pPr>
      <w:r>
        <w:rPr>
          <w:rFonts w:ascii="Arial" w:cs="Arial" w:eastAsia="Arial" w:hAnsi="Arial"/>
          <w:sz w:val="17"/>
          <w:szCs w:val="17"/>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71"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9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The extent to which the COVID-19 pandemic, any future variants of the COVID-19 pandemic,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206"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have started to enable sellers to access our platform via a mobile browser, which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we believe is important to the growth of our business by adding sellers to our marketplace and enabling faster seller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7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02" w:lineRule="exact"/>
        <w:rPr>
          <w:sz w:val="20"/>
          <w:szCs w:val="20"/>
          <w:color w:val="auto"/>
        </w:rPr>
      </w:pPr>
    </w:p>
    <w:p>
      <w:pPr>
        <w:ind w:left="160" w:right="100" w:firstLine="546"/>
        <w:spacing w:after="0" w:line="233" w:lineRule="auto"/>
        <w:rPr>
          <w:sz w:val="20"/>
          <w:szCs w:val="20"/>
          <w:color w:val="auto"/>
        </w:rPr>
      </w:pPr>
      <w:r>
        <w:rPr>
          <w:rFonts w:ascii="Arial" w:cs="Arial" w:eastAsia="Arial" w:hAnsi="Arial"/>
          <w:sz w:val="18"/>
          <w:szCs w:val="18"/>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210"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287"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87"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203" w:lineRule="exact"/>
        <w:rPr>
          <w:sz w:val="20"/>
          <w:szCs w:val="20"/>
          <w:color w:val="auto"/>
        </w:rPr>
      </w:pPr>
    </w:p>
    <w:p>
      <w:pPr>
        <w:ind w:left="160" w:right="180" w:firstLine="546"/>
        <w:spacing w:after="0" w:line="248"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6"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Further, the exit of the United Kingdom, or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210"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Additionally, California passed the California Consumer Privacy Act, or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or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201"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6" w:right="5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10"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6"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287" w:lineRule="exact"/>
        <w:rPr>
          <w:sz w:val="20"/>
          <w:szCs w:val="20"/>
          <w:color w:val="auto"/>
        </w:rPr>
      </w:pPr>
    </w:p>
    <w:p>
      <w:pPr>
        <w:ind w:left="160" w:right="760"/>
        <w:spacing w:after="0" w:line="265"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210"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 Negative perception of our platform, marketplace or company may harm our reputation, brand, and network effects, including as a result of:</w:t>
      </w:r>
    </w:p>
    <w:p>
      <w:pPr>
        <w:spacing w:after="0" w:line="109" w:lineRule="exact"/>
        <w:rPr>
          <w:sz w:val="20"/>
          <w:szCs w:val="20"/>
          <w:color w:val="auto"/>
        </w:rPr>
      </w:pPr>
    </w:p>
    <w:p>
      <w:pPr>
        <w:ind w:left="920" w:right="16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fraud;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pandemic or an outbreak of disease linked to us;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13" w:lineRule="exact"/>
        <w:rPr>
          <w:rFonts w:ascii="Arial" w:cs="Arial" w:eastAsia="Arial" w:hAnsi="Arial"/>
          <w:sz w:val="18"/>
          <w:szCs w:val="18"/>
          <w:color w:val="auto"/>
        </w:rPr>
      </w:pPr>
    </w:p>
    <w:p>
      <w:pPr>
        <w:ind w:left="920" w:right="380" w:hanging="218"/>
        <w:spacing w:after="0" w:line="23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13" w:lineRule="exact"/>
        <w:rPr>
          <w:rFonts w:ascii="Arial" w:cs="Arial" w:eastAsia="Arial" w:hAnsi="Arial"/>
          <w:sz w:val="18"/>
          <w:szCs w:val="18"/>
          <w:color w:val="auto"/>
        </w:rPr>
      </w:pPr>
    </w:p>
    <w:p>
      <w:pPr>
        <w:ind w:left="920" w:right="4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6"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109" w:lineRule="exact"/>
        <w:rPr>
          <w:rFonts w:ascii="Arial" w:cs="Arial" w:eastAsia="Arial" w:hAnsi="Arial"/>
          <w:sz w:val="18"/>
          <w:szCs w:val="18"/>
          <w:color w:val="auto"/>
        </w:rPr>
      </w:pPr>
    </w:p>
    <w:p>
      <w:pPr>
        <w:ind w:left="920" w:right="70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288"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7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109" w:lineRule="exact"/>
        <w:rPr>
          <w:sz w:val="20"/>
          <w:szCs w:val="20"/>
          <w:color w:val="auto"/>
        </w:rPr>
      </w:pPr>
    </w:p>
    <w:p>
      <w:pPr>
        <w:ind w:left="920" w:right="4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If we are not able to maintain and evolve our culture, our business, financial condition, and results of operations could be adversely affected.</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7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320" w:top="456"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288"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b w:val="1"/>
          <w:bCs w:val="1"/>
          <w:i w:val="1"/>
          <w:iCs w:val="1"/>
          <w:color w:val="auto"/>
        </w:rPr>
        <w:t>Our business is subject to a variety of laws and regulations, both in the United States and internationally, many of which are evolving.</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21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29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r>
        <w:rPr>
          <w:rFonts w:ascii="Arial" w:cs="Arial" w:eastAsia="Arial" w:hAnsi="Arial"/>
          <w:sz w:val="18"/>
          <w:szCs w:val="18"/>
          <w:b w:val="1"/>
          <w:bCs w:val="1"/>
          <w:color w:val="auto"/>
        </w:rPr>
        <w:t>.</w:t>
      </w:r>
    </w:p>
    <w:p>
      <w:pPr>
        <w:spacing w:after="0" w:line="87"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203" w:lineRule="exact"/>
        <w:rPr>
          <w:sz w:val="20"/>
          <w:szCs w:val="20"/>
          <w:color w:val="auto"/>
        </w:rPr>
      </w:pPr>
    </w:p>
    <w:p>
      <w:pPr>
        <w:ind w:left="160" w:right="480" w:firstLine="546"/>
        <w:spacing w:after="0" w:line="246" w:lineRule="auto"/>
        <w:rPr>
          <w:sz w:val="20"/>
          <w:szCs w:val="20"/>
          <w:color w:val="auto"/>
        </w:rPr>
      </w:pPr>
      <w:r>
        <w:rPr>
          <w:rFonts w:ascii="Arial" w:cs="Arial" w:eastAsia="Arial" w:hAnsi="Arial"/>
          <w:sz w:val="17"/>
          <w:szCs w:val="17"/>
          <w:color w:val="auto"/>
        </w:rPr>
        <w:t>In particular, our operations are subject to U.S. and foreign anti-corruption and trade control laws and regulations, such as the Foreign Corrupt Practices Act, or FCPA, export controls and economic sanctions programs, including those administered by the</w:t>
      </w:r>
    </w:p>
    <w:p>
      <w:pPr>
        <w:ind w:left="160" w:right="20"/>
        <w:spacing w:after="0" w:line="236" w:lineRule="auto"/>
        <w:rPr>
          <w:sz w:val="20"/>
          <w:szCs w:val="20"/>
          <w:color w:val="auto"/>
        </w:rPr>
      </w:pPr>
      <w:r>
        <w:rPr>
          <w:rFonts w:ascii="Arial" w:cs="Arial" w:eastAsia="Arial" w:hAnsi="Arial"/>
          <w:sz w:val="18"/>
          <w:szCs w:val="18"/>
          <w:color w:val="auto"/>
        </w:rPr>
        <w:t>U.S. Treasury Department’s Office of Foreign Assets Control, or OFAC, the State Department’s Directorate of Defense Trade Controls, or DDTC, and the Bureau of Industry and Security, or BIS, of the Department of Commerce. As a result of doing business in foreign countries and with foreign customers, we are exposed to a heightened risk of violating anti-corruption and trade control laws and sanctions regulations.</w:t>
      </w:r>
    </w:p>
    <w:p>
      <w:pPr>
        <w:spacing w:after="0" w:line="202" w:lineRule="exact"/>
        <w:rPr>
          <w:sz w:val="20"/>
          <w:szCs w:val="20"/>
          <w:color w:val="auto"/>
        </w:rPr>
      </w:pPr>
    </w:p>
    <w:p>
      <w:pPr>
        <w:ind w:left="160" w:right="580" w:firstLine="546"/>
        <w:spacing w:after="0" w:line="239"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or ITAR, administered by the DDTC, the Export Administration Regulations, or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202"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20"/>
        <w:spacing w:after="0" w:line="237" w:lineRule="auto"/>
        <w:rPr>
          <w:sz w:val="20"/>
          <w:szCs w:val="20"/>
          <w:color w:val="auto"/>
        </w:rPr>
      </w:pPr>
      <w:r>
        <w:rPr>
          <w:rFonts w:ascii="Arial" w:cs="Arial" w:eastAsia="Arial" w:hAnsi="Arial"/>
          <w:sz w:val="18"/>
          <w:szCs w:val="18"/>
          <w:color w:val="auto"/>
        </w:rPr>
        <w:t>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21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20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48" w:lineRule="auto"/>
        <w:rPr>
          <w:sz w:val="20"/>
          <w:szCs w:val="20"/>
          <w:color w:val="auto"/>
        </w:rPr>
      </w:pPr>
      <w:r>
        <w:rPr>
          <w:rFonts w:ascii="Arial" w:cs="Arial" w:eastAsia="Arial" w:hAnsi="Arial"/>
          <w:sz w:val="17"/>
          <w:szCs w:val="17"/>
          <w:color w:val="auto"/>
        </w:rPr>
        <w:t>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96"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20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technologically advanced features, which could seriously reduce demand for our products and services.</w:t>
      </w:r>
    </w:p>
    <w:p>
      <w:pPr>
        <w:spacing w:after="0" w:line="208"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288"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109" w:lineRule="exact"/>
        <w:rPr>
          <w:sz w:val="20"/>
          <w:szCs w:val="20"/>
          <w:color w:val="auto"/>
        </w:rPr>
      </w:pPr>
    </w:p>
    <w:p>
      <w:pPr>
        <w:ind w:left="920" w:right="42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109" w:lineRule="exact"/>
        <w:rPr>
          <w:rFonts w:ascii="Arial" w:cs="Arial" w:eastAsia="Arial" w:hAnsi="Arial"/>
          <w:sz w:val="18"/>
          <w:szCs w:val="18"/>
          <w:color w:val="auto"/>
        </w:rPr>
      </w:pPr>
    </w:p>
    <w:p>
      <w:pPr>
        <w:ind w:left="920" w:right="60" w:hanging="218"/>
        <w:spacing w:after="0" w:line="23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0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21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2"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288"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14" w:lineRule="exact"/>
        <w:rPr>
          <w:sz w:val="20"/>
          <w:szCs w:val="20"/>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14" w:lineRule="exact"/>
        <w:rPr>
          <w:sz w:val="20"/>
          <w:szCs w:val="20"/>
          <w:color w:val="auto"/>
        </w:rPr>
      </w:pPr>
    </w:p>
    <w:p>
      <w:pPr>
        <w:ind w:left="920" w:hanging="218"/>
        <w:spacing w:after="0" w:line="23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0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288"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202"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2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 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6"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attention from our senior management and could divert their attention away from the day-to-day management of our business, which could adversely affect our business, prospects,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202" w:lineRule="exact"/>
        <w:rPr>
          <w:sz w:val="20"/>
          <w:szCs w:val="20"/>
          <w:color w:val="auto"/>
        </w:rPr>
      </w:pPr>
    </w:p>
    <w:p>
      <w:pPr>
        <w:ind w:left="160" w:right="120" w:firstLine="546"/>
        <w:spacing w:after="0" w:line="257" w:lineRule="auto"/>
        <w:rPr>
          <w:sz w:val="20"/>
          <w:szCs w:val="20"/>
          <w:color w:val="auto"/>
        </w:rPr>
      </w:pPr>
      <w:r>
        <w:rPr>
          <w:rFonts w:ascii="Arial" w:cs="Arial" w:eastAsia="Arial" w:hAnsi="Arial"/>
          <w:sz w:val="17"/>
          <w:szCs w:val="17"/>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As of December 31, 2020, we have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209"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6"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80"/>
        <w:spacing w:after="0" w:line="237" w:lineRule="auto"/>
        <w:rPr>
          <w:sz w:val="20"/>
          <w:szCs w:val="20"/>
          <w:color w:val="auto"/>
        </w:rPr>
      </w:pPr>
      <w:r>
        <w:rPr>
          <w:rFonts w:ascii="Arial" w:cs="Arial" w:eastAsia="Arial" w:hAnsi="Arial"/>
          <w:sz w:val="18"/>
          <w:szCs w:val="18"/>
          <w:color w:val="auto"/>
        </w:rPr>
        <w:t>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288"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287"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73"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40"/>
        <w:spacing w:after="0" w:line="237" w:lineRule="auto"/>
        <w:rPr>
          <w:sz w:val="20"/>
          <w:szCs w:val="20"/>
          <w:color w:val="auto"/>
        </w:rPr>
      </w:pPr>
      <w:r>
        <w:rPr>
          <w:rFonts w:ascii="Arial" w:cs="Arial" w:eastAsia="Arial" w:hAnsi="Arial"/>
          <w:sz w:val="18"/>
          <w:szCs w:val="18"/>
          <w:color w:val="auto"/>
        </w:rPr>
        <w:t>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288"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73" w:lineRule="exact"/>
        <w:rPr>
          <w:sz w:val="20"/>
          <w:szCs w:val="20"/>
          <w:color w:val="auto"/>
        </w:rPr>
      </w:pPr>
    </w:p>
    <w:p>
      <w:pPr>
        <w:jc w:val="both"/>
        <w:ind w:left="160" w:right="40" w:firstLine="546"/>
        <w:spacing w:after="0" w:line="251"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23" w:lineRule="exact"/>
        <w:rPr>
          <w:sz w:val="20"/>
          <w:szCs w:val="20"/>
          <w:color w:val="auto"/>
        </w:rPr>
      </w:pPr>
    </w:p>
    <w:p>
      <w:pPr>
        <w:ind w:left="160" w:right="120" w:firstLine="546"/>
        <w:spacing w:after="0" w:line="250" w:lineRule="auto"/>
        <w:rPr>
          <w:sz w:val="20"/>
          <w:szCs w:val="20"/>
          <w:color w:val="auto"/>
        </w:rPr>
      </w:pPr>
      <w:r>
        <w:rPr>
          <w:rFonts w:ascii="Arial" w:cs="Arial" w:eastAsia="Arial" w:hAnsi="Arial"/>
          <w:sz w:val="17"/>
          <w:szCs w:val="17"/>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consolidated financial statements, we changed our method of accounting for leases as of January 1, 2019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It is difficult to predict the impact of future changes to accounting principles or our accounting policies, any of which could negatively affect our reported results of operations.</w:t>
      </w:r>
    </w:p>
    <w:p>
      <w:pPr>
        <w:spacing w:after="0" w:line="281"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73"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28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b w:val="1"/>
          <w:bCs w:val="1"/>
          <w:i w:val="1"/>
          <w:iCs w:val="1"/>
          <w:color w:val="auto"/>
        </w:rPr>
        <w:t>The terms of our Amended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87"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party to the Amended Loan and Security Agreement with Hercules Capital, Inc., or Hercules. Under the Amended Loan and Security Agreement, we can borrow up to $15.0 million under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a term loan, or the term loan facility, all of which became available to us immediately on the agreement date. As of March 31, 2021, we had $15.8 million of outstanding borrowings under the term loan facility. We could also incur additional indebtedness in the future.</w:t>
      </w:r>
    </w:p>
    <w:p>
      <w:pPr>
        <w:spacing w:after="0" w:line="203" w:lineRule="exact"/>
        <w:rPr>
          <w:sz w:val="20"/>
          <w:szCs w:val="20"/>
          <w:color w:val="auto"/>
        </w:rPr>
      </w:pPr>
    </w:p>
    <w:p>
      <w:pPr>
        <w:ind w:left="160" w:right="220" w:firstLine="546"/>
        <w:spacing w:after="0" w:line="253" w:lineRule="auto"/>
        <w:rPr>
          <w:sz w:val="20"/>
          <w:szCs w:val="20"/>
          <w:color w:val="auto"/>
        </w:rPr>
      </w:pPr>
      <w:r>
        <w:rPr>
          <w:rFonts w:ascii="Arial" w:cs="Arial" w:eastAsia="Arial" w:hAnsi="Arial"/>
          <w:sz w:val="17"/>
          <w:szCs w:val="17"/>
          <w:color w:val="auto"/>
        </w:rPr>
        <w:t>Our payment obligations under the Amended Loan and Security Agreement reduce cash available to fund working capital, capital expenditures, product development and general corporate needs. In addition, indebtedness under the Amended Loan and Security Agreement may bear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92"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7"/>
          <w:szCs w:val="17"/>
          <w:color w:val="auto"/>
        </w:rPr>
        <w:t>Our obligations under the Amended Loan and Security Agreement are secured by substantially all of our assets. The security interest granted over our assets could limit our ability to obtain additional debt financing. In addition, the Amended Loan and Security Agreement contains customary affirmative and negative covenants restricting our activities, including limitations on: dispositions, mergers or acquisitions; encumbering our intellectual property; incurring indebtedness or liens; paying dividends or redeeming stock or making other distributions; making certain investments; liquidating our company; entering into sale-leaseback arrangements and engaging in certain other business transactions. In addition, we are required to maintain a minimum revenue amount as set forth more fully in the Amended Loan and Security Agreement. Failure to comply with the covenants in the Amended Loan and Security Agreement, including the minimum revenue covenant, could result in the acceleration of our obligations under the Amended Loan and Security Agreement, and, if such acceleration were to occur, it would materially and adversely affect our business, financial condition and results of operations.</w:t>
      </w:r>
    </w:p>
    <w:p>
      <w:pPr>
        <w:spacing w:after="0" w:line="19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may not have sufficient funds, and may be unable to arrange for additional financing, to pay the amounts due under our debt arrangements. The obligations under the Amended Loan and Security Agreement are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Hercules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The term loan facility contains an end of term fee due and payable on the maturity date of May 1, 2022, in the amount of $1.2 million, however, if the term loan is paid prior to November 1, 2021, the amount owed would be $0.9 million.</w:t>
      </w:r>
    </w:p>
    <w:p>
      <w:pPr>
        <w:spacing w:after="0" w:line="202"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Our outstanding indebtedness and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23"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60"/>
        <w:spacing w:after="0" w:line="235" w:lineRule="auto"/>
        <w:rPr>
          <w:sz w:val="20"/>
          <w:szCs w:val="20"/>
          <w:color w:val="auto"/>
        </w:rPr>
      </w:pPr>
      <w:r>
        <w:rPr>
          <w:rFonts w:ascii="Arial" w:cs="Arial" w:eastAsia="Arial" w:hAnsi="Arial"/>
          <w:sz w:val="18"/>
          <w:szCs w:val="18"/>
          <w:color w:val="auto"/>
        </w:rPr>
        <w:t>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8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Risks Related to Ownership of Our Class A Common Stock and this Offering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109" w:lineRule="exact"/>
        <w:rPr>
          <w:sz w:val="20"/>
          <w:szCs w:val="20"/>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8"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9" w:lineRule="exact"/>
        <w:rPr>
          <w:sz w:val="20"/>
          <w:szCs w:val="20"/>
          <w:color w:val="auto"/>
        </w:rPr>
      </w:pPr>
    </w:p>
    <w:p>
      <w:pPr>
        <w:ind w:left="160" w:right="420"/>
        <w:spacing w:after="0" w:line="265"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73"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Further, certain funds and accounts advised or sub-advised by T. Rowe Price Associates, Inc. have indicated a non -binding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If these entities are allocated all or a portion of the shares in which they have indicated an interest in this offering, and they purchase any such shares, such purchases could reduce the available public float for shares of our Class A common stock if these funds hold shares long term as existing holders of our Class A common stock.</w:t>
      </w:r>
    </w:p>
    <w:p>
      <w:pPr>
        <w:spacing w:after="0" w:line="295"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 which could affect our results of operations and cause our stock price to decline.</w:t>
      </w:r>
    </w:p>
    <w:p>
      <w:pPr>
        <w:spacing w:after="0" w:line="7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market price of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88"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following the offering, including sales of a substantial number of shares of our Class A common stock by our existing stockholders, could cause the market price of our common stock to decline.</w:t>
      </w:r>
    </w:p>
    <w:p>
      <w:pPr>
        <w:spacing w:after="0" w:line="87"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could have substantial unrecognized gains on the value of the equity they hold based upon the expected price of this offering, and therefore they make take steps to sell their respective shares or otherwise secure the unrecognized gains on those shares. We are unable to predict the timing of or the effect that such sales may have on the prevailing market price of our Class A common stock.</w:t>
      </w:r>
    </w:p>
    <w:p>
      <w:pPr>
        <w:spacing w:after="0" w:line="202"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or market standoff agreements that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restrict their ability to transfer shares of our capital stock for 180 days from the date of this prospectus, subject to the early release provisions described in the section titled “Underwriting.” Subject to certain exceptions, these lock-up and market stand-off agreements limit the number of shares of capital stock that may be sold immediately following this offering. Goldman Sachs &amp; Co. LLC and J.P. Morgan Securities LLC may, subject to certain exceptions, in their sole discretion, permit our stockholders who are subject to these lock-up and market stand-off agreements to sell shares prior to their expiration, subject to applicable notice requirements. If not earlier released, all of the shares of common stock will become eligible for sale upon expiration of the 180-day lock-up period, except for any shares held by our affiliates as defined in Rule 144 under the Securities Act of 1933, as amended, or the Securities Act.</w:t>
      </w:r>
    </w:p>
    <w:p>
      <w:pPr>
        <w:spacing w:after="0" w:line="206"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In addition, there were 2,742,441 shares of Class A common stock issuable upon the exercise of options outstanding as of March 31, 2021. We intend to register all of the shares of Class A common stock issuable upon exercise of outstanding options or other equity incentives we may grant in the future, for public resale under the Securities Act. The shares of Class A common stock will become eligible for sale in the public market to the extent such options are exercised, subject to the lock-up and market stand-off agreements described above and compliance with applicable securities laws. Based on shares outstanding as of March 31, 2021, upon completion of this offering, holders of up to approximately 27,738,301 shares, or 69.0%, of our Class A common stock and 1,475,311 shares of our Class B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204" w:lineRule="exact"/>
        <w:rPr>
          <w:sz w:val="20"/>
          <w:szCs w:val="20"/>
          <w:color w:val="auto"/>
        </w:rPr>
      </w:pPr>
    </w:p>
    <w:p>
      <w:pPr>
        <w:jc w:val="both"/>
        <w:ind w:left="160" w:right="260" w:firstLine="546"/>
        <w:spacing w:after="0" w:line="237" w:lineRule="auto"/>
        <w:rPr>
          <w:sz w:val="20"/>
          <w:szCs w:val="20"/>
          <w:color w:val="auto"/>
        </w:rPr>
      </w:pPr>
      <w:r>
        <w:rPr>
          <w:rFonts w:ascii="Arial" w:cs="Arial" w:eastAsia="Arial" w:hAnsi="Arial"/>
          <w:sz w:val="18"/>
          <w:szCs w:val="18"/>
          <w:color w:val="auto"/>
        </w:rPr>
        <w:t>We may issue our shares of Class A common stock or securities convertible into our Class A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288"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73"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80"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73" w:lineRule="exact"/>
        <w:rPr>
          <w:sz w:val="20"/>
          <w:szCs w:val="20"/>
          <w:color w:val="auto"/>
        </w:rPr>
      </w:pPr>
    </w:p>
    <w:p>
      <w:pPr>
        <w:ind w:left="160" w:right="60" w:firstLine="546"/>
        <w:spacing w:after="0" w:line="249" w:lineRule="auto"/>
        <w:rPr>
          <w:sz w:val="20"/>
          <w:szCs w:val="20"/>
          <w:color w:val="auto"/>
        </w:rPr>
      </w:pPr>
      <w:r>
        <w:rPr>
          <w:rFonts w:ascii="Arial" w:cs="Arial" w:eastAsia="Arial" w:hAnsi="Arial"/>
          <w:sz w:val="17"/>
          <w:szCs w:val="17"/>
          <w:color w:val="auto"/>
        </w:rPr>
        <w:t>We may, but are not obligated to, provide public guidance on our expected operating and financial results for future periods. Any such guidance will comprise forward-looking statements, subject to the risks and uncertainties described in this prospectus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9"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73"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$36.63 per share, or $35.84 per share if the underwriters exercise their option to purchase additional shares from us in full, representing the difference between our pro forma as adjusted net tangible book value per share and the assumed public offering price of $44.00 per share. See “Dilution.” If outstanding options or warrants to purchase our Class A common stock are exercised in the future, you will experience additional dilution.</w:t>
      </w:r>
    </w:p>
    <w:p>
      <w:pPr>
        <w:spacing w:after="0" w:line="287"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7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9"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7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As of March 31, 2021, we had $49.5 million in cash and cash equivalents. While we believe the net proceeds from this offering, together with our existing cash and cash equivalents, will be sufficient to meet our anticipated cash needs for at least twelve months following the date of this prospectus,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29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9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Class B common stock has twenty votes per share, whereas our Class A common stock, which is the stock we are offering in this offering, has one vote per share. Our co-founders will collectively own shares representing approximately 57.1% of the voting power of our outstanding capital stock immediately following the closing of this offering, based on the number of shares outstanding as of March 31, 2021.</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After the completion of this offering, any holder’s shares of Class B common stock will convert automatically into Class A common stock, on a one-to-one basis, upon: (1) the sale or transfer of such shares of Class B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 (2) the death or incapacity of the Class B common stockholder; (3) such holder’s departure from our board of directors; and (4) on the final conversion date, defined as the earlier of (a) the seventh anniversary of this offering; or (b) the date specified by vote of the holders of a majority of the outstanding shares of Class B common stock. For a description of the dual-class structure, see “Description of Capital Stock.”</w:t>
      </w:r>
    </w:p>
    <w:p>
      <w:pPr>
        <w:spacing w:after="0" w:line="204"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40"/>
        <w:spacing w:after="0" w:line="237" w:lineRule="auto"/>
        <w:rPr>
          <w:sz w:val="20"/>
          <w:szCs w:val="20"/>
          <w:color w:val="auto"/>
        </w:rPr>
      </w:pPr>
      <w:r>
        <w:rPr>
          <w:rFonts w:ascii="Arial" w:cs="Arial" w:eastAsia="Arial" w:hAnsi="Arial"/>
          <w:sz w:val="18"/>
          <w:szCs w:val="18"/>
          <w:color w:val="auto"/>
        </w:rPr>
        <w:t>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23" w:lineRule="exact"/>
        <w:rPr>
          <w:sz w:val="20"/>
          <w:szCs w:val="20"/>
          <w:color w:val="auto"/>
        </w:rPr>
      </w:pPr>
    </w:p>
    <w:p>
      <w:pPr>
        <w:ind w:left="160" w:firstLine="546"/>
        <w:spacing w:after="0" w:line="249" w:lineRule="auto"/>
        <w:rPr>
          <w:sz w:val="20"/>
          <w:szCs w:val="20"/>
          <w:color w:val="auto"/>
        </w:rPr>
      </w:pPr>
      <w:r>
        <w:rPr>
          <w:rFonts w:ascii="Arial" w:cs="Arial" w:eastAsia="Arial" w:hAnsi="Arial"/>
          <w:sz w:val="17"/>
          <w:szCs w:val="17"/>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 strategies 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281"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06"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288"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87"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109" w:lineRule="exact"/>
        <w:rPr>
          <w:sz w:val="20"/>
          <w:szCs w:val="20"/>
          <w:color w:val="auto"/>
        </w:rPr>
      </w:pPr>
    </w:p>
    <w:p>
      <w:pPr>
        <w:ind w:left="920" w:right="10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09" w:lineRule="exact"/>
        <w:rPr>
          <w:rFonts w:ascii="Arial" w:cs="Arial" w:eastAsia="Arial" w:hAnsi="Arial"/>
          <w:sz w:val="18"/>
          <w:szCs w:val="18"/>
          <w:color w:val="auto"/>
        </w:rPr>
      </w:pPr>
    </w:p>
    <w:p>
      <w:pPr>
        <w:ind w:left="920" w:right="32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09" w:lineRule="exact"/>
        <w:rPr>
          <w:rFonts w:ascii="Arial" w:cs="Arial" w:eastAsia="Arial" w:hAnsi="Arial"/>
          <w:sz w:val="18"/>
          <w:szCs w:val="18"/>
          <w:color w:val="auto"/>
        </w:rPr>
      </w:pPr>
    </w:p>
    <w:p>
      <w:pPr>
        <w:ind w:left="920" w:right="28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our voting common stock;</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09" w:lineRule="exact"/>
        <w:rPr>
          <w:rFonts w:ascii="Arial" w:cs="Arial" w:eastAsia="Arial" w:hAnsi="Arial"/>
          <w:sz w:val="18"/>
          <w:szCs w:val="18"/>
          <w:color w:val="auto"/>
        </w:rPr>
      </w:pPr>
    </w:p>
    <w:p>
      <w:pPr>
        <w:ind w:left="920" w:right="840" w:hanging="218"/>
        <w:spacing w:after="0" w:line="268"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79"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93"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Our amended and restated certificate of incorporation to be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w:t>
      </w:r>
    </w:p>
    <w:p>
      <w:pPr>
        <w:spacing w:after="0" w:line="1" w:lineRule="exact"/>
        <w:rPr>
          <w:sz w:val="20"/>
          <w:szCs w:val="20"/>
          <w:color w:val="auto"/>
        </w:rPr>
      </w:pPr>
    </w:p>
    <w:p>
      <w:pPr>
        <w:ind w:left="160" w:right="20" w:firstLine="7"/>
        <w:spacing w:after="0" w:line="235" w:lineRule="auto"/>
        <w:tabs>
          <w:tab w:leader="none" w:pos="4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2"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In addition, our amended and restated certificate of incorporation will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2"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Risk Factors</w:t>
      </w:r>
    </w:p>
    <w:p>
      <w:pPr>
        <w:spacing w:after="0" w:line="208"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personnel, our business and future growth prospects would be harmed.</w:t>
      </w:r>
    </w:p>
    <w:p>
      <w:pPr>
        <w:spacing w:after="0" w:line="7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287"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7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204"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or the IRS, with respect to the Tax Act may affect us, and certain aspects of the Tax Act could be repealed or modified in future legislation. The Coronavirus Aid, Relief, and Economic Security Act, or the CARES Act, has already modified certain provisions of the Tax Act. In addition, it is uncertain if and to what extent various states will conform to the Tax Act, the CARES Act or any newly enacted federal tax legislation.</w:t>
      </w:r>
    </w:p>
    <w:p>
      <w:pPr>
        <w:spacing w:after="0" w:line="291"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1"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are eligible for and intend to take advantage of certain</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6"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color w:val="auto"/>
        </w:rPr>
        <w:t>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w:t>
      </w:r>
    </w:p>
    <w:p>
      <w:pPr>
        <w:spacing w:after="0" w:line="2" w:lineRule="exact"/>
        <w:rPr>
          <w:sz w:val="20"/>
          <w:szCs w:val="20"/>
          <w:color w:val="auto"/>
        </w:rPr>
      </w:pPr>
    </w:p>
    <w:p>
      <w:pPr>
        <w:ind w:left="160" w:right="80" w:firstLine="7"/>
        <w:spacing w:after="0" w:line="235" w:lineRule="auto"/>
        <w:tabs>
          <w:tab w:leader="none" w:pos="4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first sale of our Class A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287" w:lineRule="exact"/>
        <w:rPr>
          <w:sz w:val="20"/>
          <w:szCs w:val="20"/>
          <w:color w:val="auto"/>
        </w:rPr>
      </w:pPr>
    </w:p>
    <w:p>
      <w:pPr>
        <w:ind w:left="160" w:right="700"/>
        <w:spacing w:after="0" w:line="26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3"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202"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12" w:lineRule="exact"/>
        <w:rPr>
          <w:sz w:val="20"/>
          <w:szCs w:val="20"/>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3"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or other proprietary rights and any costs associated therewith;</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6"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6"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INDUSTRY AND OTHER DATA</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statistical data, estimates and forecasts that are based on independent industry publications or other publicly available information, as well as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6"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estimate that we will receive net proceeds from this offering of approximately $278.1 million (or approximately $320.4 million if the underwriters exercise their option to purchase additional shares of our Class A common stock in full) based on the initial public offering price of $44.00 per share of Class A common stock, after deducting the underwriting discounts and commissions and estimated offering expenses.</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to repay our outstanding indebtedness under our Amended Loan and Security Agreement, which matures on May 1, 2022 and under which $15.8 million was outstanding at an annual interest rate of 8.7% as of March 31, 2021. In addition, we may also use a portion of the net proceeds from this offering to acquire complementary businesses, products, services or technologies. However, we do not have agreements or commitments to enter into any acquisitions at this time.</w:t>
      </w:r>
    </w:p>
    <w:p>
      <w:pPr>
        <w:spacing w:after="0" w:line="204"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6"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20"/>
          </w:cols>
          <w:pgMar w:left="320" w:top="456"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14" w:lineRule="exact"/>
        <w:rPr>
          <w:sz w:val="20"/>
          <w:szCs w:val="20"/>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3"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giving effect to (1) the reclassification of our outstanding common stock into Class A common stock, (2) the automatic conversion of all of our outstanding shares of convertible preferred stock into an aggregate of 27,758,941 shares of Class A common stock in connection with this offering, (3) the exchange of an aggregate of 2,676,154 shares of Class A common stock held by our co-founders for an equivalent number of shares of our Class B common stock pursuant to the terms of an exchange agreement to be entered into with us, and (4) the filing and effectiveness of our amended and restated certificate of incorporation which will be in effect on the completion of this offering; and</w:t>
      </w:r>
    </w:p>
    <w:p>
      <w:pPr>
        <w:spacing w:after="0" w:line="107" w:lineRule="exact"/>
        <w:rPr>
          <w:rFonts w:ascii="Arial" w:cs="Arial" w:eastAsia="Arial" w:hAnsi="Arial"/>
          <w:sz w:val="18"/>
          <w:szCs w:val="18"/>
          <w:color w:val="auto"/>
        </w:rPr>
      </w:pPr>
    </w:p>
    <w:p>
      <w:pPr>
        <w:ind w:left="920" w:right="160" w:hanging="218"/>
        <w:spacing w:after="0" w:line="236"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(2) our receipt of estimated net proceeds from the sale of shares of Class A common stock that we are offering at the initial public offering price of $44.00 per share, after deducting the underwriting discounts and commissions and estimated offering expenses and (3) repayment of our outstanding indebtedness under our Amended Loan and Security Agreement, as described in “Use of Proceeds.”</w:t>
      </w:r>
    </w:p>
    <w:p>
      <w:pPr>
        <w:spacing w:after="0" w:line="202" w:lineRule="exact"/>
        <w:rPr>
          <w:sz w:val="20"/>
          <w:szCs w:val="20"/>
          <w:color w:val="auto"/>
        </w:rPr>
      </w:pPr>
    </w:p>
    <w:p>
      <w:pPr>
        <w:ind w:left="160" w:right="540" w:firstLine="546"/>
        <w:spacing w:after="0" w:line="239"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As of March 31, 2021</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94"/>
              <w:spacing w:after="0" w:line="141"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300" w:type="dxa"/>
            <w:vAlign w:val="bottom"/>
            <w:tcBorders>
              <w:top w:val="single" w:sz="8" w:color="auto"/>
            </w:tcBorders>
            <w:gridSpan w:val="9"/>
          </w:tcPr>
          <w:p>
            <w:pPr>
              <w:ind w:left="300"/>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49,512</w:t>
            </w:r>
          </w:p>
        </w:tc>
        <w:tc>
          <w:tcPr>
            <w:tcW w:w="3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49,512</w:t>
            </w:r>
          </w:p>
        </w:tc>
        <w:tc>
          <w:tcPr>
            <w:tcW w:w="3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311,785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Convertible preferred stock, $0.000001 par value, 27,970,966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180"/>
              <w:spacing w:after="0" w:line="201" w:lineRule="exact"/>
              <w:rPr>
                <w:sz w:val="20"/>
                <w:szCs w:val="20"/>
                <w:color w:val="auto"/>
              </w:rPr>
            </w:pPr>
            <w:r>
              <w:rPr>
                <w:rFonts w:ascii="Arial" w:cs="Arial" w:eastAsia="Arial" w:hAnsi="Arial"/>
                <w:sz w:val="18"/>
                <w:szCs w:val="18"/>
                <w:color w:val="auto"/>
              </w:rPr>
              <w:t>authorized, 27,758,941 shares issued and outstanding, actual, and no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180"/>
              <w:spacing w:after="0" w:line="201" w:lineRule="exact"/>
              <w:rPr>
                <w:sz w:val="20"/>
                <w:szCs w:val="20"/>
                <w:color w:val="auto"/>
              </w:rPr>
            </w:pPr>
            <w:r>
              <w:rPr>
                <w:rFonts w:ascii="Arial" w:cs="Arial" w:eastAsia="Arial" w:hAnsi="Arial"/>
                <w:sz w:val="18"/>
                <w:szCs w:val="18"/>
                <w:color w:val="auto"/>
              </w:rPr>
              <w:t>shares authorized, issued and outstanding, pro forma and pro forma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180"/>
              <w:spacing w:after="0" w:line="201" w:lineRule="exact"/>
              <w:rPr>
                <w:sz w:val="20"/>
                <w:szCs w:val="20"/>
                <w:color w:val="auto"/>
              </w:rPr>
            </w:pPr>
            <w:r>
              <w:rPr>
                <w:rFonts w:ascii="Arial" w:cs="Arial" w:eastAsia="Arial" w:hAnsi="Arial"/>
                <w:sz w:val="18"/>
                <w:szCs w:val="18"/>
                <w:color w:val="auto"/>
              </w:rPr>
              <w:t>as adjusted</w:t>
            </w:r>
          </w:p>
        </w:tc>
        <w:tc>
          <w:tcPr>
            <w:tcW w:w="2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160,713</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00" w:type="dxa"/>
            <w:vAlign w:val="bottom"/>
          </w:tcPr>
          <w:p>
            <w:pPr>
              <w:ind w:left="360"/>
              <w:spacing w:after="0" w:line="200" w:lineRule="exact"/>
              <w:rPr>
                <w:sz w:val="20"/>
                <w:szCs w:val="20"/>
                <w:color w:val="auto"/>
              </w:rPr>
            </w:pPr>
            <w:r>
              <w:rPr>
                <w:rFonts w:ascii="Arial" w:cs="Arial" w:eastAsia="Arial" w:hAnsi="Arial"/>
                <w:sz w:val="18"/>
                <w:szCs w:val="18"/>
                <w:color w:val="auto"/>
              </w:rPr>
              <w:t>Preferred stock, $0.000001 par value, no shares authorized, issued,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and outstanding, actual, and 50,000,000 shares authorized, no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shares issued and outstanding, pro forma and pro forma as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adjusted</w:t>
            </w:r>
          </w:p>
        </w:tc>
        <w:tc>
          <w:tcPr>
            <w:tcW w:w="200" w:type="dxa"/>
            <w:vAlign w:val="bottom"/>
          </w:tcPr>
          <w:p>
            <w:pPr>
              <w:spacing w:after="0"/>
              <w:rPr>
                <w:sz w:val="17"/>
                <w:szCs w:val="17"/>
                <w:color w:val="auto"/>
              </w:rPr>
            </w:pPr>
          </w:p>
        </w:tc>
        <w:tc>
          <w:tcPr>
            <w:tcW w:w="110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30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Common stock, $0.000001 par value, 42,000,000 authorized,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8,239,494 shares issued and outstanding, actual, no shares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authorized, issued and outstanding, pro forma and pro forma as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adjusted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300" w:type="dxa"/>
            <w:vAlign w:val="bottom"/>
          </w:tcPr>
          <w:p>
            <w:pPr>
              <w:ind w:left="360"/>
              <w:spacing w:after="0" w:line="200" w:lineRule="exact"/>
              <w:rPr>
                <w:sz w:val="20"/>
                <w:szCs w:val="20"/>
                <w:color w:val="auto"/>
              </w:rPr>
            </w:pPr>
            <w:r>
              <w:rPr>
                <w:rFonts w:ascii="Arial" w:cs="Arial" w:eastAsia="Arial" w:hAnsi="Arial"/>
                <w:sz w:val="18"/>
                <w:szCs w:val="18"/>
                <w:color w:val="auto"/>
              </w:rPr>
              <w:t>Class A common stock, $0.000001 par value, no shares authorized,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issued and outstanding, actual, 750,000,000 shares authorized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and 33,322,281 shares issued and outstanding, pro forma,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750,000,000 shares authorized and 40,197,281 shares issued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540"/>
              <w:spacing w:after="0" w:line="201" w:lineRule="exact"/>
              <w:rPr>
                <w:sz w:val="20"/>
                <w:szCs w:val="20"/>
                <w:color w:val="auto"/>
              </w:rPr>
            </w:pPr>
            <w:r>
              <w:rPr>
                <w:rFonts w:ascii="Arial" w:cs="Arial" w:eastAsia="Arial" w:hAnsi="Arial"/>
                <w:sz w:val="18"/>
                <w:szCs w:val="18"/>
                <w:color w:val="auto"/>
              </w:rPr>
              <w:t>and outstanding, pro forma as adjusted</w:t>
            </w:r>
          </w:p>
        </w:tc>
        <w:tc>
          <w:tcPr>
            <w:tcW w:w="200" w:type="dxa"/>
            <w:vAlign w:val="bottom"/>
          </w:tcPr>
          <w:p>
            <w:pPr>
              <w:spacing w:after="0"/>
              <w:rPr>
                <w:sz w:val="17"/>
                <w:szCs w:val="17"/>
                <w:color w:val="auto"/>
              </w:rPr>
            </w:pPr>
          </w:p>
        </w:tc>
        <w:tc>
          <w:tcPr>
            <w:tcW w:w="110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30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Class B common stock, $0.000001 par value, no shares authorized,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issued and outstanding, actual, 5,000,000 shares authorized and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2,676,154 shares issued and outstanding, pro forma and pro</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forma as adjusted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300" w:type="dxa"/>
            <w:vAlign w:val="bottom"/>
          </w:tcPr>
          <w:p>
            <w:pPr>
              <w:ind w:left="360"/>
              <w:spacing w:after="0" w:line="201"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1,854</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162,567</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424,840</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1"/>
        </w:trPr>
        <w:tc>
          <w:tcPr>
            <w:tcW w:w="6300" w:type="dxa"/>
            <w:vAlign w:val="bottom"/>
          </w:tcPr>
          <w:p>
            <w:pPr>
              <w:ind w:left="360"/>
              <w:spacing w:after="0" w:line="201"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(122,463)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(122,463)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(122,463)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stockholders’ deficit</w:t>
            </w:r>
          </w:p>
        </w:tc>
        <w:tc>
          <w:tcPr>
            <w:tcW w:w="20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(120,369)</w:t>
            </w:r>
          </w:p>
        </w:tc>
        <w:tc>
          <w:tcPr>
            <w:tcW w:w="5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40,344</w:t>
            </w:r>
          </w:p>
        </w:tc>
        <w:tc>
          <w:tcPr>
            <w:tcW w:w="3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302,617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40,344</w:t>
            </w:r>
          </w:p>
        </w:tc>
        <w:tc>
          <w:tcPr>
            <w:tcW w:w="3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40,344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302,617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109" w:lineRule="exact"/>
        <w:rPr>
          <w:sz w:val="20"/>
          <w:szCs w:val="20"/>
          <w:color w:val="auto"/>
        </w:rPr>
      </w:pPr>
    </w:p>
    <w:p>
      <w:pPr>
        <w:ind w:left="920" w:right="280" w:hanging="218"/>
        <w:spacing w:after="0" w:line="23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and 2014 Plan with a weighted-average exercise price of $3.43 per share;</w:t>
      </w:r>
    </w:p>
    <w:p>
      <w:pPr>
        <w:spacing w:after="0" w:line="109"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1,308,381 shares of Class A common stock issuable on the exercise of outstanding stock options issued after March 31, 2021 pursuant to our 2016 Plan with a weighted-average exercise price of $12.32 per share;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20" w:hanging="218"/>
        <w:spacing w:after="0" w:line="239"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w:t>
      </w:r>
    </w:p>
    <w:p>
      <w:pPr>
        <w:spacing w:after="0" w:line="109"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Plan (which does not give effect to the contemplated director nominee grant described under “Management—Non-Employee Director Compensation”), which became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110" w:lineRule="exact"/>
        <w:rPr>
          <w:rFonts w:ascii="Arial" w:cs="Arial" w:eastAsia="Arial" w:hAnsi="Arial"/>
          <w:sz w:val="18"/>
          <w:szCs w:val="18"/>
          <w:color w:val="auto"/>
        </w:rPr>
      </w:pPr>
    </w:p>
    <w:p>
      <w:pPr>
        <w:ind w:left="920" w:right="160" w:hanging="218"/>
        <w:spacing w:after="0" w:line="268"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20"/>
          </w:cols>
          <w:pgMar w:left="320" w:top="456" w:right="6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of Class A common stock immediately after this offering.</w:t>
      </w:r>
    </w:p>
    <w:p>
      <w:pPr>
        <w:spacing w:after="0" w:line="20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Our historical net tangible book value (deficit) as of March 31, 2021 was $(122.8) million, or $(14.90) per share. Our pro forma net tangible book value as of March 31, 2021 was $37.9 million, or $1.05 per share. Pro forma net tangible book value per share represents the amount of our total tangible assets less our total liabilities, divided by the number of our shares of Class A common stock and Class B common stock outstanding as of March 31, 2021, after giving effect to the automatic conversion of all outstanding shares of preferred stock into an aggregate of 27,758,941 shares of Class A common stock in connection with this offering and the exchange of an aggregate of 2,676,154 shares of Class A common stock held by our co-founders for an equivalent number of shares of Class B common stock pursuant to the terms of an exchange agreement to be entered into with us.</w:t>
      </w:r>
    </w:p>
    <w:p>
      <w:pPr>
        <w:spacing w:after="0" w:line="206"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After giving effect to the sale by us of 6,875,000 shares of Class A common stock in this offering at the initial public offering price of $44.00 per share, and after deducting the underwriting discounts and commissions and estimated offering expenses, our pro forma as adjusted net tangible book value as of March 31, 2021 would have been $316.0 million, or $7.37 per share. This amount represents an immediate increase in pro forma as adjusted net tangible book value of $6.32 per share to our existing stockholders and an immediate dilution in pro forma as adjusted net tangible book value of $36.63 per share to new investors purchasing 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 on a per share basis: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2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$44.00</w:t>
            </w:r>
          </w:p>
        </w:tc>
      </w:tr>
      <w:tr>
        <w:trPr>
          <w:trHeight w:val="201"/>
        </w:trPr>
        <w:tc>
          <w:tcPr>
            <w:tcW w:w="20" w:type="dxa"/>
            <w:vAlign w:val="bottom"/>
          </w:tcPr>
          <w:p>
            <w:pPr>
              <w:spacing w:after="0"/>
              <w:rPr>
                <w:sz w:val="17"/>
                <w:szCs w:val="17"/>
                <w:color w:val="auto"/>
              </w:rPr>
            </w:pPr>
          </w:p>
        </w:tc>
        <w:tc>
          <w:tcPr>
            <w:tcW w:w="9220" w:type="dxa"/>
            <w:vAlign w:val="bottom"/>
          </w:tcPr>
          <w:p>
            <w:pPr>
              <w:ind w:left="340"/>
              <w:spacing w:after="0" w:line="201" w:lineRule="exact"/>
              <w:rPr>
                <w:sz w:val="20"/>
                <w:szCs w:val="20"/>
                <w:color w:val="auto"/>
              </w:rPr>
            </w:pPr>
            <w:r>
              <w:rPr>
                <w:rFonts w:ascii="Arial" w:cs="Arial" w:eastAsia="Arial" w:hAnsi="Arial"/>
                <w:sz w:val="18"/>
                <w:szCs w:val="18"/>
                <w:color w:val="auto"/>
              </w:rPr>
              <w:t>Historical net tangible book (deficit) per share</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4"/>
              </w:rPr>
              <w:t>(14.90)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per share attributed to pro forma adjustments described above</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15.95</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92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purchasing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2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shares in this offering</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6.32</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924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2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36.63</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If the underwriters exercise their option to purchase additional shares of Class A common stock in full, the pro forma as adjusted net tangible book value per share, as adjusted to give effect to this offering, would be $8.16 per share, and the dilution in pro forma as adjusted net tangible book value per share to investors in this offering would be $35.84 per share.</w:t>
      </w:r>
    </w:p>
    <w:p>
      <w:pPr>
        <w:spacing w:after="0" w:line="20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following table summarizes, as of March 31, 2021, on a pro forma as adjusted basis as described above, the number of shares of our common stock, the total consideration and the average price per share (1) paid to us by existing stockholders, and (2) to be paid by new investors acquiring our Class A common stock in this offering at the initial public offering price of $44.00 per share, before deducting the underwriting discounts and commissions and estimated offering expenses.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Average 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tcPr>
          <w:p>
            <w:pPr>
              <w:spacing w:after="0"/>
              <w:rPr>
                <w:sz w:val="15"/>
                <w:szCs w:val="15"/>
                <w:color w:val="auto"/>
              </w:rPr>
            </w:pPr>
          </w:p>
        </w:tc>
        <w:tc>
          <w:tcPr>
            <w:tcW w:w="19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Per Share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940" w:type="dxa"/>
            <w:vAlign w:val="bottom"/>
          </w:tcPr>
          <w:p>
            <w:pPr>
              <w:jc w:val="right"/>
              <w:ind w:right="137"/>
              <w:spacing w:after="0" w:line="154" w:lineRule="exact"/>
              <w:rPr>
                <w:sz w:val="20"/>
                <w:szCs w:val="20"/>
                <w:color w:val="auto"/>
              </w:rPr>
            </w:pPr>
            <w:r>
              <w:rPr>
                <w:rFonts w:ascii="Arial" w:cs="Arial" w:eastAsia="Arial" w:hAnsi="Arial"/>
                <w:sz w:val="14"/>
                <w:szCs w:val="14"/>
                <w:color w:val="auto"/>
              </w:rPr>
              <w:t>Number</w:t>
            </w:r>
          </w:p>
        </w:tc>
        <w:tc>
          <w:tcPr>
            <w:tcW w:w="360" w:type="dxa"/>
            <w:vAlign w:val="bottom"/>
          </w:tcPr>
          <w:p>
            <w:pPr>
              <w:spacing w:after="0"/>
              <w:rPr>
                <w:sz w:val="13"/>
                <w:szCs w:val="13"/>
                <w:color w:val="auto"/>
              </w:rPr>
            </w:pPr>
          </w:p>
        </w:tc>
        <w:tc>
          <w:tcPr>
            <w:tcW w:w="500" w:type="dxa"/>
            <w:vAlign w:val="bottom"/>
          </w:tcPr>
          <w:p>
            <w:pPr>
              <w:spacing w:after="0" w:line="154" w:lineRule="exact"/>
              <w:rPr>
                <w:sz w:val="20"/>
                <w:szCs w:val="20"/>
                <w:color w:val="auto"/>
              </w:rPr>
            </w:pPr>
            <w:r>
              <w:rPr>
                <w:rFonts w:ascii="Arial" w:cs="Arial" w:eastAsia="Arial" w:hAnsi="Arial"/>
                <w:sz w:val="14"/>
                <w:szCs w:val="14"/>
                <w:color w:val="auto"/>
                <w:w w:val="99"/>
              </w:rPr>
              <w:t>Percent</w:t>
            </w:r>
          </w:p>
        </w:tc>
        <w:tc>
          <w:tcPr>
            <w:tcW w:w="500" w:type="dxa"/>
            <w:vAlign w:val="bottom"/>
          </w:tcPr>
          <w:p>
            <w:pPr>
              <w:spacing w:after="0"/>
              <w:rPr>
                <w:sz w:val="13"/>
                <w:szCs w:val="13"/>
                <w:color w:val="auto"/>
              </w:rPr>
            </w:pPr>
          </w:p>
        </w:tc>
        <w:tc>
          <w:tcPr>
            <w:tcW w:w="1120" w:type="dxa"/>
            <w:vAlign w:val="bottom"/>
          </w:tcPr>
          <w:p>
            <w:pPr>
              <w:jc w:val="right"/>
              <w:ind w:right="218"/>
              <w:spacing w:after="0" w:line="154"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3"/>
                <w:szCs w:val="13"/>
                <w:color w:val="auto"/>
              </w:rPr>
            </w:pPr>
          </w:p>
        </w:tc>
        <w:tc>
          <w:tcPr>
            <w:tcW w:w="8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w w:val="99"/>
              </w:rPr>
              <w:t>Percent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0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35,998,435</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8"/>
                <w:szCs w:val="18"/>
                <w:color w:val="auto"/>
              </w:rPr>
              <w:t>84.0%</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150,882,071</w:t>
            </w:r>
          </w:p>
        </w:tc>
        <w:tc>
          <w:tcPr>
            <w:tcW w:w="360" w:type="dxa"/>
            <w:vAlign w:val="bottom"/>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8"/>
                <w:szCs w:val="18"/>
                <w:color w:val="auto"/>
              </w:rPr>
              <w:t>33.3%</w:t>
            </w:r>
          </w:p>
        </w:tc>
        <w:tc>
          <w:tcPr>
            <w:tcW w:w="3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New investors</w:t>
            </w:r>
          </w:p>
        </w:tc>
        <w:tc>
          <w:tcPr>
            <w:tcW w:w="13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6,875,000</w:t>
            </w:r>
          </w:p>
        </w:tc>
        <w:tc>
          <w:tcPr>
            <w:tcW w:w="100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16.0</w:t>
            </w:r>
          </w:p>
        </w:tc>
        <w:tc>
          <w:tcPr>
            <w:tcW w:w="14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302,500,000</w:t>
            </w: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66.7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Totals</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42,873,435</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453,382,071</w:t>
            </w:r>
          </w:p>
        </w:tc>
        <w:tc>
          <w:tcPr>
            <w:tcW w:w="8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tcPr>
          <w:p>
            <w:pPr>
              <w:jc w:val="right"/>
              <w:ind w:right="417"/>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109" w:lineRule="exact"/>
        <w:rPr>
          <w:sz w:val="20"/>
          <w:szCs w:val="20"/>
          <w:color w:val="auto"/>
        </w:rPr>
      </w:pPr>
    </w:p>
    <w:p>
      <w:pPr>
        <w:ind w:left="920" w:right="140" w:hanging="218"/>
        <w:spacing w:after="0" w:line="239"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and 2014 Plan with a weighted-average exercise price of $3.43 per share;</w:t>
      </w:r>
    </w:p>
    <w:p>
      <w:pPr>
        <w:spacing w:after="0" w:line="109" w:lineRule="exact"/>
        <w:rPr>
          <w:rFonts w:ascii="Arial" w:cs="Arial" w:eastAsia="Arial" w:hAnsi="Arial"/>
          <w:sz w:val="18"/>
          <w:szCs w:val="18"/>
          <w:color w:val="auto"/>
        </w:rPr>
      </w:pPr>
    </w:p>
    <w:p>
      <w:pPr>
        <w:ind w:left="920" w:right="100" w:hanging="218"/>
        <w:spacing w:after="0" w:line="239"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1,308,381 shares of Class A common stock issuable on the exercise of outstanding stock options issued after March 31, 2021 pursuant to our 2016 Plan with a weighted-average exercise price of $12.32 per share;</w:t>
      </w:r>
    </w:p>
    <w:p>
      <w:pPr>
        <w:spacing w:after="0" w:line="109" w:lineRule="exact"/>
        <w:rPr>
          <w:rFonts w:ascii="Arial" w:cs="Arial" w:eastAsia="Arial" w:hAnsi="Arial"/>
          <w:sz w:val="18"/>
          <w:szCs w:val="18"/>
          <w:color w:val="auto"/>
        </w:rPr>
      </w:pPr>
    </w:p>
    <w:p>
      <w:pPr>
        <w:ind w:left="920" w:right="640" w:hanging="218"/>
        <w:spacing w:after="0" w:line="239"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w:t>
      </w:r>
    </w:p>
    <w:p>
      <w:pPr>
        <w:spacing w:after="0" w:line="109"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Plan (which does not give effect to the contemplated director nominee grant described under “Management—Non-Employee Director Compensation”), which became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110" w:lineRule="exact"/>
        <w:rPr>
          <w:rFonts w:ascii="Arial" w:cs="Arial" w:eastAsia="Arial" w:hAnsi="Arial"/>
          <w:sz w:val="18"/>
          <w:szCs w:val="18"/>
          <w:color w:val="auto"/>
        </w:rPr>
      </w:pPr>
    </w:p>
    <w:p>
      <w:pPr>
        <w:ind w:left="920" w:right="180" w:hanging="218"/>
        <w:spacing w:after="0" w:line="268"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7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2016 Plan and 2014 Option Plan as of March 31, 2021 were exercised or settled, then our existing stockholders, including the holders of these options, would own 84.9% and our new investors would own 15.1% of the total number of shares of our common stock outstanding on the completion of this offering.</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320" w:top="456" w:right="6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i w:val="1"/>
          <w:iCs w:val="1"/>
          <w:color w:val="auto"/>
        </w:rPr>
        <w:t>The following discussion and analysis summarizes the significant factors affecting the operating results, financial condition, liquidity, and cash flows of our company as of and for the periods presented below. The following discussion and analysis should be read in conjunction with our financial statements and the related notes thereto included elsewhere in this prospectus.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“Special Note Regarding Forward-Looking Statements.”</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206" w:lineRule="exact"/>
        <w:rPr>
          <w:sz w:val="20"/>
          <w:szCs w:val="20"/>
          <w:color w:val="auto"/>
        </w:rPr>
      </w:pPr>
    </w:p>
    <w:p>
      <w:pPr>
        <w:jc w:val="both"/>
        <w:ind w:left="160" w:right="280" w:firstLine="546"/>
        <w:spacing w:after="0" w:line="236"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20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Geographically, substantially all of our revenue has been generated from sales to buyers and sellers in the United States, with over 95% of our revenue in each of 2019 and 2020 generated from buyers and sellers located in the United States. However, in 2020, we had sales to customers in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51 countries. As we add accounts, buyers and sellers in additional countries, the geographic mix of our revenue could change over time. We have expanded our European base of operations, headquartered in Germany, and have made significant investments in growing our network of European buyers and sellers. In addition, we currently have a small team in China that is managing our manufacturing network in that region. We expect to make significant investments in growing that team, as the Asia-Pacific region is an important opportunity for the growth of our marketplace.</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 For the year ended December 31, 2020, we had one significant account, ClearMask, which accounted for approximately 11% of our revenue. Our revenue is well diversified across our buyers, with no other account contributing more than 10% of revenue in the year ended December 31, 2020 or 2019.</w:t>
      </w:r>
    </w:p>
    <w:p>
      <w:pPr>
        <w:spacing w:after="0" w:line="206" w:lineRule="exact"/>
        <w:rPr>
          <w:sz w:val="20"/>
          <w:szCs w:val="20"/>
          <w:color w:val="auto"/>
        </w:rPr>
      </w:pPr>
    </w:p>
    <w:p>
      <w:pPr>
        <w:ind w:left="160" w:right="660" w:firstLine="546"/>
        <w:spacing w:after="0" w:line="239" w:lineRule="auto"/>
        <w:rPr>
          <w:sz w:val="20"/>
          <w:szCs w:val="20"/>
          <w:color w:val="auto"/>
        </w:rPr>
      </w:pPr>
      <w:r>
        <w:rPr>
          <w:rFonts w:ascii="Arial" w:cs="Arial" w:eastAsia="Arial" w:hAnsi="Arial"/>
          <w:sz w:val="18"/>
          <w:szCs w:val="18"/>
          <w:color w:val="auto"/>
        </w:rPr>
        <w:t>During the quarters ended March 31, 2021 and 2020, no one customer accounted for more than 10% of our revenue. As of March 31, 2021, one customer accounted for approximately 10% of our accounts receivable.</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generated revenue of $38.4 million in 2018, $80.2 million in 2019, and $141.4 million in 2020, representing year-over-year growth of 109% in 2019 and 76% in 2020. Our revenue growth has been driven primarily by increased buyer activity on our platform. Our gross profit was $6.5 million in 2018, $14.7 million in 2019, and $33.3 million in 2020, representing an 17% gross margin in 2018, 18% gross margin in 2019, and 24% gross margin in 2020. Our net losses were $20.1 million in 2018, $31.0 million in 2019 and $31.1 million in 2020.</w:t>
      </w:r>
    </w:p>
    <w:p>
      <w:pPr>
        <w:spacing w:after="0" w:line="204"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$ 9.8 million and $5.4 million, respectively, representing a 22% gross margin for the quarter ended March 31, 2021, as compared to a 20% gross margin for the quarter ended March 31, 2020. Our net loss for the quarters ended March 31, 2021 and 2020, was $10.5 million and $8.6 million, respectively.</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History</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Xometry was founded in 2013 in Gaithersburg, Maryland to solve what we believe are two core problems in the manufacturing industry. For buyers around the world, sourcing the optimal manufacturing solution for their needs is time-consuming, costly and opaque. For sellers, significant human and capital resources are dedicated to sourcing and developing business and improving cash flow and workflow management. By building and deploying our AI technology and emphasizing our unyielding commitment to an excellent experience for our buyers and sellers, we have been able to substantially grow the number of buyers and sellers on our platform and our related revenue.</w:t>
      </w:r>
    </w:p>
    <w:p>
      <w:pPr>
        <w:spacing w:after="0" w:line="202"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received our first angel investment in 2013 and completed our first transaction in January 2014, which was a 3D printed part. Since then, we focused on expanding our platform to include new manufacturing processes like sheet metal and injection molding in 2017 and geographies like Europe in 2019. We achieved business performance milestones including our first month of greater than $1.0 million in revenue in March 2017 and our first year of greater than $100.0 million revenue in 2020.</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6"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420" w:firstLine="546"/>
        <w:spacing w:after="0" w:line="237" w:lineRule="auto"/>
        <w:rPr>
          <w:sz w:val="20"/>
          <w:szCs w:val="20"/>
          <w:color w:val="auto"/>
        </w:rPr>
      </w:pPr>
      <w:r>
        <w:rPr>
          <w:rFonts w:ascii="Arial" w:cs="Arial" w:eastAsia="Arial" w:hAnsi="Arial"/>
          <w:sz w:val="18"/>
          <w:szCs w:val="18"/>
          <w:color w:val="auto"/>
        </w:rPr>
        <w:t>Since our first transaction in January 2014, our platform has experienced significant growth. From inception through March 31, 2021, we have enabled the production of more than 6.0 million parts on our marketplace. In addition, we have achieved a number of significant milestones since inception,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-6350</wp:posOffset>
            </wp:positionV>
            <wp:extent cx="5137785" cy="2692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3778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generate the majority of our revenue from the prices we charge our buyers on our platform. Beginning with an engineering schematic that contains 3D design specifications, typically a computer-aided design, or a CAD file, uploaded by the buyer, transactions are instantly priced by our AI-enabled instant quoting engine based on volume, manufacturing process and material. Once we commit to fulfill the buyer’s manufacturing order, we utilize our platform to offer the opportunity to one or more of our sellers.</w:t>
      </w:r>
    </w:p>
    <w:p>
      <w:pPr>
        <w:spacing w:after="0" w:line="202"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the seller more than anticipated to manufacture the order. We record the gross amount of revenue from our buyers because of the following conditions of the sale: (i) we have the obligation to provide the products purchased on our platform to buyers, (ii) we have discretion with respect to establishing the price of the product and the price we pay our sellers, (iii) we have discretion to determine how to fulfil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 to Market</w:t>
      </w:r>
    </w:p>
    <w:p>
      <w:pPr>
        <w:spacing w:after="0" w:line="123" w:lineRule="exact"/>
        <w:rPr>
          <w:sz w:val="20"/>
          <w:szCs w:val="20"/>
          <w:color w:val="auto"/>
        </w:rPr>
      </w:pPr>
    </w:p>
    <w:p>
      <w:pPr>
        <w:jc w:val="both"/>
        <w:ind w:left="160" w:right="300" w:firstLine="546"/>
        <w:spacing w:after="0" w:line="237" w:lineRule="auto"/>
        <w:rPr>
          <w:sz w:val="20"/>
          <w:szCs w:val="20"/>
          <w:color w:val="auto"/>
        </w:rPr>
      </w:pPr>
      <w:r>
        <w:rPr>
          <w:rFonts w:ascii="Arial" w:cs="Arial" w:eastAsia="Arial" w:hAnsi="Arial"/>
          <w:sz w:val="18"/>
          <w:szCs w:val="18"/>
          <w:color w:val="auto"/>
        </w:rPr>
        <w:t>We primarily drive our account acquisition through digital marketing strategies. We drive buyer acquisition through our “land and expand” strategy, where we focus on bringing in new accounts and working directly with potential buyers inside those organizations to educate them on our breadth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40"/>
        <w:spacing w:after="0" w:line="268" w:lineRule="auto"/>
        <w:rPr>
          <w:sz w:val="20"/>
          <w:szCs w:val="20"/>
          <w:color w:val="auto"/>
        </w:rPr>
      </w:pPr>
      <w:r>
        <w:rPr>
          <w:rFonts w:ascii="Arial" w:cs="Arial" w:eastAsia="Arial" w:hAnsi="Arial"/>
          <w:sz w:val="17"/>
          <w:szCs w:val="17"/>
          <w:color w:val="auto"/>
        </w:rPr>
        <w:t>capabilities. These buyers then may recommend our platform to other potential buyers within their organizations who design other end products and who may use an entirely different set of manufacturing processes, deepening our reach and stickiness with an account.</w:t>
      </w:r>
    </w:p>
    <w:p>
      <w:pPr>
        <w:spacing w:after="0" w:line="179"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Our organic buyer growth results from the embedded network effect of our marketplace model and our continued growth in brand awareness. We continue to diversify and strengthen our marketing capabilities and invest in data science technologies to enable us to acquire more accounts and buyers as well as increase the lifetime value of buyers that utilize our marketplace. In addition, while the majority of our marketing dollars historically have been spent on account and buyer acquisition, we intend to continue to expand our marketing strategies to include seller acquisition.</w:t>
      </w:r>
    </w:p>
    <w:p>
      <w:pPr>
        <w:spacing w:after="0" w:line="204"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The majority of our new buyers in both 2020 and 2019 came from our digital marketing efforts, direct sales initiatives and organic and direct sources, such as referrals by existing buyers, word-of-mouth and direct visits to our website. We view our ability to efficiently acquire buyers at scale as a differentiated competitive advantage and continuously seek to diversify our user acquisition investments through a variety of channels in a disciplined manner.</w:t>
      </w:r>
    </w:p>
    <w:p>
      <w:pPr>
        <w:spacing w:after="0" w:line="2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Ability to Cost-effectively Attract, Retain and Engage Buyers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order to grow our business, we must cost-effectively attract and retain buyers and increase their engagement with our platform over time. Our AI-driven ordering process enables efficient platform pricing though the continuous learning of our AI technology. As our AI technology learns buyer needs and preferences, it becomes more precise and efficient, driving greater buyer engagement on the platform. We believe this increases customer stickiness and fuels an efficient go-to-market model. As we continue to add new offerings, we expect buyer loyalty and spend to continue to increase. We also generate highly attractive buyer economics. While we are continuously focused on adding new active buyers to our platform, we are also focused on increasing their purchase frequency and volume after their initial purchase, while lowering retention expenditure. Our growth depends in significant part on our success in adding new buyers and increasing the spending of our buyers.</w:t>
      </w:r>
    </w:p>
    <w:p>
      <w:pPr>
        <w:spacing w:after="0" w:line="204" w:lineRule="exact"/>
        <w:rPr>
          <w:sz w:val="20"/>
          <w:szCs w:val="20"/>
          <w:color w:val="auto"/>
        </w:rPr>
      </w:pPr>
    </w:p>
    <w:p>
      <w:pPr>
        <w:ind w:left="160" w:right="220" w:firstLine="546"/>
        <w:spacing w:after="0" w:line="237" w:lineRule="auto"/>
        <w:rPr>
          <w:sz w:val="20"/>
          <w:szCs w:val="20"/>
          <w:color w:val="auto"/>
        </w:rPr>
      </w:pPr>
      <w:r>
        <w:rPr>
          <w:rFonts w:ascii="Arial" w:cs="Arial" w:eastAsia="Arial" w:hAnsi="Arial"/>
          <w:sz w:val="18"/>
          <w:szCs w:val="18"/>
          <w:color w:val="auto"/>
        </w:rPr>
        <w:t>In determining how successful our buyer acquisition and retention strategy is, we closely monitor the initial customer acquisition cost, or CAC, and the lifetime value of a buyer, or LTV. These performance indicators enable us to assess the strength of our short-term and long-term buyer unit economics.</w:t>
      </w:r>
    </w:p>
    <w:p>
      <w:pPr>
        <w:spacing w:after="0" w:line="91" w:lineRule="exact"/>
        <w:rPr>
          <w:sz w:val="20"/>
          <w:szCs w:val="20"/>
          <w:color w:val="auto"/>
        </w:rPr>
      </w:pPr>
    </w:p>
    <w:p>
      <w:pPr>
        <w:ind w:left="920" w:right="120" w:hanging="218"/>
        <w:spacing w:after="0" w:line="242"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CAC </w:t>
      </w:r>
      <w:r>
        <w:rPr>
          <w:rFonts w:ascii="Arial" w:cs="Arial" w:eastAsia="Arial" w:hAnsi="Arial"/>
          <w:sz w:val="18"/>
          <w:szCs w:val="18"/>
          <w:color w:val="auto"/>
        </w:rPr>
        <w:t>means the costs of our digital marketing strategies, branding costs and other advertising costs, certain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expenses, and compensation expenses, including stock-based compensation, to our sales and marketing employees, which we refer to in the aggregate as our sales and marketing expenses for the relevant time period, divided by the number of new buyers acquired during the same period.</w:t>
      </w:r>
    </w:p>
    <w:p>
      <w:pPr>
        <w:spacing w:after="0" w:line="87" w:lineRule="exact"/>
        <w:rPr>
          <w:rFonts w:ascii="Arial" w:cs="Arial" w:eastAsia="Arial" w:hAnsi="Arial"/>
          <w:sz w:val="18"/>
          <w:szCs w:val="18"/>
          <w:color w:val="auto"/>
        </w:rPr>
      </w:pPr>
    </w:p>
    <w:p>
      <w:pPr>
        <w:ind w:left="920" w:hanging="218"/>
        <w:spacing w:after="0" w:line="252" w:lineRule="auto"/>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LTV </w:t>
      </w:r>
      <w:r>
        <w:rPr>
          <w:rFonts w:ascii="Arial" w:cs="Arial" w:eastAsia="Arial" w:hAnsi="Arial"/>
          <w:sz w:val="17"/>
          <w:szCs w:val="17"/>
          <w:color w:val="auto"/>
        </w:rPr>
        <w:t>means the estimated cumulative lifetime gross profit attributable to a particular buyer cohort divided by the number of buyers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during the cohort period. Each buyer cohort is defined as all buyers who were acquired during a specific period. To estimate the cumulative lifetime gross profit, we use a Markov chain Monte Carlo statistical analysis that samples thousands of typical lifetime histories in order to model mean lifetimes, expected order counts and order values. We also utilize neural networks to estimate customer-specific distribution parameters. The simulations provide the distribution of outcomes for each customer, including mean lifetimes, expected revenue and churn, which are used to calculate the cumulative lifetime gross profit. The assumptions underlying our calculation of LTV represent estimates, which involve inherent uncertainties and the application of judgment. In addition, because we estimate LTV over the lifetime of a buyer cohort, rather than a defined period of time, our</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40"/>
        <w:spacing w:after="0" w:line="237" w:lineRule="auto"/>
        <w:rPr>
          <w:sz w:val="20"/>
          <w:szCs w:val="20"/>
          <w:color w:val="auto"/>
        </w:rPr>
      </w:pPr>
      <w:r>
        <w:rPr>
          <w:rFonts w:ascii="Arial" w:cs="Arial" w:eastAsia="Arial" w:hAnsi="Arial"/>
          <w:sz w:val="18"/>
          <w:szCs w:val="18"/>
          <w:color w:val="auto"/>
        </w:rPr>
        <w:t>assumptions with respect to lifetime buyer activity are subject to the risk that we may overestimate the value of a buyer for a particular period. As a result, if factors or expected outcomes change, or our assumptions or estimates prove incorrect, our LTV could be materially different.</w:t>
      </w:r>
    </w:p>
    <w:p>
      <w:pPr>
        <w:spacing w:after="0" w:line="20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The LTV/CAC ratio illustrates the average LTV buyers are expected to generate as a multiple of CAC. The U.S. LTV/CAC ratio for the year ended December 31, 2020 was 6.1x, compared to 5.3x for the year ended December 31, 2019. Our U.S. CAC payback period, which is the average number of months required to fully recoup the CAC in the relevant reporting period, was 2.1 months for the year ended December 31, 2020, compared to 3.5 months for the year ended December 31, 2019.</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Existing Accounts</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Our business has historically benefited from strong revenue growth from account cohorts over time. To track our growth and the underlying dynamics of our business, we closely monitor and analyze the revenue attributable to buyer activity of our annual account cohorts. We define an annual account cohort based on the year when the account first purchased a part on our marketplace. We have observed significant buyer revenue growth across our annual account cohorts, demonstrating that once an account utilizes our marketplace, they typically increase their spend by increasing the number of buyers within an account using our marketplace, increasing the number of parts ordered, and utilizing additional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145415</wp:posOffset>
            </wp:positionV>
            <wp:extent cx="4500880" cy="22847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00880"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Continued Growth in Our Broad Base of Sellers</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We must maintain and grow our broad selection of sellers and add to our diverse array of manufacturing processes in order to continue to grow our business and maximize the efficiency of our network.</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320" w:top="456" w:right="5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order to increase our efficiency, we intend to continue to expand our large and growing network of sellers. The number of active sellers, which we define as sellers that have used our platform at least once during the last twelve months to manufacture a product or buy tools or supplies, has grown from 774 for the year ended December 31, 2019 to 1,410 for the year ended December 31, 2020.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 in Technology and Expansion of Our Platform</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sellers.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Offering of Seller Financial Products and Services</w:t>
      </w:r>
    </w:p>
    <w:p>
      <w:pPr>
        <w:spacing w:after="0" w:line="12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 2019, we launched seller services, beginning with Xometry Supplies,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The percentage of our active sellers who have purchased supplies or accessed one of our financial services products through our platform was 40% for the year ended December 31, 2020. Our revenue from recently launched seller services offerings has not been a material driver of our overall revenue to date; however, we expect revenue from seller services to grow over time. We believe that increased revenue from seller services will have a favorable impact on our gross margin.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International Operations</w:t>
      </w:r>
    </w:p>
    <w:p>
      <w:pPr>
        <w:spacing w:after="0" w:line="123"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7"/>
          <w:szCs w:val="17"/>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current outbreak of COVID-19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spacing w:after="0" w:line="237" w:lineRule="auto"/>
        <w:rPr>
          <w:sz w:val="20"/>
          <w:szCs w:val="20"/>
          <w:color w:val="auto"/>
        </w:rPr>
      </w:pPr>
      <w:r>
        <w:rPr>
          <w:rFonts w:ascii="Arial" w:cs="Arial" w:eastAsia="Arial" w:hAnsi="Arial"/>
          <w:sz w:val="18"/>
          <w:szCs w:val="18"/>
          <w:color w:val="auto"/>
        </w:rPr>
        <w:t>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203" w:lineRule="exact"/>
        <w:rPr>
          <w:sz w:val="20"/>
          <w:szCs w:val="20"/>
          <w:color w:val="auto"/>
        </w:rPr>
      </w:pPr>
    </w:p>
    <w:p>
      <w:pPr>
        <w:ind w:left="160" w:right="680" w:firstLine="546"/>
        <w:spacing w:after="0" w:line="268" w:lineRule="auto"/>
        <w:rPr>
          <w:sz w:val="20"/>
          <w:szCs w:val="20"/>
          <w:color w:val="auto"/>
        </w:rPr>
      </w:pPr>
      <w:r>
        <w:rPr>
          <w:rFonts w:ascii="Arial" w:cs="Arial" w:eastAsia="Arial" w:hAnsi="Arial"/>
          <w:sz w:val="17"/>
          <w:szCs w:val="17"/>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9"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COVID-19 pandemic to date has not significantly adversely impacted the growth of our business. We experienced a significant increase in revenue in the third quarter of 2020 due to increased demand for certain pandemic-related supplies, including personal protective equipment and parts for pharmaceutical manufacturing machinery. We believe the COVID-19 pandemic has validated our platform, highlighting the need for resilient supply chains, and reshaping the way buyers source their manufacturing needs.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30"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Active Buyers</w:t>
      </w:r>
    </w:p>
    <w:p>
      <w:pPr>
        <w:spacing w:after="0" w:line="123"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20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24,160 as of March 31, 2021, up 83% from 13,195 as of March 31,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284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3778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23"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202"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For the quarter ended March 31,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963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412 as of March 31, 2021, up 34% from 307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37785" cy="15963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For the year ended December 31, 2020, Adjusted EBITDA improved to $(23.5) million, compared to Adjusted EBITDA of $ (26.4) million in 2019. For the year ended December 31, 2020, Adjusted EBITDA increased to (17)% of revenue, as compared to (33)% of revenue in 2019, driven by increased operating efficiencies as we grew our revenue faster than our supporting expenses and increased margin as we grew our gross profit faster than our revenue.</w:t>
      </w:r>
    </w:p>
    <w:p>
      <w:pPr>
        <w:spacing w:after="0" w:line="202"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7"/>
          <w:szCs w:val="17"/>
          <w:color w:val="auto"/>
        </w:rPr>
        <w:t>For the quarter ended March 31, 2021, Adjusted EBITDA declined to $(8.8) million, compared to Adjusted EBITDA of $(7.5) million for the same quarter in 2020. For the quarter ended March 31, 2021, Adjusted EBITDA improved to (20)% of revenue, as compared to</w:t>
      </w:r>
    </w:p>
    <w:p>
      <w:pPr>
        <w:ind w:left="160"/>
        <w:spacing w:after="0" w:line="239" w:lineRule="auto"/>
        <w:rPr>
          <w:sz w:val="20"/>
          <w:szCs w:val="20"/>
          <w:color w:val="auto"/>
        </w:rPr>
      </w:pPr>
      <w:r>
        <w:rPr>
          <w:rFonts w:ascii="Arial" w:cs="Arial" w:eastAsia="Arial" w:hAnsi="Arial"/>
          <w:sz w:val="18"/>
          <w:szCs w:val="18"/>
          <w:color w:val="auto"/>
        </w:rPr>
        <w:t>(28)% of revenue for the same quarter in 2020, driven by increased operating efficiencies as we continued to grow our revenue faster than our supporting expenses and improved our margin as we increased our gross profit.</w:t>
      </w:r>
    </w:p>
    <w:p>
      <w:pPr>
        <w:spacing w:after="0" w:line="203"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 See the section titled “Summary Consolidated Financial Data” for additional information and for reconciliations of Adjusted EBITDA to net loss, the most directly comparable GAAP measure.</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12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3" w:lineRule="exact"/>
        <w:rPr>
          <w:sz w:val="20"/>
          <w:szCs w:val="20"/>
          <w:color w:val="auto"/>
        </w:rPr>
      </w:pPr>
    </w:p>
    <w:p>
      <w:pPr>
        <w:ind w:left="160" w:right="1000" w:firstLine="546"/>
        <w:spacing w:after="0" w:line="239" w:lineRule="auto"/>
        <w:rPr>
          <w:sz w:val="20"/>
          <w:szCs w:val="20"/>
          <w:color w:val="auto"/>
        </w:rPr>
      </w:pPr>
      <w:r>
        <w:rPr>
          <w:rFonts w:ascii="Arial" w:cs="Arial" w:eastAsia="Arial" w:hAnsi="Arial"/>
          <w:sz w:val="18"/>
          <w:szCs w:val="18"/>
          <w:color w:val="auto"/>
        </w:rPr>
        <w:t>Our operating expenses consist of sales and marketing, operations and support, product development and general and administrative functions.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 We expect our general and administrative expenses to increase. Following the completion of this offering, we expect to incur additional general and administrative expenses as a result of operating as a public company, including as a result of increased legal, accounting and directors’ and officers’ insurance expenses.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99"/>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Revenue</w:t>
            </w:r>
          </w:p>
        </w:tc>
        <w:tc>
          <w:tcPr>
            <w:tcW w:w="5320" w:type="dxa"/>
            <w:vAlign w:val="bottom"/>
            <w:gridSpan w:val="3"/>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$ 80,228</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5"/>
              </w:rPr>
              <w:t>$ 141,406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4300" w:type="dxa"/>
            <w:vAlign w:val="bottom"/>
          </w:tcPr>
          <w:p>
            <w:pPr>
              <w:spacing w:after="0"/>
              <w:rPr>
                <w:sz w:val="16"/>
                <w:szCs w:val="16"/>
                <w:color w:val="auto"/>
              </w:rPr>
            </w:pP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65,492</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108,120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4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14,736</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33,286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4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5320" w:type="dxa"/>
            <w:vAlign w:val="bottom"/>
            <w:gridSpan w:val="3"/>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14,599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22,567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5320" w:type="dxa"/>
            <w:vAlign w:val="bottom"/>
            <w:gridSpan w:val="3"/>
          </w:tcPr>
          <w:p>
            <w:pPr>
              <w:jc w:val="right"/>
              <w:ind w:right="320"/>
              <w:spacing w:after="0" w:line="187" w:lineRule="exact"/>
              <w:rPr>
                <w:sz w:val="20"/>
                <w:szCs w:val="20"/>
                <w:color w:val="auto"/>
              </w:rPr>
            </w:pPr>
            <w:r>
              <w:rPr>
                <w:rFonts w:ascii="Arial" w:cs="Arial" w:eastAsia="Arial" w:hAnsi="Arial"/>
                <w:sz w:val="17"/>
                <w:szCs w:val="17"/>
                <w:color w:val="auto"/>
              </w:rPr>
              <w:t>10,314</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5320" w:type="dxa"/>
            <w:vAlign w:val="bottom"/>
            <w:gridSpan w:val="3"/>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10,637</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12,186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5320" w:type="dxa"/>
            <w:vAlign w:val="bottom"/>
            <w:gridSpan w:val="3"/>
          </w:tcPr>
          <w:p>
            <w:pPr>
              <w:jc w:val="right"/>
              <w:ind w:right="320"/>
              <w:spacing w:after="0" w:line="187" w:lineRule="exact"/>
              <w:rPr>
                <w:sz w:val="20"/>
                <w:szCs w:val="20"/>
                <w:color w:val="auto"/>
              </w:rPr>
            </w:pPr>
            <w:r>
              <w:rPr>
                <w:rFonts w:ascii="Arial" w:cs="Arial" w:eastAsia="Arial" w:hAnsi="Arial"/>
                <w:sz w:val="17"/>
                <w:szCs w:val="17"/>
                <w:color w:val="auto"/>
              </w:rPr>
              <w:t>8,016</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12,046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other intangible assets</w:t>
            </w:r>
          </w:p>
        </w:tc>
        <w:tc>
          <w:tcPr>
            <w:tcW w:w="4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1,719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45,285</w:t>
            </w: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62,502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4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(30,549)</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(29,216)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4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5320" w:type="dxa"/>
            <w:vAlign w:val="bottom"/>
            <w:gridSpan w:val="3"/>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(241)</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4300" w:type="dxa"/>
            <w:vAlign w:val="bottom"/>
          </w:tcPr>
          <w:p>
            <w:pPr>
              <w:spacing w:after="0"/>
              <w:rPr>
                <w:sz w:val="16"/>
                <w:szCs w:val="16"/>
                <w:color w:val="auto"/>
              </w:rPr>
            </w:pPr>
          </w:p>
        </w:tc>
        <w:tc>
          <w:tcPr>
            <w:tcW w:w="10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(204)</w:t>
            </w:r>
          </w:p>
        </w:tc>
        <w:tc>
          <w:tcPr>
            <w:tcW w:w="8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rPr>
              <w:t>Total other expenses</w:t>
            </w:r>
          </w:p>
        </w:tc>
        <w:tc>
          <w:tcPr>
            <w:tcW w:w="4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(445)</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40" w:type="dxa"/>
            <w:vAlign w:val="bottom"/>
            <w:gridSpan w:val="2"/>
            <w:vMerge w:val="continue"/>
          </w:tcPr>
          <w:p>
            <w:pPr>
              <w:spacing w:after="0"/>
              <w:rPr>
                <w:sz w:val="16"/>
                <w:szCs w:val="16"/>
                <w:color w:val="auto"/>
              </w:rPr>
            </w:pPr>
          </w:p>
        </w:tc>
        <w:tc>
          <w:tcPr>
            <w:tcW w:w="4300" w:type="dxa"/>
            <w:vAlign w:val="bottom"/>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(31,085)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4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
              <w:spacing w:after="0" w:line="187"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(8,801)</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40" w:type="dxa"/>
            <w:vAlign w:val="bottom"/>
            <w:gridSpan w:val="2"/>
            <w:vMerge w:val="continue"/>
          </w:tcPr>
          <w:p>
            <w:pPr>
              <w:spacing w:after="0"/>
              <w:rPr>
                <w:sz w:val="16"/>
                <w:szCs w:val="16"/>
                <w:color w:val="auto"/>
              </w:rPr>
            </w:pPr>
          </w:p>
        </w:tc>
        <w:tc>
          <w:tcPr>
            <w:tcW w:w="4300" w:type="dxa"/>
            <w:vAlign w:val="bottom"/>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w w:val="95"/>
              </w:rPr>
              <w:t>$ (30,994)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 (39,886)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300" w:type="dxa"/>
            <w:vAlign w:val="bottom"/>
            <w:vMerge w:val="restart"/>
          </w:tcPr>
          <w:p>
            <w:pPr>
              <w:jc w:val="right"/>
              <w:ind w:right="3395"/>
              <w:spacing w:after="0"/>
              <w:rPr>
                <w:sz w:val="20"/>
                <w:szCs w:val="20"/>
                <w:color w:val="auto"/>
              </w:rPr>
            </w:pPr>
            <w:r>
              <w:rPr>
                <w:rFonts w:ascii="Arial" w:cs="Arial" w:eastAsia="Arial" w:hAnsi="Arial"/>
                <w:sz w:val="18"/>
                <w:szCs w:val="18"/>
                <w:color w:val="auto"/>
              </w:rPr>
              <w:t>80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7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7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1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20" w:type="dxa"/>
            <w:vAlign w:val="bottom"/>
            <w:tcBorders>
              <w:right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Revenue</w:t>
            </w:r>
          </w:p>
        </w:tc>
        <w:tc>
          <w:tcPr>
            <w:tcW w:w="940" w:type="dxa"/>
            <w:vAlign w:val="bottom"/>
            <w:gridSpan w:val="3"/>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6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81.6</w:t>
            </w:r>
          </w:p>
        </w:tc>
        <w:tc>
          <w:tcPr>
            <w:tcW w:w="340" w:type="dxa"/>
            <w:vAlign w:val="bottom"/>
          </w:tcPr>
          <w:p>
            <w:pPr>
              <w:spacing w:after="0"/>
              <w:rPr>
                <w:sz w:val="16"/>
                <w:szCs w:val="16"/>
                <w:color w:val="auto"/>
              </w:rPr>
            </w:pPr>
          </w:p>
        </w:tc>
        <w:tc>
          <w:tcPr>
            <w:tcW w:w="720" w:type="dxa"/>
            <w:vAlign w:val="bottom"/>
            <w:gridSpan w:val="3"/>
          </w:tcPr>
          <w:p>
            <w:pPr>
              <w:jc w:val="right"/>
              <w:ind w:right="140"/>
              <w:spacing w:after="0" w:line="187" w:lineRule="exact"/>
              <w:rPr>
                <w:sz w:val="20"/>
                <w:szCs w:val="20"/>
                <w:color w:val="auto"/>
              </w:rPr>
            </w:pPr>
            <w:r>
              <w:rPr>
                <w:rFonts w:ascii="Arial" w:cs="Arial" w:eastAsia="Arial" w:hAnsi="Arial"/>
                <w:sz w:val="17"/>
                <w:szCs w:val="17"/>
                <w:color w:val="auto"/>
              </w:rPr>
              <w:t>76.5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120" w:type="dxa"/>
            <w:vAlign w:val="bottom"/>
            <w:tcBorders>
              <w:right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6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18.4</w:t>
            </w:r>
          </w:p>
        </w:tc>
        <w:tc>
          <w:tcPr>
            <w:tcW w:w="3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23.5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140" w:type="dxa"/>
            <w:vAlign w:val="bottom"/>
            <w:gridSpan w:val="2"/>
          </w:tcPr>
          <w:p>
            <w:pPr>
              <w:spacing w:after="0" w:line="194" w:lineRule="exact"/>
              <w:rPr>
                <w:sz w:val="20"/>
                <w:szCs w:val="20"/>
                <w:color w:val="auto"/>
              </w:rPr>
            </w:pPr>
            <w:r>
              <w:rPr>
                <w:rFonts w:ascii="Arial" w:cs="Arial" w:eastAsia="Arial" w:hAnsi="Arial"/>
                <w:sz w:val="17"/>
                <w:szCs w:val="17"/>
                <w:color w:val="auto"/>
              </w:rPr>
              <w:t>Operating expenses:</w:t>
            </w: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Borders>
              <w:right w:val="single" w:sz="8" w:color="CCEEFF"/>
            </w:tcBorders>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6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18.2</w:t>
            </w:r>
          </w:p>
        </w:tc>
        <w:tc>
          <w:tcPr>
            <w:tcW w:w="3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6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12.9</w:t>
            </w:r>
          </w:p>
        </w:tc>
        <w:tc>
          <w:tcPr>
            <w:tcW w:w="340" w:type="dxa"/>
            <w:vAlign w:val="bottom"/>
          </w:tcPr>
          <w:p>
            <w:pPr>
              <w:spacing w:after="0"/>
              <w:rPr>
                <w:sz w:val="16"/>
                <w:szCs w:val="16"/>
                <w:color w:val="auto"/>
              </w:rPr>
            </w:pPr>
          </w:p>
        </w:tc>
        <w:tc>
          <w:tcPr>
            <w:tcW w:w="720" w:type="dxa"/>
            <w:vAlign w:val="bottom"/>
            <w:gridSpan w:val="3"/>
          </w:tcPr>
          <w:p>
            <w:pPr>
              <w:jc w:val="right"/>
              <w:ind w:right="140"/>
              <w:spacing w:after="0" w:line="187" w:lineRule="exact"/>
              <w:rPr>
                <w:sz w:val="20"/>
                <w:szCs w:val="20"/>
                <w:color w:val="auto"/>
              </w:rPr>
            </w:pPr>
            <w:r>
              <w:rPr>
                <w:rFonts w:ascii="Arial" w:cs="Arial" w:eastAsia="Arial" w:hAnsi="Arial"/>
                <w:sz w:val="17"/>
                <w:szCs w:val="17"/>
                <w:color w:val="auto"/>
              </w:rPr>
              <w:t>10.0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Borders>
              <w:right w:val="single" w:sz="8" w:color="CCEEFF"/>
            </w:tcBorders>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6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13.3</w:t>
            </w:r>
          </w:p>
        </w:tc>
        <w:tc>
          <w:tcPr>
            <w:tcW w:w="3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6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10.0</w:t>
            </w:r>
          </w:p>
        </w:tc>
        <w:tc>
          <w:tcPr>
            <w:tcW w:w="340" w:type="dxa"/>
            <w:vAlign w:val="bottom"/>
          </w:tcPr>
          <w:p>
            <w:pPr>
              <w:spacing w:after="0"/>
              <w:rPr>
                <w:sz w:val="16"/>
                <w:szCs w:val="16"/>
                <w:color w:val="auto"/>
              </w:rPr>
            </w:pPr>
          </w:p>
        </w:tc>
        <w:tc>
          <w:tcPr>
            <w:tcW w:w="58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8.5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Borders>
              <w:right w:val="single" w:sz="8" w:color="CCEEFF"/>
            </w:tcBorders>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intangible assets</w:t>
            </w: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Borders>
              <w:right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6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(38.1)</w:t>
            </w:r>
          </w:p>
        </w:tc>
        <w:tc>
          <w:tcPr>
            <w:tcW w:w="3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Borders>
              <w:right w:val="single" w:sz="8" w:color="CCEEFF"/>
            </w:tcBorders>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6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(0.3)</w:t>
            </w:r>
          </w:p>
        </w:tc>
        <w:tc>
          <w:tcPr>
            <w:tcW w:w="3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6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(0.3)</w:t>
            </w:r>
          </w:p>
        </w:tc>
        <w:tc>
          <w:tcPr>
            <w:tcW w:w="340" w:type="dxa"/>
            <w:vAlign w:val="bottom"/>
          </w:tcPr>
          <w:p>
            <w:pPr>
              <w:spacing w:after="0"/>
              <w:rPr>
                <w:sz w:val="16"/>
                <w:szCs w:val="16"/>
                <w:color w:val="auto"/>
              </w:rPr>
            </w:pPr>
          </w:p>
        </w:tc>
        <w:tc>
          <w:tcPr>
            <w:tcW w:w="720" w:type="dxa"/>
            <w:vAlign w:val="bottom"/>
            <w:gridSpan w:val="3"/>
          </w:tcPr>
          <w:p>
            <w:pPr>
              <w:jc w:val="right"/>
              <w:ind w:right="80"/>
              <w:spacing w:after="0" w:line="187" w:lineRule="exact"/>
              <w:rPr>
                <w:sz w:val="20"/>
                <w:szCs w:val="20"/>
                <w:color w:val="auto"/>
              </w:rPr>
            </w:pPr>
            <w:r>
              <w:rPr>
                <w:rFonts w:ascii="Arial" w:cs="Arial" w:eastAsia="Arial" w:hAnsi="Arial"/>
                <w:sz w:val="17"/>
                <w:szCs w:val="17"/>
                <w:color w:val="auto"/>
              </w:rPr>
              <w:t>(0.6)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Borders>
              <w:right w:val="single" w:sz="8" w:color="CCEEFF"/>
            </w:tcBorders>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140" w:type="dxa"/>
            <w:vAlign w:val="bottom"/>
            <w:gridSpan w:val="2"/>
            <w:vMerge w:val="continue"/>
          </w:tcPr>
          <w:p>
            <w:pPr>
              <w:spacing w:after="0"/>
              <w:rPr>
                <w:sz w:val="16"/>
                <w:szCs w:val="16"/>
                <w:color w:val="auto"/>
              </w:rPr>
            </w:pPr>
          </w:p>
        </w:tc>
        <w:tc>
          <w:tcPr>
            <w:tcW w:w="6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(38.7)</w:t>
            </w:r>
          </w:p>
        </w:tc>
        <w:tc>
          <w:tcPr>
            <w:tcW w:w="340" w:type="dxa"/>
            <w:vAlign w:val="bottom"/>
          </w:tcPr>
          <w:p>
            <w:pPr>
              <w:spacing w:after="0"/>
              <w:rPr>
                <w:sz w:val="16"/>
                <w:szCs w:val="16"/>
                <w:color w:val="auto"/>
              </w:rPr>
            </w:pPr>
          </w:p>
        </w:tc>
        <w:tc>
          <w:tcPr>
            <w:tcW w:w="72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(22.1)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120" w:type="dxa"/>
            <w:vAlign w:val="bottom"/>
            <w:tcBorders>
              <w:right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480" w:type="dxa"/>
            <w:vAlign w:val="bottom"/>
            <w:shd w:val="clear" w:color="auto" w:fill="CCEEFF"/>
          </w:tcPr>
          <w:p>
            <w:pPr>
              <w:jc w:val="right"/>
              <w:ind w:right="16"/>
              <w:spacing w:after="0" w:line="187" w:lineRule="exact"/>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140" w:type="dxa"/>
            <w:vAlign w:val="bottom"/>
            <w:gridSpan w:val="2"/>
            <w:vMerge w:val="continue"/>
          </w:tcPr>
          <w:p>
            <w:pPr>
              <w:spacing w:after="0"/>
              <w:rPr>
                <w:sz w:val="16"/>
                <w:szCs w:val="16"/>
                <w:color w:val="auto"/>
              </w:rPr>
            </w:pPr>
          </w:p>
        </w:tc>
        <w:tc>
          <w:tcPr>
            <w:tcW w:w="940" w:type="dxa"/>
            <w:vAlign w:val="bottom"/>
            <w:gridSpan w:val="3"/>
          </w:tcPr>
          <w:p>
            <w:pPr>
              <w:jc w:val="right"/>
              <w:ind w:right="240"/>
              <w:spacing w:after="0" w:line="194" w:lineRule="exact"/>
              <w:rPr>
                <w:sz w:val="20"/>
                <w:szCs w:val="20"/>
                <w:color w:val="auto"/>
              </w:rPr>
            </w:pPr>
            <w:r>
              <w:rPr>
                <w:rFonts w:ascii="Arial" w:cs="Arial" w:eastAsia="Arial" w:hAnsi="Arial"/>
                <w:sz w:val="17"/>
                <w:szCs w:val="17"/>
                <w:color w:val="auto"/>
              </w:rPr>
              <w:t>(38.7)%</w:t>
            </w:r>
          </w:p>
        </w:tc>
        <w:tc>
          <w:tcPr>
            <w:tcW w:w="840" w:type="dxa"/>
            <w:vAlign w:val="bottom"/>
            <w:gridSpan w:val="4"/>
          </w:tcPr>
          <w:p>
            <w:pPr>
              <w:jc w:val="right"/>
              <w:ind w:right="40"/>
              <w:spacing w:after="0" w:line="194" w:lineRule="exact"/>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Comparison of the Quarters Ended March 31, 2020 and 2021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120" w:type="dxa"/>
            <w:vAlign w:val="bottom"/>
          </w:tcPr>
          <w:p>
            <w:pPr>
              <w:ind w:left="540"/>
              <w:spacing w:after="0"/>
              <w:rPr>
                <w:sz w:val="20"/>
                <w:szCs w:val="20"/>
                <w:color w:val="auto"/>
              </w:rPr>
            </w:pPr>
            <w:r>
              <w:rPr>
                <w:rFonts w:ascii="Arial" w:cs="Arial" w:eastAsia="Arial" w:hAnsi="Arial"/>
                <w:sz w:val="18"/>
                <w:szCs w:val="18"/>
                <w:color w:val="auto"/>
              </w:rPr>
              <w:t>The following table sets forth our unaudited statement of operations data for the quarters indicated: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7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7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660" w:type="dxa"/>
            <w:vAlign w:val="bottom"/>
            <w:gridSpan w:val="6"/>
          </w:tcPr>
          <w:p>
            <w:pPr>
              <w:jc w:val="center"/>
              <w:ind w:right="40"/>
              <w:spacing w:after="0" w:line="14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7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94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89"/>
              </w:rPr>
              <w:t>$26,689</w:t>
            </w:r>
          </w:p>
        </w:tc>
        <w:tc>
          <w:tcPr>
            <w:tcW w:w="840" w:type="dxa"/>
            <w:vAlign w:val="bottom"/>
            <w:gridSpan w:val="4"/>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9"/>
              </w:rPr>
              <w:t>$ 43,922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940" w:type="dxa"/>
            <w:vAlign w:val="bottom"/>
            <w:gridSpan w:val="3"/>
          </w:tcPr>
          <w:p>
            <w:pPr>
              <w:jc w:val="right"/>
              <w:ind w:right="340"/>
              <w:spacing w:after="0" w:line="201" w:lineRule="exact"/>
              <w:rPr>
                <w:sz w:val="20"/>
                <w:szCs w:val="20"/>
                <w:color w:val="auto"/>
              </w:rPr>
            </w:pPr>
            <w:r>
              <w:rPr>
                <w:rFonts w:ascii="Arial" w:cs="Arial" w:eastAsia="Arial" w:hAnsi="Arial"/>
                <w:sz w:val="18"/>
                <w:szCs w:val="18"/>
                <w:color w:val="auto"/>
              </w:rPr>
              <w:t>21,324</w:t>
            </w:r>
          </w:p>
        </w:tc>
        <w:tc>
          <w:tcPr>
            <w:tcW w:w="840" w:type="dxa"/>
            <w:vAlign w:val="bottom"/>
            <w:gridSpan w:val="4"/>
          </w:tcPr>
          <w:p>
            <w:pPr>
              <w:jc w:val="right"/>
              <w:ind w:right="120"/>
              <w:spacing w:after="0" w:line="201" w:lineRule="exact"/>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94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5,365</w:t>
            </w:r>
          </w:p>
        </w:tc>
        <w:tc>
          <w:tcPr>
            <w:tcW w:w="840" w:type="dxa"/>
            <w:vAlign w:val="bottom"/>
            <w:gridSpan w:val="4"/>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4,730</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940" w:type="dxa"/>
            <w:vAlign w:val="bottom"/>
            <w:gridSpan w:val="3"/>
          </w:tcPr>
          <w:p>
            <w:pPr>
              <w:jc w:val="right"/>
              <w:ind w:right="340"/>
              <w:spacing w:after="0" w:line="201" w:lineRule="exact"/>
              <w:rPr>
                <w:sz w:val="20"/>
                <w:szCs w:val="20"/>
                <w:color w:val="auto"/>
              </w:rPr>
            </w:pPr>
            <w:r>
              <w:rPr>
                <w:rFonts w:ascii="Arial" w:cs="Arial" w:eastAsia="Arial" w:hAnsi="Arial"/>
                <w:sz w:val="18"/>
                <w:szCs w:val="18"/>
                <w:color w:val="auto"/>
              </w:rPr>
              <w:t>3,293</w:t>
            </w:r>
          </w:p>
        </w:tc>
        <w:tc>
          <w:tcPr>
            <w:tcW w:w="840" w:type="dxa"/>
            <w:vAlign w:val="bottom"/>
            <w:gridSpan w:val="4"/>
          </w:tcPr>
          <w:p>
            <w:pPr>
              <w:jc w:val="right"/>
              <w:ind w:right="120"/>
              <w:spacing w:after="0" w:line="201" w:lineRule="exact"/>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94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2,958</w:t>
            </w:r>
          </w:p>
        </w:tc>
        <w:tc>
          <w:tcPr>
            <w:tcW w:w="840" w:type="dxa"/>
            <w:vAlign w:val="bottom"/>
            <w:gridSpan w:val="4"/>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940" w:type="dxa"/>
            <w:vAlign w:val="bottom"/>
            <w:gridSpan w:val="3"/>
          </w:tcPr>
          <w:p>
            <w:pPr>
              <w:jc w:val="right"/>
              <w:ind w:right="340"/>
              <w:spacing w:after="0" w:line="201" w:lineRule="exact"/>
              <w:rPr>
                <w:sz w:val="20"/>
                <w:szCs w:val="20"/>
                <w:color w:val="auto"/>
              </w:rPr>
            </w:pPr>
            <w:r>
              <w:rPr>
                <w:rFonts w:ascii="Arial" w:cs="Arial" w:eastAsia="Arial" w:hAnsi="Arial"/>
                <w:sz w:val="18"/>
                <w:szCs w:val="18"/>
                <w:color w:val="auto"/>
              </w:rPr>
              <w:t>2,736</w:t>
            </w:r>
          </w:p>
        </w:tc>
        <w:tc>
          <w:tcPr>
            <w:tcW w:w="840" w:type="dxa"/>
            <w:vAlign w:val="bottom"/>
            <w:gridSpan w:val="4"/>
          </w:tcPr>
          <w:p>
            <w:pPr>
              <w:jc w:val="right"/>
              <w:ind w:right="120"/>
              <w:spacing w:after="0" w:line="201"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Borders>
              <w:right w:val="single" w:sz="8" w:color="CCEEFF"/>
            </w:tcBorders>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94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13,717</w:t>
            </w:r>
          </w:p>
        </w:tc>
        <w:tc>
          <w:tcPr>
            <w:tcW w:w="840" w:type="dxa"/>
            <w:vAlign w:val="bottom"/>
            <w:gridSpan w:val="4"/>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19,884</w:t>
            </w:r>
          </w:p>
        </w:tc>
        <w:tc>
          <w:tcPr>
            <w:tcW w:w="0" w:type="dxa"/>
            <w:vAlign w:val="bottom"/>
          </w:tcPr>
          <w:p>
            <w:pPr>
              <w:spacing w:after="0"/>
              <w:rPr>
                <w:sz w:val="1"/>
                <w:szCs w:val="1"/>
                <w:color w:val="auto"/>
              </w:rPr>
            </w:pPr>
          </w:p>
        </w:tc>
      </w:tr>
      <w:tr>
        <w:trPr>
          <w:trHeight w:val="20"/>
        </w:trPr>
        <w:tc>
          <w:tcPr>
            <w:tcW w:w="9140" w:type="dxa"/>
            <w:vAlign w:val="bottom"/>
            <w:tcBorders>
              <w:right w:val="single" w:sz="8" w:color="auto"/>
            </w:tcBorders>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(8,352)</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9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(153)</w:t>
            </w:r>
          </w:p>
        </w:tc>
        <w:tc>
          <w:tcPr>
            <w:tcW w:w="84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2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9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(102)</w:t>
            </w: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other expenses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(255)</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9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(8,607)</w:t>
            </w: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0"/>
        </w:trPr>
        <w:tc>
          <w:tcPr>
            <w:tcW w:w="9140" w:type="dxa"/>
            <w:vAlign w:val="bottom"/>
            <w:tcBorders>
              <w:right w:val="single" w:sz="8" w:color="auto"/>
            </w:tcBorders>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4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w w:val="88"/>
              </w:rPr>
              <w:t>$ (8,607)</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(10,501)</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ind w:left="5360"/>
              <w:spacing w:after="0"/>
              <w:rPr>
                <w:sz w:val="20"/>
                <w:szCs w:val="20"/>
                <w:color w:val="auto"/>
              </w:rPr>
            </w:pPr>
            <w:r>
              <w:rPr>
                <w:rFonts w:ascii="Arial" w:cs="Arial" w:eastAsia="Arial" w:hAnsi="Arial"/>
                <w:sz w:val="18"/>
                <w:szCs w:val="18"/>
                <w:color w:val="auto"/>
              </w:rPr>
              <w:t>81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1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20" w:firstLine="546"/>
        <w:spacing w:after="0" w:line="239" w:lineRule="auto"/>
        <w:rPr>
          <w:sz w:val="20"/>
          <w:szCs w:val="20"/>
          <w:color w:val="auto"/>
        </w:rPr>
      </w:pPr>
      <w:r>
        <w:rPr>
          <w:rFonts w:ascii="Arial" w:cs="Arial" w:eastAsia="Arial" w:hAnsi="Arial"/>
          <w:sz w:val="18"/>
          <w:szCs w:val="18"/>
          <w:color w:val="auto"/>
        </w:rPr>
        <w:t>The following table sets forth our unaudited statement of operations data expressed as a percentage of total revenue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16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140" w:type="dxa"/>
            <w:vAlign w:val="bottom"/>
            <w:tcBorders>
              <w:right w:val="single" w:sz="8" w:color="CCEEFF"/>
            </w:tcBorders>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79.9</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77.6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Sales and marketing</w:t>
            </w: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12.3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51.4</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(31.3)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1140" w:type="dxa"/>
            <w:vAlign w:val="bottom"/>
            <w:tcBorders>
              <w:right w:val="single" w:sz="8" w:color="CCEEFF"/>
            </w:tcBorders>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11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0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1140" w:type="dxa"/>
            <w:vAlign w:val="bottom"/>
            <w:tcBorders>
              <w:right w:val="single" w:sz="8" w:color="CCEEFF"/>
            </w:tcBorders>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1140" w:type="dxa"/>
            <w:vAlign w:val="bottom"/>
            <w:tcBorders>
              <w:right w:val="single" w:sz="8" w:color="CCEEFF"/>
            </w:tcBorders>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(32.3)%</w:t>
            </w:r>
          </w:p>
        </w:tc>
        <w:tc>
          <w:tcPr>
            <w:tcW w:w="7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Total revenue increased $17.2 million, or 65%, from $26.7 million for the quarter ended March 31, 2020 to $43.9 million for the quarter ended March 31, 2021. This increase was primarily the result of an 83% increase in the number of active buyers resulting from investment in sales and marketing, as well as existing buyers increasing their spend on the platform for the quarter ended March 31, 2021 as compared to the prior quarter.</w:t>
      </w:r>
    </w:p>
    <w:p>
      <w:pPr>
        <w:spacing w:after="0" w:line="202"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quarters ended March 31, 2021 and 2020, was $41.3 million and $26.3 million, for the U.S. respectively, and $2.6 million and $0.4 million, for Europe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jc w:val="both"/>
        <w:ind w:left="160" w:right="160" w:firstLine="546"/>
        <w:spacing w:after="0" w:line="237" w:lineRule="auto"/>
        <w:rPr>
          <w:sz w:val="20"/>
          <w:szCs w:val="20"/>
          <w:color w:val="auto"/>
        </w:rPr>
      </w:pPr>
      <w:r>
        <w:rPr>
          <w:rFonts w:ascii="Arial" w:cs="Arial" w:eastAsia="Arial" w:hAnsi="Arial"/>
          <w:sz w:val="18"/>
          <w:szCs w:val="18"/>
          <w:color w:val="auto"/>
        </w:rPr>
        <w:t>Total cost of revenue increased $ 12.8 million, or 60%, from $21.3 million for the quarter ended March 31, 2020 to $34.1 million for the quarter ended March 31, 2021.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Gross profit increased $4.5 million, or 83%, from $5.4 million for the quarter ended March 31, 2020 to $9.8 million for the quarter ended March 31, 2021. The increase in gross profit was due primarily to the increase in revenue described above.</w:t>
      </w:r>
    </w:p>
    <w:p>
      <w:pPr>
        <w:spacing w:after="0" w:line="203" w:lineRule="exact"/>
        <w:rPr>
          <w:sz w:val="20"/>
          <w:szCs w:val="20"/>
          <w:color w:val="auto"/>
        </w:rPr>
      </w:pPr>
    </w:p>
    <w:p>
      <w:pPr>
        <w:ind w:left="160" w:right="620" w:firstLine="546"/>
        <w:spacing w:after="0" w:line="239" w:lineRule="auto"/>
        <w:rPr>
          <w:sz w:val="20"/>
          <w:szCs w:val="20"/>
          <w:color w:val="auto"/>
        </w:rPr>
      </w:pPr>
      <w:r>
        <w:rPr>
          <w:rFonts w:ascii="Arial" w:cs="Arial" w:eastAsia="Arial" w:hAnsi="Arial"/>
          <w:sz w:val="18"/>
          <w:szCs w:val="18"/>
          <w:color w:val="auto"/>
        </w:rPr>
        <w:t>Gross margin increased to 22% for the quarter ended March 31, 2021 from 20% for the quarter ended March 31, 2020. This increase was primarily the result of a growing number of active sellers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60"/>
        <w:spacing w:after="0" w:line="237" w:lineRule="auto"/>
        <w:rPr>
          <w:sz w:val="20"/>
          <w:szCs w:val="20"/>
          <w:color w:val="auto"/>
        </w:rPr>
      </w:pPr>
      <w:r>
        <w:rPr>
          <w:rFonts w:ascii="Arial" w:cs="Arial" w:eastAsia="Arial" w:hAnsi="Arial"/>
          <w:sz w:val="18"/>
          <w:szCs w:val="18"/>
          <w:color w:val="auto"/>
        </w:rPr>
        <w:t>from the prior year quarter, which continues to create greater competition among sellers and lower cost of revenue. Additionally, our AI-driven platform pricing has become more efficient due to the increased number of orders, improving the data set and thus making our pricing decisions more accurate.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jc w:val="both"/>
        <w:ind w:left="160" w:firstLine="546"/>
        <w:spacing w:after="0" w:line="236" w:lineRule="auto"/>
        <w:rPr>
          <w:sz w:val="20"/>
          <w:szCs w:val="20"/>
          <w:color w:val="auto"/>
        </w:rPr>
      </w:pPr>
      <w:r>
        <w:rPr>
          <w:rFonts w:ascii="Arial" w:cs="Arial" w:eastAsia="Arial" w:hAnsi="Arial"/>
          <w:sz w:val="18"/>
          <w:szCs w:val="18"/>
          <w:color w:val="auto"/>
        </w:rPr>
        <w:t>Sales and marketing expense increased $ 2.8 million, or 60%, from $4.7 million for the quarter ended March 31, 2020 to $7.6 million for the quarter ended March 31, 2021, a result of continued investment to drive revenue growth and our hiring of additional employees. As a percent of total revenue, sales and marketing expenses remained flat at approximately 17% for the quarters ended March 31, 2021 and 2020.</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Operations and support increased $1.0 million, or 31%, from $3.3 million for the quarter ended March 31, 2020 to $4.3 million for the quarter ended March 31, 2021, primarily as a result of additional compensation-related expenses due to additional headcount to support the growth of buyer and seller activity on our platform. As a percent of total revenue, operations and support expenses decreased to 10% for the quarter ended March 31, 2021 from 12% for the quarter ended March 31, 2020, as we continued to increase operating leverage resulting from the additional scale of our business.</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Product development expense increased $0.7 million, or 24%, from $3.0 million for the quarter ended March 31, 2020 to</w:t>
      </w:r>
    </w:p>
    <w:p>
      <w:pPr>
        <w:jc w:val="both"/>
        <w:ind w:left="160" w:right="20"/>
        <w:spacing w:after="0" w:line="237" w:lineRule="auto"/>
        <w:rPr>
          <w:sz w:val="20"/>
          <w:szCs w:val="20"/>
          <w:color w:val="auto"/>
        </w:rPr>
      </w:pPr>
      <w:r>
        <w:rPr>
          <w:rFonts w:ascii="Arial" w:cs="Arial" w:eastAsia="Arial" w:hAnsi="Arial"/>
          <w:sz w:val="18"/>
          <w:szCs w:val="18"/>
          <w:color w:val="auto"/>
        </w:rPr>
        <w:t>$3.7 million for the quarter ended March 31, 2021, a result of increased compensation-related expenses not eligible for capitalization. As a percent of total revenue, product development expenses decreased to 8% for the quarter ended March 31, 2021 from 11% for the quarter ended March 31, 2020, as we continue to increase operating leverage resulting from the additional scale of our business.</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 and administrative expense increased $1.6 million, or 58%, from $2.7 million for the quarter ended March 31, 2020 to $4.3 million for the quarter ended March 31, 2021, primarily as a result of an increase in compensation-related expenses related to additional legal, accounting and financial headcount and third party expenses as we prepare to become a public company, as well as additional overhead expenses to support the growth of our business operations. As a percent of total revenue, general and administrative expenses remained flat at approximately 10% of revenue for both quarters.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Interest expense, net increased by $0.2 million, or 116%, from $ 0.2 million for the quarter ended March 31, 2020 to $0.3 million for the quarter ended March 31, 2021, as a result of additional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loss from our U.S. operating segment for the quarters ended March 31, 2021 and 2020, was $8.2 million and</w:t>
      </w:r>
    </w:p>
    <w:p>
      <w:pPr>
        <w:ind w:left="160"/>
        <w:spacing w:after="0" w:line="232" w:lineRule="auto"/>
        <w:rPr>
          <w:sz w:val="20"/>
          <w:szCs w:val="20"/>
          <w:color w:val="auto"/>
        </w:rPr>
      </w:pPr>
      <w:r>
        <w:rPr>
          <w:rFonts w:ascii="Arial" w:cs="Arial" w:eastAsia="Arial" w:hAnsi="Arial"/>
          <w:sz w:val="18"/>
          <w:szCs w:val="18"/>
          <w:color w:val="auto"/>
        </w:rPr>
        <w:t>$7.4 million, respectively. Total segment loss from our Europe operating segment for the quarters ended March 31, 2021 and 2020, was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$2.3 million and $1.2 million, respectively.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property and equipment for our U.S. operating segment for the quarter ended March 31, 2021, was $6.1 million.</w:t>
      </w:r>
    </w:p>
    <w:p>
      <w:pPr>
        <w:ind w:left="160"/>
        <w:spacing w:after="0"/>
        <w:rPr>
          <w:sz w:val="20"/>
          <w:szCs w:val="20"/>
          <w:color w:val="auto"/>
        </w:rPr>
      </w:pPr>
      <w:r>
        <w:rPr>
          <w:rFonts w:ascii="Arial" w:cs="Arial" w:eastAsia="Arial" w:hAnsi="Arial"/>
          <w:sz w:val="18"/>
          <w:szCs w:val="18"/>
          <w:color w:val="auto"/>
        </w:rPr>
        <w:t>Total segment property and equipment for our Europe operating segment for the quarter ended March 31, 2021, was $0.6 million.</w:t>
      </w:r>
    </w:p>
    <w:p>
      <w:pPr>
        <w:spacing w:after="0" w:line="208"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Total segment depreciation and amortization for our U.S. operating segment for the quarters ended March 31, 2021 and 2020, was $0.6 million and $0.5 million, respectively. Total segment depreciation and amortization for our Europe operating segment for the quarters ended March 31, 2021 and 2020, was $0.1 million and $0.2 million, respectively.</w:t>
      </w:r>
    </w:p>
    <w:p>
      <w:pPr>
        <w:spacing w:after="0" w:line="203" w:lineRule="exact"/>
        <w:rPr>
          <w:sz w:val="20"/>
          <w:szCs w:val="20"/>
          <w:color w:val="auto"/>
        </w:rPr>
      </w:pPr>
    </w:p>
    <w:p>
      <w:pPr>
        <w:ind w:left="160" w:firstLine="546"/>
        <w:spacing w:after="0" w:line="257" w:lineRule="auto"/>
        <w:rPr>
          <w:sz w:val="20"/>
          <w:szCs w:val="20"/>
          <w:color w:val="auto"/>
        </w:rPr>
      </w:pPr>
      <w:r>
        <w:rPr>
          <w:rFonts w:ascii="Arial" w:cs="Arial" w:eastAsia="Arial" w:hAnsi="Arial"/>
          <w:sz w:val="17"/>
          <w:szCs w:val="17"/>
          <w:color w:val="auto"/>
        </w:rPr>
        <w:t>Total cash paid to acquire property, equipment and long-lived assets for our U.S. operating segment during the quarters ended March 31, 2021 and 2020, was $1.1 million and $1.0 million, respectively. Total cash paid to acquire property, equipment and long-lived assets for our Europe operating segment during the quarters ended March 31, 2021 and 2020, was $0.2 million and $10,000, respectively.</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Total revenue increased $ 61.2 million, or 76%, from $ 80.2 million for the year ended December 31, 2019 to $141.4 million for the year ended December 31, 2020. This increase was primarily the result of an 83% increase in active buyers resulting from investment in sales and marketing, as well as existing buyers increasing their spend on the platform from the prior year.</w:t>
      </w:r>
    </w:p>
    <w:p>
      <w:pPr>
        <w:spacing w:after="0" w:line="20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year ended December 31, 2020, was $138.3 million and $3.1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Total cost of revenue increased $42.6 million, or 65%, from $ 65.5 million for the year ended December 31, 2019 to $108.1 million for the year ended December 31, 2020.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Gross profit increased $18.6 million, or 126%, from $14.7 million for the year ended December 31, 2019 to $33.3 million for the year ended December 31, 2020. The increase in gross profit was due primarily to the increase in revenue described above.</w:t>
      </w:r>
    </w:p>
    <w:p>
      <w:pPr>
        <w:spacing w:after="0" w:line="203"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Gross margin increased to 24% for the year ended December 31, 2020 from 18% for the year ended December 31, 2019. This increase was primarily the result of a growing number of active sellers, which increased 82% as of December 31, 2020 from the prior year, which continues to create greater competition and lower cost of revenue. Additionally, our AI-driven platform pricing has become more efficient due to the increased number of orders, improving the data set and thus making our pricing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p>
      <w:pPr>
        <w:ind w:left="160" w:right="740" w:firstLine="546"/>
        <w:spacing w:after="0" w:line="239" w:lineRule="auto"/>
        <w:rPr>
          <w:sz w:val="20"/>
          <w:szCs w:val="20"/>
          <w:color w:val="auto"/>
        </w:rPr>
      </w:pPr>
      <w:r>
        <w:rPr>
          <w:rFonts w:ascii="Arial" w:cs="Arial" w:eastAsia="Arial" w:hAnsi="Arial"/>
          <w:sz w:val="18"/>
          <w:szCs w:val="18"/>
          <w:color w:val="auto"/>
        </w:rPr>
        <w:t>Sales and marketing expense increased $8.0 million, or 55%, from $14.6 million for the year ended December 31, 2019 to $22.6 million for the year ended December 31, 2020, a result of</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color w:val="auto"/>
        </w:rPr>
        <w:t>continued investment to drive revenue growth and additional employees. As a percent of total revenue, sales and marketing expenses decreased to 16% for the year ended December 31, 2020 from 18% for the year ended December 31, 2019, as we continued to increase operating leverage resulting from the additional scale of our business.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Operations and support increased $3.8 million, or 37%, from $10.3 million for the year ended December 31, 2019 to $14.1 million for the year ended December 31, 2020, primarily as a result of additional compensation-related expenses due to additional headcount to support the growth of buyer and seller activity on our platform. As a percent of total revenue, operations and support expenses decreased to 10% for the year ended December 31, 2020 from 13% for the year ended December 31, 2019, as we continued to increase operating leverage resulting from the additional scale of our business.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Product development expense increased $1.5 million, or 15%, from $10.6 million for the year ended December 31, 2019 to $12.2 million for the year ended December 31, 2020, a result of increased compensation-related expenses resulting from continued investment in improvements to our platform and our buyer and seller products and services, as well as, to a lesser extent, platform infrastructure cost increases. As a percent of total revenue, product development expenses decreased to 9% for the year ended December 31, 2020 from 13% for the year ended December 31, 2019, as we continue to increase operating leverage resulting from the additional scale of our business.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General and administrative expense increased $4.0 million, or 50%, from $8.0 million for the year ended December 31, 2019 to $12.0 million for the year ended December 31, 2020, primarily as a result of an increase in compensation-related expenses related to additional legal, accounting and financial headcount as we prepare to become a public company, as well as additional overhead expenses to support the growth of our business operations. As a percent of total revenue, general and administrative expenses decreased to 9% for the year ended December 31, 2020 from 10% for the year ended December 31, 2019.</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30" w:lineRule="exact"/>
        <w:rPr>
          <w:sz w:val="20"/>
          <w:szCs w:val="20"/>
          <w:color w:val="auto"/>
        </w:rPr>
      </w:pPr>
    </w:p>
    <w:p>
      <w:pPr>
        <w:ind w:left="160" w:right="500" w:firstLine="546"/>
        <w:spacing w:after="0" w:line="236" w:lineRule="auto"/>
        <w:rPr>
          <w:sz w:val="20"/>
          <w:szCs w:val="20"/>
          <w:color w:val="auto"/>
        </w:rPr>
      </w:pPr>
      <w:r>
        <w:rPr>
          <w:rFonts w:ascii="Arial" w:cs="Arial" w:eastAsia="Arial" w:hAnsi="Arial"/>
          <w:sz w:val="18"/>
          <w:szCs w:val="18"/>
          <w:color w:val="auto"/>
        </w:rPr>
        <w:t>Goodwill and intangible assets impairment expense for the year ended December 31, 2020, was $1.6 million, as compared to $1.7 million for the year ended December 31, 2019. The impairment of goodwill and intangible assets expense for the years ended December 31, 2020 and 2019, was primarily attributable to lower-than-expected growth rates and non-realized synergies related to previous acquisitions.</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Total impairment of goodwill and intangible assets from our U.S. and Europe operating segments for the year ended December 31, 2020, was $0.1 million and $1.5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Interest expense, net increased by $0.8 million, or 352%, from $0.2 million for the year ended December 31, 2019 to $1.1 million for the year ended December 31, 2020, as a result of borrowings under our term loan facility.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expenses increased by $0.6 million, or 282%, from $0.2 million for the year ended December 31, 2019 to $0.8 million for the year ended December 31, 2020, as a result of additional sales tax remitted to certain governmental authorities.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23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losses from our U.S. and Europe operating segments for the year ended December 31, 2020, were $22.1 million and $9.0 million, respectively.</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property and equipment for our U.S. and Europe operating segments as of December 31, 2020, was $5.6 million and $0.5 million, respectively.</w:t>
      </w:r>
    </w:p>
    <w:p>
      <w:pPr>
        <w:spacing w:after="0" w:line="20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Total segment depreciation and amortization for our U.S. and Europe operating segments for the year ended December 31, 2020, was $2.4 million and $0.7 million, respectively.</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Total cash paid to acquire property, equipment and long-lived assets for our U.S. and Europe operating segments during the year ended December 31, 2020, was $3.7 million and $0.5 million, respectively.</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Results of Operations</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nine quarters and as a percentage of revenue for the quarters indicated. The information for each of these quarters has been prepared on a basis consistent with our audited annual financial statements appearing elsewhere in this prospectus and, in our opinion, include all normal recurring adjustments necessary for the fair statement of the financial information contained in those statements. The following unaudited quarterly financial data should be read in conjunction with our annual financial statements and the related notes included elsewhere in this prospectus. These quarterly results are not necessarily indicative of our operating results for a full year or any future period.</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w w:val="96"/>
              </w:rPr>
              <w:t>Quarter Ended</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March 31,</w:t>
            </w:r>
          </w:p>
        </w:tc>
        <w:tc>
          <w:tcPr>
            <w:tcW w:w="80" w:type="dxa"/>
            <w:vAlign w:val="bottom"/>
          </w:tcPr>
          <w:p>
            <w:pPr>
              <w:spacing w:after="0"/>
              <w:rPr>
                <w:sz w:val="8"/>
                <w:szCs w:val="8"/>
                <w:color w:val="auto"/>
              </w:rPr>
            </w:pPr>
          </w:p>
        </w:tc>
        <w:tc>
          <w:tcPr>
            <w:tcW w:w="580" w:type="dxa"/>
            <w:vAlign w:val="bottom"/>
            <w:gridSpan w:val="2"/>
          </w:tcPr>
          <w:p>
            <w:pPr>
              <w:jc w:val="center"/>
              <w:ind w:right="120"/>
              <w:spacing w:after="0" w:line="99" w:lineRule="exact"/>
              <w:rPr>
                <w:sz w:val="20"/>
                <w:szCs w:val="20"/>
                <w:color w:val="auto"/>
              </w:rPr>
            </w:pPr>
            <w:r>
              <w:rPr>
                <w:rFonts w:ascii="Arial" w:cs="Arial" w:eastAsia="Arial" w:hAnsi="Arial"/>
                <w:sz w:val="11"/>
                <w:szCs w:val="11"/>
                <w:b w:val="1"/>
                <w:bCs w:val="1"/>
                <w:color w:val="auto"/>
                <w:w w:val="95"/>
              </w:rPr>
              <w:t>June 30,</w:t>
            </w:r>
          </w:p>
        </w:tc>
        <w:tc>
          <w:tcPr>
            <w:tcW w:w="80" w:type="dxa"/>
            <w:vAlign w:val="bottom"/>
          </w:tcPr>
          <w:p>
            <w:pPr>
              <w:spacing w:after="0"/>
              <w:rPr>
                <w:sz w:val="8"/>
                <w:szCs w:val="8"/>
                <w:color w:val="auto"/>
              </w:rPr>
            </w:pPr>
          </w:p>
        </w:tc>
        <w:tc>
          <w:tcPr>
            <w:tcW w:w="84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8"/>
                <w:szCs w:val="8"/>
                <w:color w:val="auto"/>
              </w:rPr>
            </w:pPr>
          </w:p>
        </w:tc>
        <w:tc>
          <w:tcPr>
            <w:tcW w:w="76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8"/>
                <w:szCs w:val="8"/>
                <w:color w:val="auto"/>
              </w:rPr>
            </w:pPr>
          </w:p>
        </w:tc>
        <w:tc>
          <w:tcPr>
            <w:tcW w:w="68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March 31,</w:t>
            </w:r>
          </w:p>
        </w:tc>
        <w:tc>
          <w:tcPr>
            <w:tcW w:w="580" w:type="dxa"/>
            <w:vAlign w:val="bottom"/>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w w:val="95"/>
              </w:rPr>
              <w:t>June 30,</w:t>
            </w:r>
          </w:p>
        </w:tc>
        <w:tc>
          <w:tcPr>
            <w:tcW w:w="80" w:type="dxa"/>
            <w:vAlign w:val="bottom"/>
          </w:tcPr>
          <w:p>
            <w:pPr>
              <w:spacing w:after="0"/>
              <w:rPr>
                <w:sz w:val="8"/>
                <w:szCs w:val="8"/>
                <w:color w:val="auto"/>
              </w:rPr>
            </w:pPr>
          </w:p>
        </w:tc>
        <w:tc>
          <w:tcPr>
            <w:tcW w:w="84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8"/>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1"/>
                <w:szCs w:val="11"/>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9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59"/>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8"/>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1"/>
                <w:szCs w:val="11"/>
                <w:color w:val="auto"/>
              </w:rPr>
            </w:pPr>
          </w:p>
        </w:tc>
        <w:tc>
          <w:tcPr>
            <w:tcW w:w="460" w:type="dxa"/>
            <w:vAlign w:val="bottom"/>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78"/>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78"/>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580" w:type="dxa"/>
            <w:vAlign w:val="bottom"/>
            <w:gridSpan w:val="2"/>
          </w:tcPr>
          <w:p>
            <w:pPr>
              <w:jc w:val="right"/>
              <w:ind w:right="8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6"/>
          </w:tcPr>
          <w:p>
            <w:pPr>
              <w:jc w:val="right"/>
              <w:ind w:right="400"/>
              <w:spacing w:after="0" w:line="99" w:lineRule="exact"/>
              <w:rPr>
                <w:sz w:val="20"/>
                <w:szCs w:val="20"/>
                <w:color w:val="auto"/>
              </w:rPr>
            </w:pPr>
            <w:r>
              <w:rPr>
                <w:rFonts w:ascii="Arial" w:cs="Arial" w:eastAsia="Arial" w:hAnsi="Arial"/>
                <w:sz w:val="11"/>
                <w:szCs w:val="11"/>
                <w:b w:val="1"/>
                <w:bCs w:val="1"/>
                <w:color w:val="auto"/>
              </w:rPr>
              <w:t>(in thousands)</w:t>
            </w: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6"/>
          </w:tcPr>
          <w:p>
            <w:pPr>
              <w:ind w:left="360"/>
              <w:spacing w:after="0"/>
              <w:rPr>
                <w:sz w:val="20"/>
                <w:szCs w:val="20"/>
                <w:color w:val="auto"/>
              </w:rPr>
            </w:pPr>
            <w:r>
              <w:rPr>
                <w:rFonts w:ascii="Arial" w:cs="Arial" w:eastAsia="Arial" w:hAnsi="Arial"/>
                <w:sz w:val="11"/>
                <w:szCs w:val="11"/>
                <w:b w:val="1"/>
                <w:bCs w:val="1"/>
                <w:color w:val="auto"/>
              </w:rPr>
              <w:t>(unaudited)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15,248</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$ 18,799</w:t>
            </w:r>
          </w:p>
        </w:tc>
        <w:tc>
          <w:tcPr>
            <w:tcW w:w="24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21,923</w:t>
            </w:r>
          </w:p>
        </w:tc>
        <w:tc>
          <w:tcPr>
            <w:tcW w:w="24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24,258</w:t>
            </w:r>
          </w:p>
        </w:tc>
        <w:tc>
          <w:tcPr>
            <w:tcW w:w="22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26,689</w:t>
            </w:r>
          </w:p>
        </w:tc>
        <w:tc>
          <w:tcPr>
            <w:tcW w:w="5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w w:val="94"/>
              </w:rPr>
              <w:t>$ 34,783</w:t>
            </w:r>
          </w:p>
        </w:tc>
        <w:tc>
          <w:tcPr>
            <w:tcW w:w="24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41,953</w:t>
            </w:r>
          </w:p>
        </w:tc>
        <w:tc>
          <w:tcPr>
            <w:tcW w:w="22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37,980</w:t>
            </w:r>
          </w:p>
        </w:tc>
        <w:tc>
          <w:tcPr>
            <w:tcW w:w="66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$ 43,922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10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12,368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15,141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17,999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19,984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21,324</w:t>
            </w:r>
          </w:p>
        </w:tc>
        <w:tc>
          <w:tcPr>
            <w:tcW w:w="5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26,518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31,778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28,501</w:t>
            </w:r>
          </w:p>
        </w:tc>
        <w:tc>
          <w:tcPr>
            <w:tcW w:w="6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3,658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3,924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4,274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5,365</w:t>
            </w:r>
          </w:p>
        </w:tc>
        <w:tc>
          <w:tcPr>
            <w:tcW w:w="5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8,265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10,175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9,479</w:t>
            </w:r>
          </w:p>
        </w:tc>
        <w:tc>
          <w:tcPr>
            <w:tcW w:w="66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9,835</w:t>
            </w:r>
          </w:p>
        </w:tc>
        <w:tc>
          <w:tcPr>
            <w:tcW w:w="0" w:type="dxa"/>
            <w:vAlign w:val="bottom"/>
          </w:tcPr>
          <w:p>
            <w:pPr>
              <w:spacing w:after="0"/>
              <w:rPr>
                <w:sz w:val="1"/>
                <w:szCs w:val="1"/>
                <w:color w:val="auto"/>
              </w:rPr>
            </w:pPr>
          </w:p>
        </w:tc>
      </w:tr>
      <w:tr>
        <w:trPr>
          <w:trHeight w:val="140"/>
        </w:trPr>
        <w:tc>
          <w:tcPr>
            <w:tcW w:w="40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2,681</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3,426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4,139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4,352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4,730</w:t>
            </w:r>
          </w:p>
        </w:tc>
        <w:tc>
          <w:tcPr>
            <w:tcW w:w="5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5,126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5,986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6,725</w:t>
            </w:r>
          </w:p>
        </w:tc>
        <w:tc>
          <w:tcPr>
            <w:tcW w:w="66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7,563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10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2,300</w:t>
            </w:r>
          </w:p>
        </w:tc>
        <w:tc>
          <w:tcPr>
            <w:tcW w:w="100" w:type="dxa"/>
            <w:vAlign w:val="bottom"/>
          </w:tcPr>
          <w:p>
            <w:pPr>
              <w:spacing w:after="0"/>
              <w:rPr>
                <w:sz w:val="11"/>
                <w:szCs w:val="11"/>
                <w:color w:val="auto"/>
              </w:rPr>
            </w:pPr>
          </w:p>
        </w:tc>
        <w:tc>
          <w:tcPr>
            <w:tcW w:w="66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2,326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2,673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3,015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3,293</w:t>
            </w:r>
          </w:p>
        </w:tc>
        <w:tc>
          <w:tcPr>
            <w:tcW w:w="5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3,173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3,671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3,973</w:t>
            </w:r>
          </w:p>
        </w:tc>
        <w:tc>
          <w:tcPr>
            <w:tcW w:w="6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4,330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2,020</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2,479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2,879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3,260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2,958</w:t>
            </w:r>
          </w:p>
        </w:tc>
        <w:tc>
          <w:tcPr>
            <w:tcW w:w="5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2,919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3,003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3,307</w:t>
            </w:r>
          </w:p>
        </w:tc>
        <w:tc>
          <w:tcPr>
            <w:tcW w:w="66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3,664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10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1,490</w:t>
            </w:r>
          </w:p>
        </w:tc>
        <w:tc>
          <w:tcPr>
            <w:tcW w:w="100" w:type="dxa"/>
            <w:vAlign w:val="bottom"/>
          </w:tcPr>
          <w:p>
            <w:pPr>
              <w:spacing w:after="0"/>
              <w:rPr>
                <w:sz w:val="11"/>
                <w:szCs w:val="11"/>
                <w:color w:val="auto"/>
              </w:rPr>
            </w:pPr>
          </w:p>
        </w:tc>
        <w:tc>
          <w:tcPr>
            <w:tcW w:w="66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2,028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2,175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2,323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2,736</w:t>
            </w:r>
          </w:p>
        </w:tc>
        <w:tc>
          <w:tcPr>
            <w:tcW w:w="5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2,774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3,282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3,255</w:t>
            </w:r>
          </w:p>
        </w:tc>
        <w:tc>
          <w:tcPr>
            <w:tcW w:w="6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4,327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1,719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1,592</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00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8,491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10,259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11,866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14,669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13,717</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13,992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15,942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18,852</w:t>
            </w:r>
          </w:p>
        </w:tc>
        <w:tc>
          <w:tcPr>
            <w:tcW w:w="660" w:type="dxa"/>
            <w:vAlign w:val="bottom"/>
            <w:gridSpan w:val="3"/>
          </w:tcPr>
          <w:p>
            <w:pPr>
              <w:jc w:val="right"/>
              <w:ind w:right="80"/>
              <w:spacing w:after="0"/>
              <w:rPr>
                <w:sz w:val="20"/>
                <w:szCs w:val="20"/>
                <w:color w:val="auto"/>
              </w:rPr>
            </w:pPr>
            <w:r>
              <w:rPr>
                <w:rFonts w:ascii="Arial" w:cs="Arial" w:eastAsia="Arial" w:hAnsi="Arial"/>
                <w:sz w:val="12"/>
                <w:szCs w:val="12"/>
                <w:color w:val="auto"/>
              </w:rPr>
              <w:t>19,884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(5,611)</w:t>
            </w:r>
          </w:p>
        </w:tc>
        <w:tc>
          <w:tcPr>
            <w:tcW w:w="66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(6,601)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(7,942)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(10,395)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(8,352)</w:t>
            </w: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(5,727)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(5,767)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(9,373)</w:t>
            </w:r>
          </w:p>
        </w:tc>
        <w:tc>
          <w:tcPr>
            <w:tcW w:w="66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(10,049)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(170)</w:t>
            </w:r>
          </w:p>
        </w:tc>
        <w:tc>
          <w:tcPr>
            <w:tcW w:w="66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(153)</w:t>
            </w: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(264)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(307)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(365)</w:t>
            </w:r>
          </w:p>
        </w:tc>
        <w:tc>
          <w:tcPr>
            <w:tcW w:w="66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10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(102)</w:t>
            </w:r>
          </w:p>
        </w:tc>
        <w:tc>
          <w:tcPr>
            <w:tcW w:w="5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(440)</w:t>
            </w:r>
          </w:p>
        </w:tc>
        <w:tc>
          <w:tcPr>
            <w:tcW w:w="66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(124)</w:t>
            </w:r>
          </w:p>
        </w:tc>
        <w:tc>
          <w:tcPr>
            <w:tcW w:w="66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(148)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(255)</w:t>
            </w: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(393)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(416)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(805)</w:t>
            </w:r>
          </w:p>
        </w:tc>
        <w:tc>
          <w:tcPr>
            <w:tcW w:w="66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(5,735)</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(6,749)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(7,977)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(10,531)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(8,607)</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(6,120)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(6,183)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(10,178)</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color w:val="auto"/>
              </w:rPr>
              <w:t>(10,501)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ind w:left="36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(8,801)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2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(5,735)</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 (6,749)</w:t>
            </w:r>
          </w:p>
        </w:tc>
        <w:tc>
          <w:tcPr>
            <w:tcW w:w="24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(7,977)</w:t>
            </w:r>
          </w:p>
        </w:tc>
        <w:tc>
          <w:tcPr>
            <w:tcW w:w="24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(10,531)</w:t>
            </w:r>
          </w:p>
        </w:tc>
        <w:tc>
          <w:tcPr>
            <w:tcW w:w="220" w:type="dxa"/>
            <w:vAlign w:val="bottom"/>
            <w:gridSpan w:val="2"/>
          </w:tcPr>
          <w:p>
            <w:pPr>
              <w:ind w:left="140"/>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(8,607)</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 (6,120)</w:t>
            </w:r>
          </w:p>
        </w:tc>
        <w:tc>
          <w:tcPr>
            <w:tcW w:w="24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(14,984)</w:t>
            </w:r>
          </w:p>
        </w:tc>
        <w:tc>
          <w:tcPr>
            <w:tcW w:w="2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(10,178)</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w w:val="96"/>
              </w:rPr>
              <w:t>Quarter Ended</w:t>
            </w:r>
          </w:p>
        </w:tc>
        <w:tc>
          <w:tcPr>
            <w:tcW w:w="4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80" w:type="dxa"/>
            <w:vAlign w:val="bottom"/>
            <w:gridSpan w:val="2"/>
          </w:tcPr>
          <w:p>
            <w:pPr>
              <w:jc w:val="right"/>
              <w:ind w:right="280"/>
              <w:spacing w:after="0" w:line="99" w:lineRule="exact"/>
              <w:rPr>
                <w:sz w:val="20"/>
                <w:szCs w:val="20"/>
                <w:color w:val="auto"/>
              </w:rPr>
            </w:pPr>
            <w:r>
              <w:rPr>
                <w:rFonts w:ascii="Arial" w:cs="Arial" w:eastAsia="Arial" w:hAnsi="Arial"/>
                <w:sz w:val="11"/>
                <w:szCs w:val="11"/>
                <w:b w:val="1"/>
                <w:bCs w:val="1"/>
                <w:color w:val="auto"/>
                <w:w w:val="94"/>
              </w:rPr>
              <w:t>March 31,</w:t>
            </w:r>
          </w:p>
        </w:tc>
        <w:tc>
          <w:tcPr>
            <w:tcW w:w="740" w:type="dxa"/>
            <w:vAlign w:val="bottom"/>
            <w:gridSpan w:val="2"/>
          </w:tcPr>
          <w:p>
            <w:pPr>
              <w:jc w:val="center"/>
              <w:ind w:right="280"/>
              <w:spacing w:after="0" w:line="99" w:lineRule="exact"/>
              <w:rPr>
                <w:sz w:val="20"/>
                <w:szCs w:val="20"/>
                <w:color w:val="auto"/>
              </w:rPr>
            </w:pPr>
            <w:r>
              <w:rPr>
                <w:rFonts w:ascii="Arial" w:cs="Arial" w:eastAsia="Arial" w:hAnsi="Arial"/>
                <w:sz w:val="11"/>
                <w:szCs w:val="11"/>
                <w:b w:val="1"/>
                <w:bCs w:val="1"/>
                <w:color w:val="auto"/>
                <w:w w:val="95"/>
              </w:rPr>
              <w:t>June 30,</w:t>
            </w:r>
          </w:p>
        </w:tc>
        <w:tc>
          <w:tcPr>
            <w:tcW w:w="1040" w:type="dxa"/>
            <w:vAlign w:val="bottom"/>
            <w:gridSpan w:val="2"/>
          </w:tcPr>
          <w:p>
            <w:pPr>
              <w:jc w:val="right"/>
              <w:ind w:right="300"/>
              <w:spacing w:after="0" w:line="99" w:lineRule="exact"/>
              <w:rPr>
                <w:sz w:val="20"/>
                <w:szCs w:val="20"/>
                <w:color w:val="auto"/>
              </w:rPr>
            </w:pPr>
            <w:r>
              <w:rPr>
                <w:rFonts w:ascii="Arial" w:cs="Arial" w:eastAsia="Arial" w:hAnsi="Arial"/>
                <w:sz w:val="11"/>
                <w:szCs w:val="11"/>
                <w:b w:val="1"/>
                <w:bCs w:val="1"/>
                <w:color w:val="auto"/>
                <w:w w:val="95"/>
              </w:rPr>
              <w:t>September 30,</w:t>
            </w:r>
          </w:p>
        </w:tc>
        <w:tc>
          <w:tcPr>
            <w:tcW w:w="880" w:type="dxa"/>
            <w:vAlign w:val="bottom"/>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8"/>
                <w:szCs w:val="8"/>
                <w:color w:val="auto"/>
              </w:rPr>
            </w:pPr>
          </w:p>
        </w:tc>
        <w:tc>
          <w:tcPr>
            <w:tcW w:w="800" w:type="dxa"/>
            <w:vAlign w:val="bottom"/>
            <w:gridSpan w:val="2"/>
          </w:tcPr>
          <w:p>
            <w:pPr>
              <w:jc w:val="right"/>
              <w:ind w:right="300"/>
              <w:spacing w:after="0" w:line="99" w:lineRule="exact"/>
              <w:rPr>
                <w:sz w:val="20"/>
                <w:szCs w:val="20"/>
                <w:color w:val="auto"/>
              </w:rPr>
            </w:pPr>
            <w:r>
              <w:rPr>
                <w:rFonts w:ascii="Arial" w:cs="Arial" w:eastAsia="Arial" w:hAnsi="Arial"/>
                <w:sz w:val="11"/>
                <w:szCs w:val="11"/>
                <w:b w:val="1"/>
                <w:bCs w:val="1"/>
                <w:color w:val="auto"/>
                <w:w w:val="94"/>
              </w:rPr>
              <w:t>March 31,</w:t>
            </w: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5"/>
              </w:rPr>
              <w:t>June 30,</w:t>
            </w:r>
          </w:p>
        </w:tc>
        <w:tc>
          <w:tcPr>
            <w:tcW w:w="1040" w:type="dxa"/>
            <w:vAlign w:val="bottom"/>
            <w:gridSpan w:val="2"/>
          </w:tcPr>
          <w:p>
            <w:pPr>
              <w:jc w:val="right"/>
              <w:ind w:right="300"/>
              <w:spacing w:after="0" w:line="99" w:lineRule="exact"/>
              <w:rPr>
                <w:sz w:val="20"/>
                <w:szCs w:val="20"/>
                <w:color w:val="auto"/>
              </w:rPr>
            </w:pPr>
            <w:r>
              <w:rPr>
                <w:rFonts w:ascii="Arial" w:cs="Arial" w:eastAsia="Arial" w:hAnsi="Arial"/>
                <w:sz w:val="11"/>
                <w:szCs w:val="11"/>
                <w:b w:val="1"/>
                <w:bCs w:val="1"/>
                <w:color w:val="auto"/>
                <w:w w:val="95"/>
              </w:rPr>
              <w:t>September 30,</w:t>
            </w:r>
          </w:p>
        </w:tc>
        <w:tc>
          <w:tcPr>
            <w:tcW w:w="102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4"/>
              </w:rPr>
              <w:t>December 31,</w:t>
            </w:r>
          </w:p>
        </w:tc>
        <w:tc>
          <w:tcPr>
            <w:tcW w:w="500" w:type="dxa"/>
            <w:vAlign w:val="bottom"/>
          </w:tcPr>
          <w:p>
            <w:pPr>
              <w:jc w:val="right"/>
              <w:spacing w:after="0" w:line="99" w:lineRule="exact"/>
              <w:rPr>
                <w:sz w:val="20"/>
                <w:szCs w:val="20"/>
                <w:color w:val="auto"/>
              </w:rPr>
            </w:pPr>
            <w:r>
              <w:rPr>
                <w:rFonts w:ascii="Arial" w:cs="Arial" w:eastAsia="Arial" w:hAnsi="Arial"/>
                <w:sz w:val="11"/>
                <w:szCs w:val="11"/>
                <w:b w:val="1"/>
                <w:bCs w:val="1"/>
                <w:color w:val="auto"/>
                <w:w w:val="94"/>
              </w:rPr>
              <w:t>March 31,</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2019</w:t>
            </w: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1"/>
                <w:szCs w:val="11"/>
                <w:b w:val="1"/>
                <w:bCs w:val="1"/>
                <w:color w:val="auto"/>
              </w:rPr>
              <w:t>2019</w:t>
            </w: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2020</w:t>
            </w:r>
          </w:p>
        </w:tc>
        <w:tc>
          <w:tcPr>
            <w:tcW w:w="300" w:type="dxa"/>
            <w:vAlign w:val="bottom"/>
          </w:tcPr>
          <w:p>
            <w:pPr>
              <w:spacing w:after="0"/>
              <w:rPr>
                <w:sz w:val="11"/>
                <w:szCs w:val="1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0" w:type="dxa"/>
            <w:vAlign w:val="bottom"/>
            <w:gridSpan w:val="5"/>
          </w:tcPr>
          <w:p>
            <w:pPr>
              <w:jc w:val="right"/>
              <w:ind w:right="440"/>
              <w:spacing w:after="0" w:line="99" w:lineRule="exact"/>
              <w:rPr>
                <w:sz w:val="20"/>
                <w:szCs w:val="20"/>
                <w:color w:val="auto"/>
              </w:rPr>
            </w:pPr>
            <w:r>
              <w:rPr>
                <w:rFonts w:ascii="Arial" w:cs="Arial" w:eastAsia="Arial" w:hAnsi="Arial"/>
                <w:sz w:val="11"/>
                <w:szCs w:val="11"/>
                <w:b w:val="1"/>
                <w:bCs w:val="1"/>
                <w:color w:val="auto"/>
              </w:rPr>
              <w:t>(as a % of revenue)</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1"/>
                <w:szCs w:val="11"/>
                <w:b w:val="1"/>
                <w:bCs w:val="1"/>
                <w:color w:val="auto"/>
              </w:rPr>
              <w:t>(unaudited)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81.1</w:t>
            </w:r>
          </w:p>
        </w:tc>
        <w:tc>
          <w:tcPr>
            <w:tcW w:w="280" w:type="dxa"/>
            <w:vAlign w:val="bottom"/>
          </w:tcPr>
          <w:p>
            <w:pPr>
              <w:spacing w:after="0"/>
              <w:rPr>
                <w:sz w:val="11"/>
                <w:szCs w:val="11"/>
                <w:color w:val="auto"/>
              </w:rPr>
            </w:pPr>
          </w:p>
        </w:tc>
        <w:tc>
          <w:tcPr>
            <w:tcW w:w="7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80.5</w:t>
            </w:r>
          </w:p>
        </w:tc>
        <w:tc>
          <w:tcPr>
            <w:tcW w:w="10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82.1</w:t>
            </w:r>
          </w:p>
        </w:tc>
        <w:tc>
          <w:tcPr>
            <w:tcW w:w="8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82.4</w:t>
            </w:r>
          </w:p>
        </w:tc>
        <w:tc>
          <w:tcPr>
            <w:tcW w:w="920" w:type="dxa"/>
            <w:vAlign w:val="bottom"/>
            <w:gridSpan w:val="3"/>
          </w:tcPr>
          <w:p>
            <w:pPr>
              <w:jc w:val="right"/>
              <w:ind w:right="300"/>
              <w:spacing w:after="0" w:line="134" w:lineRule="exact"/>
              <w:rPr>
                <w:sz w:val="20"/>
                <w:szCs w:val="20"/>
                <w:color w:val="auto"/>
              </w:rPr>
            </w:pPr>
            <w:r>
              <w:rPr>
                <w:rFonts w:ascii="Arial" w:cs="Arial" w:eastAsia="Arial" w:hAnsi="Arial"/>
                <w:sz w:val="12"/>
                <w:szCs w:val="12"/>
                <w:color w:val="auto"/>
              </w:rPr>
              <w:t>79.9</w:t>
            </w:r>
          </w:p>
        </w:tc>
        <w:tc>
          <w:tcPr>
            <w:tcW w:w="7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76.2</w:t>
            </w:r>
          </w:p>
        </w:tc>
        <w:tc>
          <w:tcPr>
            <w:tcW w:w="10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75.7</w:t>
            </w:r>
          </w:p>
        </w:tc>
        <w:tc>
          <w:tcPr>
            <w:tcW w:w="102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75.0</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19.5</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17.9</w:t>
            </w:r>
          </w:p>
        </w:tc>
        <w:tc>
          <w:tcPr>
            <w:tcW w:w="8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17.6</w:t>
            </w:r>
          </w:p>
        </w:tc>
        <w:tc>
          <w:tcPr>
            <w:tcW w:w="920" w:type="dxa"/>
            <w:vAlign w:val="bottom"/>
            <w:gridSpan w:val="3"/>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20.1</w:t>
            </w:r>
          </w:p>
        </w:tc>
        <w:tc>
          <w:tcPr>
            <w:tcW w:w="76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23.8</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24.3</w:t>
            </w:r>
          </w:p>
        </w:tc>
        <w:tc>
          <w:tcPr>
            <w:tcW w:w="102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25.0</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17.6</w:t>
            </w:r>
          </w:p>
        </w:tc>
        <w:tc>
          <w:tcPr>
            <w:tcW w:w="7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18.2</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18.9</w:t>
            </w:r>
          </w:p>
        </w:tc>
        <w:tc>
          <w:tcPr>
            <w:tcW w:w="8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17.9</w:t>
            </w:r>
          </w:p>
        </w:tc>
        <w:tc>
          <w:tcPr>
            <w:tcW w:w="920" w:type="dxa"/>
            <w:vAlign w:val="bottom"/>
            <w:gridSpan w:val="3"/>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17.7</w:t>
            </w:r>
          </w:p>
        </w:tc>
        <w:tc>
          <w:tcPr>
            <w:tcW w:w="76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14.7</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14.3</w:t>
            </w:r>
          </w:p>
        </w:tc>
        <w:tc>
          <w:tcPr>
            <w:tcW w:w="102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17.7</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15.1</w:t>
            </w:r>
          </w:p>
        </w:tc>
        <w:tc>
          <w:tcPr>
            <w:tcW w:w="7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12.4</w:t>
            </w:r>
          </w:p>
        </w:tc>
        <w:tc>
          <w:tcPr>
            <w:tcW w:w="10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12.2</w:t>
            </w:r>
          </w:p>
        </w:tc>
        <w:tc>
          <w:tcPr>
            <w:tcW w:w="8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12.4</w:t>
            </w:r>
          </w:p>
        </w:tc>
        <w:tc>
          <w:tcPr>
            <w:tcW w:w="920" w:type="dxa"/>
            <w:vAlign w:val="bottom"/>
            <w:gridSpan w:val="3"/>
          </w:tcPr>
          <w:p>
            <w:pPr>
              <w:jc w:val="right"/>
              <w:ind w:right="300"/>
              <w:spacing w:after="0" w:line="134" w:lineRule="exact"/>
              <w:rPr>
                <w:sz w:val="20"/>
                <w:szCs w:val="20"/>
                <w:color w:val="auto"/>
              </w:rPr>
            </w:pPr>
            <w:r>
              <w:rPr>
                <w:rFonts w:ascii="Arial" w:cs="Arial" w:eastAsia="Arial" w:hAnsi="Arial"/>
                <w:sz w:val="12"/>
                <w:szCs w:val="12"/>
                <w:color w:val="auto"/>
              </w:rPr>
              <w:t>12.3</w:t>
            </w:r>
          </w:p>
        </w:tc>
        <w:tc>
          <w:tcPr>
            <w:tcW w:w="7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9.1</w:t>
            </w:r>
          </w:p>
        </w:tc>
        <w:tc>
          <w:tcPr>
            <w:tcW w:w="10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8.8</w:t>
            </w:r>
          </w:p>
        </w:tc>
        <w:tc>
          <w:tcPr>
            <w:tcW w:w="102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10.5</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13.2</w:t>
            </w:r>
          </w:p>
        </w:tc>
        <w:tc>
          <w:tcPr>
            <w:tcW w:w="7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13.2</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13.1</w:t>
            </w:r>
          </w:p>
        </w:tc>
        <w:tc>
          <w:tcPr>
            <w:tcW w:w="8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13.4</w:t>
            </w:r>
          </w:p>
        </w:tc>
        <w:tc>
          <w:tcPr>
            <w:tcW w:w="920" w:type="dxa"/>
            <w:vAlign w:val="bottom"/>
            <w:gridSpan w:val="3"/>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11.1</w:t>
            </w:r>
          </w:p>
        </w:tc>
        <w:tc>
          <w:tcPr>
            <w:tcW w:w="76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8.4</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7.2</w:t>
            </w:r>
          </w:p>
        </w:tc>
        <w:tc>
          <w:tcPr>
            <w:tcW w:w="102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8.7</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9.8</w:t>
            </w:r>
          </w:p>
        </w:tc>
        <w:tc>
          <w:tcPr>
            <w:tcW w:w="7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10.8</w:t>
            </w:r>
          </w:p>
        </w:tc>
        <w:tc>
          <w:tcPr>
            <w:tcW w:w="10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9.9</w:t>
            </w:r>
          </w:p>
        </w:tc>
        <w:tc>
          <w:tcPr>
            <w:tcW w:w="8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9.6</w:t>
            </w:r>
          </w:p>
        </w:tc>
        <w:tc>
          <w:tcPr>
            <w:tcW w:w="920" w:type="dxa"/>
            <w:vAlign w:val="bottom"/>
            <w:gridSpan w:val="3"/>
          </w:tcPr>
          <w:p>
            <w:pPr>
              <w:jc w:val="right"/>
              <w:ind w:right="300"/>
              <w:spacing w:after="0" w:line="134" w:lineRule="exact"/>
              <w:rPr>
                <w:sz w:val="20"/>
                <w:szCs w:val="20"/>
                <w:color w:val="auto"/>
              </w:rPr>
            </w:pPr>
            <w:r>
              <w:rPr>
                <w:rFonts w:ascii="Arial" w:cs="Arial" w:eastAsia="Arial" w:hAnsi="Arial"/>
                <w:sz w:val="12"/>
                <w:szCs w:val="12"/>
                <w:color w:val="auto"/>
              </w:rPr>
              <w:t>10.3</w:t>
            </w:r>
          </w:p>
        </w:tc>
        <w:tc>
          <w:tcPr>
            <w:tcW w:w="7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8.0</w:t>
            </w:r>
          </w:p>
        </w:tc>
        <w:tc>
          <w:tcPr>
            <w:tcW w:w="104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7.8</w:t>
            </w:r>
          </w:p>
        </w:tc>
        <w:tc>
          <w:tcPr>
            <w:tcW w:w="102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8.6</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ind w:left="260"/>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60"/>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80"/>
              <w:spacing w:after="0" w:line="134"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80"/>
              <w:spacing w:after="0" w:line="134"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4.2</w:t>
            </w:r>
          </w:p>
        </w:tc>
        <w:tc>
          <w:tcPr>
            <w:tcW w:w="6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2"/>
                <w:szCs w:val="12"/>
                <w:color w:val="auto"/>
              </w:rPr>
              <w:t>55.7</w:t>
            </w:r>
          </w:p>
        </w:tc>
        <w:tc>
          <w:tcPr>
            <w:tcW w:w="2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54.6</w:t>
            </w:r>
          </w:p>
        </w:tc>
        <w:tc>
          <w:tcPr>
            <w:tcW w:w="1040" w:type="dxa"/>
            <w:vAlign w:val="bottom"/>
            <w:gridSpan w:val="2"/>
          </w:tcPr>
          <w:p>
            <w:pPr>
              <w:jc w:val="right"/>
              <w:ind w:right="300"/>
              <w:spacing w:after="0"/>
              <w:rPr>
                <w:sz w:val="20"/>
                <w:szCs w:val="20"/>
                <w:color w:val="auto"/>
              </w:rPr>
            </w:pPr>
            <w:r>
              <w:rPr>
                <w:rFonts w:ascii="Arial" w:cs="Arial" w:eastAsia="Arial" w:hAnsi="Arial"/>
                <w:sz w:val="12"/>
                <w:szCs w:val="12"/>
                <w:color w:val="auto"/>
              </w:rPr>
              <w:t>54.1</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60.4</w:t>
            </w:r>
          </w:p>
        </w:tc>
        <w:tc>
          <w:tcPr>
            <w:tcW w:w="920" w:type="dxa"/>
            <w:vAlign w:val="bottom"/>
            <w:gridSpan w:val="3"/>
          </w:tcPr>
          <w:p>
            <w:pPr>
              <w:jc w:val="right"/>
              <w:ind w:right="300"/>
              <w:spacing w:after="0"/>
              <w:rPr>
                <w:sz w:val="20"/>
                <w:szCs w:val="20"/>
                <w:color w:val="auto"/>
              </w:rPr>
            </w:pPr>
            <w:r>
              <w:rPr>
                <w:rFonts w:ascii="Arial" w:cs="Arial" w:eastAsia="Arial" w:hAnsi="Arial"/>
                <w:sz w:val="12"/>
                <w:szCs w:val="12"/>
                <w:color w:val="auto"/>
              </w:rPr>
              <w:t>51.4</w:t>
            </w:r>
          </w:p>
        </w:tc>
        <w:tc>
          <w:tcPr>
            <w:tcW w:w="760" w:type="dxa"/>
            <w:vAlign w:val="bottom"/>
            <w:gridSpan w:val="2"/>
          </w:tcPr>
          <w:p>
            <w:pPr>
              <w:jc w:val="right"/>
              <w:ind w:right="300"/>
              <w:spacing w:after="0"/>
              <w:rPr>
                <w:sz w:val="20"/>
                <w:szCs w:val="20"/>
                <w:color w:val="auto"/>
              </w:rPr>
            </w:pPr>
            <w:r>
              <w:rPr>
                <w:rFonts w:ascii="Arial" w:cs="Arial" w:eastAsia="Arial" w:hAnsi="Arial"/>
                <w:sz w:val="12"/>
                <w:szCs w:val="12"/>
                <w:color w:val="auto"/>
              </w:rPr>
              <w:t>40.2</w:t>
            </w:r>
          </w:p>
        </w:tc>
        <w:tc>
          <w:tcPr>
            <w:tcW w:w="1040" w:type="dxa"/>
            <w:vAlign w:val="bottom"/>
            <w:gridSpan w:val="2"/>
          </w:tcPr>
          <w:p>
            <w:pPr>
              <w:jc w:val="right"/>
              <w:ind w:right="300"/>
              <w:spacing w:after="0"/>
              <w:rPr>
                <w:sz w:val="20"/>
                <w:szCs w:val="20"/>
                <w:color w:val="auto"/>
              </w:rPr>
            </w:pPr>
            <w:r>
              <w:rPr>
                <w:rFonts w:ascii="Arial" w:cs="Arial" w:eastAsia="Arial" w:hAnsi="Arial"/>
                <w:sz w:val="12"/>
                <w:szCs w:val="12"/>
                <w:color w:val="auto"/>
              </w:rPr>
              <w:t>38.1</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49.7</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(36.8)</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(35.1)</w:t>
            </w:r>
          </w:p>
        </w:tc>
        <w:tc>
          <w:tcPr>
            <w:tcW w:w="10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(36.2)</w:t>
            </w:r>
          </w:p>
        </w:tc>
        <w:tc>
          <w:tcPr>
            <w:tcW w:w="8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(42.8)</w:t>
            </w:r>
          </w:p>
        </w:tc>
        <w:tc>
          <w:tcPr>
            <w:tcW w:w="920" w:type="dxa"/>
            <w:vAlign w:val="bottom"/>
            <w:gridSpan w:val="3"/>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(31.3)</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(16.4)</w:t>
            </w:r>
          </w:p>
        </w:tc>
        <w:tc>
          <w:tcPr>
            <w:tcW w:w="10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(13.8)</w:t>
            </w:r>
          </w:p>
        </w:tc>
        <w:tc>
          <w:tcPr>
            <w:tcW w:w="102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(24.7)</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(0.4)</w:t>
            </w:r>
          </w:p>
        </w:tc>
        <w:tc>
          <w:tcPr>
            <w:tcW w:w="10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0.3</w:t>
            </w:r>
          </w:p>
        </w:tc>
        <w:tc>
          <w:tcPr>
            <w:tcW w:w="8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(0.2)</w:t>
            </w:r>
          </w:p>
        </w:tc>
        <w:tc>
          <w:tcPr>
            <w:tcW w:w="920" w:type="dxa"/>
            <w:vAlign w:val="bottom"/>
            <w:gridSpan w:val="3"/>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(0.6)</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(0.8)</w:t>
            </w:r>
          </w:p>
        </w:tc>
        <w:tc>
          <w:tcPr>
            <w:tcW w:w="10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(0.7)</w:t>
            </w:r>
          </w:p>
        </w:tc>
        <w:tc>
          <w:tcPr>
            <w:tcW w:w="102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(1.0)</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0.3</w:t>
            </w:r>
          </w:p>
        </w:tc>
        <w:tc>
          <w:tcPr>
            <w:tcW w:w="280" w:type="dxa"/>
            <w:vAlign w:val="bottom"/>
          </w:tcPr>
          <w:p>
            <w:pPr>
              <w:spacing w:after="0"/>
              <w:rPr>
                <w:sz w:val="11"/>
                <w:szCs w:val="11"/>
                <w:color w:val="auto"/>
              </w:rPr>
            </w:pPr>
          </w:p>
        </w:tc>
        <w:tc>
          <w:tcPr>
            <w:tcW w:w="7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(0.4)</w:t>
            </w:r>
          </w:p>
        </w:tc>
        <w:tc>
          <w:tcPr>
            <w:tcW w:w="10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(0.4)</w:t>
            </w:r>
          </w:p>
        </w:tc>
        <w:tc>
          <w:tcPr>
            <w:tcW w:w="8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(0.3)</w:t>
            </w:r>
          </w:p>
        </w:tc>
        <w:tc>
          <w:tcPr>
            <w:tcW w:w="920" w:type="dxa"/>
            <w:vAlign w:val="bottom"/>
            <w:gridSpan w:val="3"/>
          </w:tcPr>
          <w:p>
            <w:pPr>
              <w:jc w:val="right"/>
              <w:ind w:right="260"/>
              <w:spacing w:after="0" w:line="134" w:lineRule="exact"/>
              <w:rPr>
                <w:sz w:val="20"/>
                <w:szCs w:val="20"/>
                <w:color w:val="auto"/>
              </w:rPr>
            </w:pPr>
            <w:r>
              <w:rPr>
                <w:rFonts w:ascii="Arial" w:cs="Arial" w:eastAsia="Arial" w:hAnsi="Arial"/>
                <w:sz w:val="12"/>
                <w:szCs w:val="12"/>
                <w:color w:val="auto"/>
              </w:rPr>
              <w:t>(0.4)</w:t>
            </w: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(0.4)</w:t>
            </w:r>
          </w:p>
        </w:tc>
        <w:tc>
          <w:tcPr>
            <w:tcW w:w="104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(0.3)</w:t>
            </w:r>
          </w:p>
        </w:tc>
        <w:tc>
          <w:tcPr>
            <w:tcW w:w="102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(1.2)</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(0.8)</w:t>
            </w:r>
          </w:p>
        </w:tc>
        <w:tc>
          <w:tcPr>
            <w:tcW w:w="7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(0.8)</w:t>
            </w:r>
          </w:p>
        </w:tc>
        <w:tc>
          <w:tcPr>
            <w:tcW w:w="10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(0.1)</w:t>
            </w:r>
          </w:p>
        </w:tc>
        <w:tc>
          <w:tcPr>
            <w:tcW w:w="8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(0.5)</w:t>
            </w:r>
          </w:p>
        </w:tc>
        <w:tc>
          <w:tcPr>
            <w:tcW w:w="920" w:type="dxa"/>
            <w:vAlign w:val="bottom"/>
            <w:gridSpan w:val="3"/>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(1.0)</w:t>
            </w:r>
          </w:p>
        </w:tc>
        <w:tc>
          <w:tcPr>
            <w:tcW w:w="76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(1.2)</w:t>
            </w:r>
          </w:p>
        </w:tc>
        <w:tc>
          <w:tcPr>
            <w:tcW w:w="10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(1.0)</w:t>
            </w:r>
          </w:p>
        </w:tc>
        <w:tc>
          <w:tcPr>
            <w:tcW w:w="102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(2.2)</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(35.9)</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(36.3)</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(43.3)</w:t>
            </w:r>
          </w:p>
        </w:tc>
        <w:tc>
          <w:tcPr>
            <w:tcW w:w="920" w:type="dxa"/>
            <w:vAlign w:val="bottom"/>
            <w:gridSpan w:val="3"/>
          </w:tcPr>
          <w:p>
            <w:pPr>
              <w:jc w:val="right"/>
              <w:ind w:right="260"/>
              <w:spacing w:after="0"/>
              <w:rPr>
                <w:sz w:val="20"/>
                <w:szCs w:val="20"/>
                <w:color w:val="auto"/>
              </w:rPr>
            </w:pPr>
            <w:r>
              <w:rPr>
                <w:rFonts w:ascii="Arial" w:cs="Arial" w:eastAsia="Arial" w:hAnsi="Arial"/>
                <w:sz w:val="12"/>
                <w:szCs w:val="12"/>
                <w:color w:val="auto"/>
              </w:rPr>
              <w:t>(32.3)</w:t>
            </w: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(17.6)</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(14.8)</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(26.9)</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ind w:left="260"/>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ind w:left="500"/>
              <w:spacing w:after="0" w:line="134"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(21.0)</w:t>
            </w:r>
          </w:p>
        </w:tc>
        <w:tc>
          <w:tcPr>
            <w:tcW w:w="1020" w:type="dxa"/>
            <w:vAlign w:val="bottom"/>
            <w:gridSpan w:val="2"/>
            <w:shd w:val="clear" w:color="auto" w:fill="CCEEFF"/>
          </w:tcPr>
          <w:p>
            <w:pPr>
              <w:jc w:val="right"/>
              <w:ind w:right="3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(37.6)%</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(35.9)%</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(36.3)%</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(43.3)%</w:t>
            </w:r>
          </w:p>
        </w:tc>
        <w:tc>
          <w:tcPr>
            <w:tcW w:w="920" w:type="dxa"/>
            <w:vAlign w:val="bottom"/>
            <w:gridSpan w:val="3"/>
          </w:tcPr>
          <w:p>
            <w:pPr>
              <w:jc w:val="right"/>
              <w:ind w:right="140"/>
              <w:spacing w:after="0"/>
              <w:rPr>
                <w:sz w:val="20"/>
                <w:szCs w:val="20"/>
                <w:color w:val="auto"/>
              </w:rPr>
            </w:pPr>
            <w:r>
              <w:rPr>
                <w:rFonts w:ascii="Arial" w:cs="Arial" w:eastAsia="Arial" w:hAnsi="Arial"/>
                <w:sz w:val="12"/>
                <w:szCs w:val="12"/>
                <w:color w:val="auto"/>
              </w:rPr>
              <w:t>(32.3)%</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(17.6)%</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(35.8)%</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(26.9)%</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March 31, 2021, our cash and cash equivalents totaled $49.5 million, compared with $59.9 million as of December 31, 2020. We believe our existing cash and cash equivalents will be sufficient to support our working capital and capital expenditure requirements for at least the next twelve months. We intend to repay all or a portion of our outstanding indebtedness under our Amended Loan and Security Agreement, with a portion of the net proceeds.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206"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can borrow up to $15.0 million under a term loan, all of which became available to us immediately on the agreement date. We had borrowings under the term loan of $15.0 million as of March 31, 2021 and December 31, 2020. As of March 31, 2021 and December 31, 2020, the loan pays interest at the greater of (i) 8.7% per annum or (ii) 8.7% per annum plus the prime rate minus 4.75% per annum. The term loan agreement requires a maximum $1.2 million end of term fee due and</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60"/>
        <w:spacing w:after="0" w:line="235" w:lineRule="auto"/>
        <w:rPr>
          <w:sz w:val="20"/>
          <w:szCs w:val="20"/>
          <w:color w:val="auto"/>
        </w:rPr>
      </w:pPr>
      <w:r>
        <w:rPr>
          <w:rFonts w:ascii="Arial" w:cs="Arial" w:eastAsia="Arial" w:hAnsi="Arial"/>
          <w:sz w:val="18"/>
          <w:szCs w:val="18"/>
          <w:color w:val="auto"/>
        </w:rPr>
        <w:t>payable on the maturity date of May 1, 2022, however, if the term loan is repaid prior to November 1, 2021, the amount owed would be $0.9 million. As of March 31, 2021 and December 31, 2020, we owed $15.8 million on this term loan, including principal borrowings and accrued end of term fee. As we intend to repay this term loan in 2021, we have classified this term loan as a current liability on our Consolidated Balance Sheet. Our obligations under the Amended Loan and Security Agreement are secured by substantially all of our assets.</w:t>
      </w:r>
    </w:p>
    <w:p>
      <w:pPr>
        <w:spacing w:after="0" w:line="204"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Capital has the right to terminate its obligation to make further advances to us immediately and without notice upon the occurrence and during the continuance of an event of default.</w:t>
      </w:r>
    </w:p>
    <w:p>
      <w:pPr>
        <w:spacing w:after="0" w:line="203"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As part of the initial term loan agreement with Hercules, we issued a warrant to purchase 87,784 shares of our Series B preferred stock with an exercise price of $5.13 per share that expires in May 2025.</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are in compliance with covenants and were in compliance with these covenants as of December 31, 2020 and 2019.</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We exercised our right of first refusal to reacquire these shares of Convertible Preferred Stock from these stockholders at the same price the third party was willing to pay for such shares of Convertible Preferred Stock. In conjunction with the Series E offering, we sold the same shares of Series A-2, B, C and D Convertible Preferred Stock to the Series E investors for the same price that we paid to reacquire such shares of Convertible Preferred Stock. We recorded an $ 8.8 million deemed dividend to the selling stockholders, which represents the excess of the purchase price of the shares of Convertible Preferred Stock purchased by us over the original cost of the shares and was recorded in additional paid-in-capital and accumulated deficit.</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2020 to 2021</w:t>
            </w: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 Change</w:t>
            </w:r>
          </w:p>
        </w:tc>
      </w:tr>
      <w:tr>
        <w:trPr>
          <w:trHeight w:val="154"/>
        </w:trPr>
        <w:tc>
          <w:tcPr>
            <w:tcW w:w="5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409"/>
              <w:spacing w:after="0" w:line="154"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55"/>
              <w:spacing w:after="0" w:line="154"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141"/>
        </w:trPr>
        <w:tc>
          <w:tcPr>
            <w:tcW w:w="5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2960" w:type="dxa"/>
            <w:vAlign w:val="bottom"/>
            <w:gridSpan w:val="2"/>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$(6,305)</w:t>
            </w:r>
          </w:p>
        </w:tc>
        <w:tc>
          <w:tcPr>
            <w:tcW w:w="148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$(9,942)</w:t>
            </w:r>
          </w:p>
        </w:tc>
        <w:tc>
          <w:tcPr>
            <w:tcW w:w="13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57.7%</w:t>
            </w:r>
          </w:p>
        </w:tc>
      </w:tr>
      <w:tr>
        <w:trPr>
          <w:trHeight w:val="201"/>
        </w:trPr>
        <w:tc>
          <w:tcPr>
            <w:tcW w:w="518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2960" w:type="dxa"/>
            <w:vAlign w:val="bottom"/>
            <w:gridSpan w:val="2"/>
          </w:tcPr>
          <w:p>
            <w:pPr>
              <w:jc w:val="right"/>
              <w:ind w:right="209"/>
              <w:spacing w:after="0" w:line="201" w:lineRule="exact"/>
              <w:rPr>
                <w:sz w:val="20"/>
                <w:szCs w:val="20"/>
                <w:color w:val="auto"/>
              </w:rPr>
            </w:pPr>
            <w:r>
              <w:rPr>
                <w:rFonts w:ascii="Arial" w:cs="Arial" w:eastAsia="Arial" w:hAnsi="Arial"/>
                <w:sz w:val="18"/>
                <w:szCs w:val="18"/>
                <w:color w:val="auto"/>
              </w:rPr>
              <w:t>(1,689)</w:t>
            </w:r>
          </w:p>
        </w:tc>
        <w:tc>
          <w:tcPr>
            <w:tcW w:w="148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(1,244)</w:t>
            </w:r>
          </w:p>
        </w:tc>
        <w:tc>
          <w:tcPr>
            <w:tcW w:w="13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(26.3)</w:t>
            </w: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2960" w:type="dxa"/>
            <w:vAlign w:val="bottom"/>
            <w:gridSpan w:val="2"/>
            <w:shd w:val="clear" w:color="auto" w:fill="CCEEFF"/>
          </w:tcPr>
          <w:p>
            <w:pPr>
              <w:jc w:val="right"/>
              <w:ind w:right="269"/>
              <w:spacing w:after="0" w:line="201" w:lineRule="exact"/>
              <w:rPr>
                <w:sz w:val="20"/>
                <w:szCs w:val="20"/>
                <w:color w:val="auto"/>
              </w:rPr>
            </w:pPr>
            <w:r>
              <w:rPr>
                <w:rFonts w:ascii="Arial" w:cs="Arial" w:eastAsia="Arial" w:hAnsi="Arial"/>
                <w:sz w:val="18"/>
                <w:szCs w:val="18"/>
                <w:color w:val="auto"/>
              </w:rPr>
              <w:t>4,092</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843</w:t>
            </w: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(79.4)</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3" w:lineRule="exact"/>
        <w:rPr>
          <w:sz w:val="20"/>
          <w:szCs w:val="20"/>
          <w:color w:val="auto"/>
        </w:rPr>
      </w:pPr>
    </w:p>
    <w:p>
      <w:pPr>
        <w:ind w:left="160" w:right="780" w:firstLine="546"/>
        <w:spacing w:after="0" w:line="239" w:lineRule="auto"/>
        <w:rPr>
          <w:sz w:val="20"/>
          <w:szCs w:val="20"/>
          <w:color w:val="auto"/>
        </w:rPr>
      </w:pPr>
      <w:r>
        <w:rPr>
          <w:rFonts w:ascii="Arial" w:cs="Arial" w:eastAsia="Arial" w:hAnsi="Arial"/>
          <w:sz w:val="18"/>
          <w:szCs w:val="18"/>
          <w:color w:val="auto"/>
        </w:rPr>
        <w:t>For the quarter ended March 31, 2021, net cash used in operating activities was $9.9 million, primarily due to a net loss of $(10.5) million adjusted for non-cash charges of $1.6 million and a net</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decrease in our operating assets and liabilities of $(1.0) million. The non-cash adjustments primarily relate to stock-based compensation of $0.5 million and depreciation and amortization of $ 0.7 million. The net decrease in operating assets and liabilities is primarily driven by an increase in accounts receivable of $5.5 million and prepaid expenses of $0.9 million. These increases are partially offset by increases in accounts payable of $1.9 million, accrued expenses of $1.6 million and $1.6 million of contract liabilities, primarily due to the growth of our business.</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2020, net cash used in operating activities was $6.3 million, primarily due to a net loss of</w:t>
      </w:r>
    </w:p>
    <w:p>
      <w:pPr>
        <w:ind w:left="160"/>
        <w:spacing w:after="0" w:line="232" w:lineRule="auto"/>
        <w:rPr>
          <w:sz w:val="20"/>
          <w:szCs w:val="20"/>
          <w:color w:val="auto"/>
        </w:rPr>
      </w:pPr>
      <w:r>
        <w:rPr>
          <w:rFonts w:ascii="Arial" w:cs="Arial" w:eastAsia="Arial" w:hAnsi="Arial"/>
          <w:sz w:val="18"/>
          <w:szCs w:val="18"/>
          <w:color w:val="auto"/>
        </w:rPr>
        <w:t>$(8.6) million adjusted for non-cash charges of $1.1 million and a net increase in our operating assets and liabilities of $1.2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$0.1 million and depreciation and amortization of $0.7 million. The</w:t>
      </w:r>
    </w:p>
    <w:p>
      <w:pPr>
        <w:ind w:left="160"/>
        <w:spacing w:after="0"/>
        <w:rPr>
          <w:sz w:val="20"/>
          <w:szCs w:val="20"/>
          <w:color w:val="auto"/>
        </w:rPr>
      </w:pPr>
      <w:r>
        <w:rPr>
          <w:rFonts w:ascii="Arial" w:cs="Arial" w:eastAsia="Arial" w:hAnsi="Arial"/>
          <w:sz w:val="17"/>
          <w:szCs w:val="17"/>
          <w:color w:val="auto"/>
        </w:rPr>
        <w:t>net increase in operating assets and liabilities is primarily driven by a decrease in accounts receivable of $2.0 million. These increases are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partially offset by a $0.3 million decrease in contract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Cash used by investing activities was $1.2 million during the quarter ended March 31, 2021, primarily due to investments in property and equipment (which includes internal-use software development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Cash used in investing activities was $1.7 million during the quarter ended March 31, 2020, primarily due to $1.0 million for the purchase of property and equipment (which includes internal-use software development costs) and $0.7 million of net purchases of short-term investments.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Cash provided by financing activities was $0.8 million during the quarter ended March 31, 2021, reflecting $0.8 million of proceeds from the exercise of stock options.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Cash provided by financing activities was $4.1 million during the quarter ended March 31, 2020, reflecting $4.0 million of additional borrowings on our term loan.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summary of our cash flows from operating, investing, and financing activities for the years indicated.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2019 to</w:t>
            </w:r>
          </w:p>
        </w:tc>
      </w:tr>
      <w:tr>
        <w:trPr>
          <w:trHeight w:val="174"/>
        </w:trPr>
        <w:tc>
          <w:tcPr>
            <w:tcW w:w="7300" w:type="dxa"/>
            <w:vAlign w:val="bottom"/>
          </w:tcPr>
          <w:p>
            <w:pPr>
              <w:spacing w:after="0"/>
              <w:rPr>
                <w:sz w:val="15"/>
                <w:szCs w:val="15"/>
                <w:color w:val="auto"/>
              </w:rPr>
            </w:pPr>
          </w:p>
        </w:tc>
        <w:tc>
          <w:tcPr>
            <w:tcW w:w="2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2020 Change</w:t>
            </w:r>
          </w:p>
        </w:tc>
      </w:tr>
      <w:tr>
        <w:trPr>
          <w:trHeight w:val="154"/>
        </w:trPr>
        <w:tc>
          <w:tcPr>
            <w:tcW w:w="73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421"/>
              <w:spacing w:after="0" w:line="154"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r>
      <w:tr>
        <w:trPr>
          <w:trHeight w:val="154"/>
        </w:trPr>
        <w:tc>
          <w:tcPr>
            <w:tcW w:w="7300" w:type="dxa"/>
            <w:vAlign w:val="bottom"/>
          </w:tcPr>
          <w:p>
            <w:pPr>
              <w:spacing w:after="0"/>
              <w:rPr>
                <w:sz w:val="13"/>
                <w:szCs w:val="13"/>
                <w:color w:val="auto"/>
              </w:rPr>
            </w:pPr>
          </w:p>
        </w:tc>
        <w:tc>
          <w:tcPr>
            <w:tcW w:w="19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141"/>
              <w:spacing w:after="0" w:line="201" w:lineRule="exact"/>
              <w:rPr>
                <w:sz w:val="20"/>
                <w:szCs w:val="20"/>
                <w:color w:val="auto"/>
              </w:rPr>
            </w:pPr>
            <w:r>
              <w:rPr>
                <w:rFonts w:ascii="Arial" w:cs="Arial" w:eastAsia="Arial" w:hAnsi="Arial"/>
                <w:sz w:val="18"/>
                <w:szCs w:val="18"/>
                <w:color w:val="auto"/>
              </w:rPr>
              <w:t>$(27,125)</w:t>
            </w:r>
          </w:p>
        </w:tc>
        <w:tc>
          <w:tcPr>
            <w:tcW w:w="14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$(22,049)</w:t>
            </w:r>
          </w:p>
        </w:tc>
        <w:tc>
          <w:tcPr>
            <w:tcW w:w="11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(18.7)%</w:t>
            </w:r>
          </w:p>
        </w:tc>
      </w:tr>
      <w:tr>
        <w:trPr>
          <w:trHeight w:val="201"/>
        </w:trPr>
        <w:tc>
          <w:tcPr>
            <w:tcW w:w="7300" w:type="dxa"/>
            <w:vAlign w:val="bottom"/>
          </w:tcPr>
          <w:p>
            <w:pPr>
              <w:spacing w:after="0" w:line="201" w:lineRule="exact"/>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Pr>
          <w:p>
            <w:pPr>
              <w:jc w:val="right"/>
              <w:ind w:right="141"/>
              <w:spacing w:after="0" w:line="201" w:lineRule="exact"/>
              <w:rPr>
                <w:sz w:val="20"/>
                <w:szCs w:val="20"/>
                <w:color w:val="auto"/>
              </w:rPr>
            </w:pPr>
            <w:r>
              <w:rPr>
                <w:rFonts w:ascii="Arial" w:cs="Arial" w:eastAsia="Arial" w:hAnsi="Arial"/>
                <w:sz w:val="18"/>
                <w:szCs w:val="18"/>
                <w:color w:val="auto"/>
              </w:rPr>
              <w:t>(2,350)</w:t>
            </w:r>
          </w:p>
        </w:tc>
        <w:tc>
          <w:tcPr>
            <w:tcW w:w="14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6,670</w:t>
            </w:r>
          </w:p>
        </w:tc>
        <w:tc>
          <w:tcPr>
            <w:tcW w:w="11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383.8</w:t>
            </w: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shd w:val="clear" w:color="auto" w:fill="CCEEFF"/>
          </w:tcPr>
          <w:p>
            <w:pPr>
              <w:jc w:val="right"/>
              <w:ind w:right="201"/>
              <w:spacing w:after="0" w:line="201" w:lineRule="exact"/>
              <w:rPr>
                <w:sz w:val="20"/>
                <w:szCs w:val="20"/>
                <w:color w:val="auto"/>
              </w:rPr>
            </w:pPr>
            <w:r>
              <w:rPr>
                <w:rFonts w:ascii="Arial" w:cs="Arial" w:eastAsia="Arial" w:hAnsi="Arial"/>
                <w:sz w:val="18"/>
                <w:szCs w:val="18"/>
                <w:color w:val="auto"/>
              </w:rPr>
              <w:t>54,715</w:t>
            </w:r>
          </w:p>
        </w:tc>
        <w:tc>
          <w:tcPr>
            <w:tcW w:w="146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35,261</w:t>
            </w:r>
          </w:p>
        </w:tc>
        <w:tc>
          <w:tcPr>
            <w:tcW w:w="11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(35.6)</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w:t>
      </w:r>
    </w:p>
    <w:p>
      <w:pPr>
        <w:ind w:left="160"/>
        <w:spacing w:after="0" w:line="232" w:lineRule="auto"/>
        <w:rPr>
          <w:sz w:val="20"/>
          <w:szCs w:val="20"/>
          <w:color w:val="auto"/>
        </w:rPr>
      </w:pPr>
      <w:r>
        <w:rPr>
          <w:rFonts w:ascii="Arial" w:cs="Arial" w:eastAsia="Arial" w:hAnsi="Arial"/>
          <w:sz w:val="18"/>
          <w:szCs w:val="18"/>
          <w:color w:val="auto"/>
        </w:rPr>
        <w:t>$(31.1) million adjusted for non-cash charges of $7.1 million and a net increase in our operating assets and liabilities of $2.0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$1.0 million, depreciation and amortization of $3.1 million and</w:t>
      </w:r>
    </w:p>
    <w:p>
      <w:pPr>
        <w:ind w:left="160"/>
        <w:spacing w:after="0"/>
        <w:rPr>
          <w:sz w:val="20"/>
          <w:szCs w:val="20"/>
          <w:color w:val="auto"/>
        </w:rPr>
      </w:pPr>
      <w:r>
        <w:rPr>
          <w:rFonts w:ascii="Arial" w:cs="Arial" w:eastAsia="Arial" w:hAnsi="Arial"/>
          <w:sz w:val="18"/>
          <w:szCs w:val="18"/>
          <w:color w:val="auto"/>
        </w:rPr>
        <w:t>impairment of goodwill and intangible assets of $1.6 million. The net increase in operating assets and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liabilities is primarily driven by an increase in accounts receivable of $2.1 million and accrued expenses of $8.6 million due to our growth.</w:t>
      </w:r>
    </w:p>
    <w:p>
      <w:pPr>
        <w:ind w:left="160"/>
        <w:spacing w:after="0"/>
        <w:rPr>
          <w:sz w:val="20"/>
          <w:szCs w:val="20"/>
          <w:color w:val="auto"/>
        </w:rPr>
      </w:pPr>
      <w:r>
        <w:rPr>
          <w:rFonts w:ascii="Arial" w:cs="Arial" w:eastAsia="Arial" w:hAnsi="Arial"/>
          <w:sz w:val="18"/>
          <w:szCs w:val="18"/>
          <w:color w:val="auto"/>
        </w:rPr>
        <w:t>These increases are partially offset by decrease in accounts payable of $2.4 million primarily due to the growth of our business.</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the year ended December 31, 2019, net cash used in operating activities was $27.1 million, primarily due to a net loss of</w:t>
      </w:r>
    </w:p>
    <w:p>
      <w:pPr>
        <w:ind w:left="160" w:right="20"/>
        <w:spacing w:after="0" w:line="232" w:lineRule="auto"/>
        <w:rPr>
          <w:sz w:val="20"/>
          <w:szCs w:val="20"/>
          <w:color w:val="auto"/>
        </w:rPr>
      </w:pPr>
      <w:r>
        <w:rPr>
          <w:rFonts w:ascii="Arial" w:cs="Arial" w:eastAsia="Arial" w:hAnsi="Arial"/>
          <w:sz w:val="18"/>
          <w:szCs w:val="18"/>
          <w:color w:val="auto"/>
        </w:rPr>
        <w:t>$(31.0) million adjusted for non-cash charges of $4.7 million and a net decrease in our operating assets and liabilities of $(0.8) million. The non-cash adjustments primarily relate to stock-based compensation of $0.5 million, impairment of goodwill and intangible assets of</w:t>
      </w:r>
    </w:p>
    <w:p>
      <w:pPr>
        <w:spacing w:after="0" w:line="1"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$1.7 million and depreciation and amortization of $ 1.8 million. The net decrease in operating assets and liabilities is primarily driven by an increase in accounts receivable of $5.5 million and inventory costs of $0.6 million due to the growth in our revenue. These decreases are partially offset by an increase in accounts payable and accrued expenses of $5.4 million related primarily to the timing of payments.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Cash provided by investing activities was $6.7 million during the year ended December 31, 2020, primarily due to proceeds from the settlement of short-term investments.</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Cash used in investing activities was $2.4 million during the year ended December 31, 2019, primarily due to $2.7 million for the purchase of property and equipment (which includes internal-use software development costs), and $1.4 million for acquisitions offset by net proceed from short-term investments.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440" w:firstLine="546"/>
        <w:spacing w:after="0" w:line="237" w:lineRule="auto"/>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Cash provided by financing activities was $54.7 million during the year ended December 31, 2019, reflecting $54.9 million of</w:t>
      </w:r>
    </w:p>
    <w:p>
      <w:pPr>
        <w:jc w:val="center"/>
        <w:ind w:right="-99"/>
        <w:spacing w:after="0"/>
        <w:rPr>
          <w:sz w:val="20"/>
          <w:szCs w:val="20"/>
          <w:color w:val="auto"/>
        </w:rPr>
      </w:pPr>
      <w:r>
        <w:rPr>
          <w:rFonts w:ascii="Arial" w:cs="Arial" w:eastAsia="Arial" w:hAnsi="Arial"/>
          <w:sz w:val="18"/>
          <w:szCs w:val="18"/>
          <w:color w:val="auto"/>
        </w:rPr>
        <w:t>proceeds from the issuance of Series D convertible preferred stock, partially offset by $0.5 million of payments related to our line of credit.</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The following table sets forth the amounts of our significant contractual obligations and commitments with definitive payment terms as of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 due by Period</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 1</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4"/>
        </w:trPr>
        <w:tc>
          <w:tcPr>
            <w:tcW w:w="5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8"/>
              </w:rPr>
              <w:t>4-5 years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54"/>
        </w:trPr>
        <w:tc>
          <w:tcPr>
            <w:tcW w:w="5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loan</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$15,753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$15,753</w:t>
            </w:r>
          </w:p>
        </w:tc>
        <w:tc>
          <w:tcPr>
            <w:tcW w:w="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tcPr>
          <w:p>
            <w:pPr>
              <w:spacing w:after="0" w:line="201" w:lineRule="exact"/>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2,403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1,153</w:t>
            </w:r>
          </w:p>
        </w:tc>
        <w:tc>
          <w:tcPr>
            <w:tcW w:w="1640" w:type="dxa"/>
            <w:vAlign w:val="bottom"/>
            <w:gridSpan w:val="3"/>
          </w:tcPr>
          <w:p>
            <w:pPr>
              <w:jc w:val="right"/>
              <w:ind w:right="480"/>
              <w:spacing w:after="0" w:line="201" w:lineRule="exact"/>
              <w:rPr>
                <w:sz w:val="20"/>
                <w:szCs w:val="20"/>
                <w:color w:val="auto"/>
              </w:rPr>
            </w:pPr>
            <w:r>
              <w:rPr>
                <w:rFonts w:ascii="Arial" w:cs="Arial" w:eastAsia="Arial" w:hAnsi="Arial"/>
                <w:sz w:val="18"/>
                <w:szCs w:val="18"/>
                <w:color w:val="auto"/>
              </w:rPr>
              <w:t>1,250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leases</w:t>
            </w:r>
          </w:p>
        </w:tc>
        <w:tc>
          <w:tcPr>
            <w:tcW w:w="6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5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18,171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17,005</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20"/>
        <w:spacing w:after="0" w:line="239" w:lineRule="auto"/>
        <w:rPr>
          <w:sz w:val="20"/>
          <w:szCs w:val="20"/>
          <w:color w:val="auto"/>
        </w:rPr>
      </w:pPr>
      <w:r>
        <w:rPr>
          <w:rFonts w:ascii="Arial" w:cs="Arial" w:eastAsia="Arial" w:hAnsi="Arial"/>
          <w:sz w:val="18"/>
          <w:szCs w:val="18"/>
          <w:color w:val="auto"/>
        </w:rPr>
        <w:t>used, fixed, minimum or variable price provisions, and the approximate timing of the actions under the contracts. The table does not include obligations under agreements that we can cancel without a significant penalty.</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March 31, 2021, there were no material changes to our contractual obligations and commitments.</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Off-Balance Sheet Arrangements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Critical Accounting Policies</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discussion and analysis of financial condition and results of operations are based upon our financial statements included elsewhere in this prospectus.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204"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jc w:val="both"/>
        <w:ind w:left="160" w:right="560" w:firstLine="546"/>
        <w:spacing w:after="0" w:line="237" w:lineRule="auto"/>
        <w:rPr>
          <w:sz w:val="20"/>
          <w:szCs w:val="20"/>
          <w:color w:val="auto"/>
        </w:rPr>
      </w:pPr>
      <w:r>
        <w:rPr>
          <w:rFonts w:ascii="Arial" w:cs="Arial" w:eastAsia="Arial" w:hAnsi="Arial"/>
          <w:sz w:val="18"/>
          <w:szCs w:val="18"/>
          <w:color w:val="auto"/>
        </w:rPr>
        <w:t>We derive substantially all of our revenue in the U.S. and Europe from the sale of parts and assemblies fulfilled using a vast network of sellers. We recognize revenue from the sales to our buyers pursuant to Financial Accounting Standard Board’s (“FASB”) Accounting Standards Codification (“ASC”) Topic 606, Revenue from Contracts with Customers (“ASC 606”).</w:t>
      </w:r>
    </w:p>
    <w:p>
      <w:pPr>
        <w:spacing w:after="0" w:line="203" w:lineRule="exact"/>
        <w:rPr>
          <w:sz w:val="20"/>
          <w:szCs w:val="20"/>
          <w:color w:val="auto"/>
        </w:rPr>
      </w:pPr>
    </w:p>
    <w:p>
      <w:pPr>
        <w:jc w:val="both"/>
        <w:ind w:left="160" w:right="20" w:firstLine="546"/>
        <w:spacing w:after="0" w:line="246" w:lineRule="auto"/>
        <w:rPr>
          <w:sz w:val="20"/>
          <w:szCs w:val="20"/>
          <w:color w:val="auto"/>
        </w:rPr>
      </w:pPr>
      <w:r>
        <w:rPr>
          <w:rFonts w:ascii="Arial" w:cs="Arial" w:eastAsia="Arial" w:hAnsi="Arial"/>
          <w:sz w:val="17"/>
          <w:szCs w:val="17"/>
          <w:color w:val="auto"/>
        </w:rPr>
        <w:t>We determine that a contract exists between us and the customer when the customer accepts the quote and places the order, all of which are governed by our standard terms and conditions or other agreed terms with our customers. Upon completion of an order through our platform, we identify the performance obligation(s) within that order to complete the sale of the manufactured part(s) or assembly.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Using our in-house technology, we determine the price for the manufactured part(s) or assembly on a stand-alone basis at order initiation.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recognize revenue from sales to our customers upon shipment, at which point control over the part(s) or assembly have transferred.</w:t>
      </w:r>
    </w:p>
    <w:p>
      <w:pPr>
        <w:spacing w:after="0" w:line="208"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 with the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6"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our sales, (iii) we have discretion in determining how to fulfill each order, including selecting the seller and (iv) we bear certain risks for product quality to the extent the buyer is not satisfied with the final product.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We test goodwill for impairment annually in the fourth quarter, or more frequently, if needed and when there is a triggering event (e.g., a deterioration in general economic conditions or in the environment in which we operate).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202"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determine the fair value of each reporting unit using an income approach. Under the income approach, we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To the extent management judgments, estimates or assumptions are incorrect, the fair value of our reporting units or intangible assets could be lower and those assets could be further impaired in the future.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3"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Stock options are measured at the grant date fair value of the award. We estimate grant date fair value of those awards using the Black-Scholes option pricing model. The fair value of stock options is recognized as compensation expense on a straight-line basis over the requisite service period, which is typically four years.</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assumptions with respect to: (i) expected annual dividend yield, (ii) expected volatility over the expected term; (iii) expected term, (iv) risk free interest rate, (v) per share value of the underlying common stock, and (vi) exercise price.</w:t>
      </w:r>
    </w:p>
    <w:p>
      <w:pPr>
        <w:spacing w:after="0" w:line="20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fair value of our Class A common stock has been estimated by management as there is no public market for our Class A common stock. Our market-based methodology considers a number of objective and subjective factors including: third-party valuations of its common stock, the valuation of comparable companies, sales of our convertible preferred stock to outside investors in arms-length transactions, our operating and financial performance, the lack of marketability, and general and industry specific economic outlook, amongst others.</w:t>
      </w:r>
    </w:p>
    <w:p>
      <w:pPr>
        <w:spacing w:after="0" w:line="204"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Stock-based compensation expense is calculated using our best estimates, which involve inherent uncertainties and the application of management’s judgment and estimates. If different estimates and assumptions had been used, our estimates of common stock valuations could be significantly different and related stock-based compensation expense may be materially impacted.</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April 2021, we granted stock options to purchase up to 1.3 million shares of our common stock at an exercise price of</w:t>
      </w:r>
    </w:p>
    <w:p>
      <w:pPr>
        <w:ind w:left="160"/>
        <w:spacing w:after="0" w:line="232" w:lineRule="auto"/>
        <w:rPr>
          <w:sz w:val="20"/>
          <w:szCs w:val="20"/>
          <w:color w:val="auto"/>
        </w:rPr>
      </w:pPr>
      <w:r>
        <w:rPr>
          <w:rFonts w:ascii="Arial" w:cs="Arial" w:eastAsia="Arial" w:hAnsi="Arial"/>
          <w:sz w:val="18"/>
          <w:szCs w:val="18"/>
          <w:color w:val="auto"/>
        </w:rPr>
        <w:t>$12.32 per share which generally vest over a requisite service period of four years. In light of the difference between the fair value for a</w:t>
      </w:r>
    </w:p>
    <w:p>
      <w:pPr>
        <w:ind w:left="160"/>
        <w:spacing w:after="0" w:line="233" w:lineRule="auto"/>
        <w:rPr>
          <w:sz w:val="20"/>
          <w:szCs w:val="20"/>
          <w:color w:val="auto"/>
        </w:rPr>
      </w:pPr>
      <w:r>
        <w:rPr>
          <w:rFonts w:ascii="Arial" w:cs="Arial" w:eastAsia="Arial" w:hAnsi="Arial"/>
          <w:sz w:val="18"/>
          <w:szCs w:val="18"/>
          <w:color w:val="auto"/>
        </w:rPr>
        <w:t>share of our common stock used for stock options granted in April 2021 and initial information received in estimation of our initial public</w:t>
      </w:r>
    </w:p>
    <w:p>
      <w:pPr>
        <w:ind w:left="160"/>
        <w:spacing w:after="0"/>
        <w:rPr>
          <w:sz w:val="20"/>
          <w:szCs w:val="20"/>
          <w:color w:val="auto"/>
        </w:rPr>
      </w:pPr>
      <w:r>
        <w:rPr>
          <w:rFonts w:ascii="Arial" w:cs="Arial" w:eastAsia="Arial" w:hAnsi="Arial"/>
          <w:sz w:val="18"/>
          <w:szCs w:val="18"/>
          <w:color w:val="auto"/>
        </w:rPr>
        <w:t>offering price range, we estimated the fair value of these grants to be $28.00 per share, based on a</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30% discount from the midpoint of our initial price range, in order to determine the appropriate stock-based compensation expense for financial reporting purposes. Therefore, we note that while we have not yet prepared financial statements for this period, when we do, we intend, solely for financial reporting purposes, to use an estimated grant-date fair value of $25.0 million (unaudited) for the April 2021 grants, over a requisite service period of four years. Our estimates are based upon information currently available and could change as events and circumstances change.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The fair value of our shares of common stock underlying stock options has historically been determined by the board of directors, with contemporaneous third-party valuations, as there has been no public market for our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 Held Company Equity Securities Issued as Compensation, our board of directors exercised reasonable judgment and considered a number of objective and subjective factors to determine the best estimate of the fair value of our common stock at each grant date.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factors include:</w:t>
      </w:r>
    </w:p>
    <w:p>
      <w:pPr>
        <w:spacing w:after="0" w:line="114" w:lineRule="exact"/>
        <w:rPr>
          <w:sz w:val="20"/>
          <w:szCs w:val="20"/>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convertible preferred stock relative to the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given prevailing market conditions;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recent secondary stock sales and tender offers;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08"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valuing our common stock, our board of directors determines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or WACC. To derive our WACC, a cost of equity was developed using the Capital Asset Pricing Model and comparable company betas, and a cost of debt was determined based on our estimated cost of borrowing. The costs of debt and equity were then weighted based on our actual capital structure. The market approach estimates value based on a comparison of our company to comparable public companies in a similar line of business and acquisitions in the market. From the comparable companies, a representative market multiple is determined and subsequently applied to our financial results to estimate our enterprise value.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204"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Class A common stock based on the closing price of our Class A common stock as reported on the date of grant. Future expense amounts for any particular period could be affected by changes in our assumptions or market conditions.</w:t>
      </w:r>
    </w:p>
    <w:p>
      <w:pPr>
        <w:spacing w:after="0" w:line="20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Based on the initial public offering price per share of $44.00, the aggregate intrinsic value of our outstanding stock options as of March 31, 2021 was $111.3 million, with $38.7 million related to vested stock options.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Accounting Pronouncements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to our financial statements: “Significant Accounting Policies” appearing elsewhere in this prospectus.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Our primary market risk exposure is changing interest rates in connection with the Amended Loan and Security Agreement with Hercules. Interest rate risk is highly sensitive due to many factors, including U.S. monetary and tax policies, U.S. and international economic factors and other factors beyond our control. As of March 31, 2021, borrowing under the term loan facility bear interest equal to the greater of (A) 8.7% per annum plus the prime rate minus 4.75% per annum; or (B) 8.7%. As of March 31, 2021, we had $15.8 million outstanding under our term loan facility.</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hypothetical 10% change in interest rates would not result in a material impact on our consolidated financial statements.</w:t>
      </w:r>
    </w:p>
    <w:p>
      <w:pPr>
        <w:spacing w:after="0" w:line="208"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Our interest-earning instruments also carry a degree of interest rate risk. As of March 31, 2021, we had cash and cash equivalents of $49.5 million.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JOBS Act Accounting Election</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96"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LETTER FROM RANDOLPH ALTSCHULER AND LAURENCE ZURIFF, CO-FOUNDERS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Letter From the Founders: Randy and Laurence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Committed to Building the Largest &amp; Most Comprehensive Global Manufacturing Marketplace</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As entrepreneurs, we believe the best opportunities exist where technology is applied to disrupt traditional industries by offering a better solution to a broader set of customers.</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global demand for efficiency and speed has somehow eluded one of the largest and most important industries in the world, on-demand manufacturing. When we founded Xometry in 2013, the industry was localized and barely digitized. The inefficiencies were myriad and the opportunity ripe.</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vision was simple. If there was a convenient web-based marketplace for books people write and read, why shouldn’t there be a similar marketplace for products people make and use?</w:t>
      </w:r>
    </w:p>
    <w:p>
      <w:pPr>
        <w:spacing w:after="0" w:line="20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From the day we started, our goal was to digitize manufacturing, connect supply with demand, and provide a better sourcing solution to both buyers and sellers. Today, Xometry provides a managed marketplace to serve a $260 billion opportunity where people who make things—and people who need things made—can find common ground to interact, transact and collaborate to get things built faster, better, and more affordably.</w:t>
      </w:r>
    </w:p>
    <w:p>
      <w:pPr>
        <w:spacing w:after="0" w:line="202"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We focused on digitizing the broad on-demand manufacturing ecosystem into a marketplace that simplifies sourcing and can adapt as new technologies are introduced. We integrate the installed base of traditional machine shops, molding shops, and 3D printing service bureaus into an innovative, agile, and distributive global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Artificial Intelligence (AI) – the Core of Our Marketplace</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For years, the on-demand manufacturing industry suffered from a lack of consistent pricing driven mainly by the existing manufacturing sourcing and procurement processes that were complex, uncertain, costly and time-consuming. Pricing was in a word, opaque. We focused on developing a means to generate an instant and accurate price for our buyers and allow sellers to source curated manufacturing opportunities that match their specific processes and capacity. Artificial Intelligence gave us the tools to create a machine learning approach to accurately and quickly price part designs and lead times and match them to the appropriate sellers. It allowed us to combine part features with data gathered from the financial transactions conducted on our marketplace to construct and continually improve prices that both buyers and sellers find acceptable across a wide range of designs, materials, and sizes.</w:t>
      </w:r>
    </w:p>
    <w:p>
      <w:pPr>
        <w:spacing w:after="0" w:line="99"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Xometry essentially created a liquid, scalable and global marketplace for the sourcing of on-demand parts. This liquidity gave us the opportunity to gain visibility into the supply and demand balance locally, regionally, and globally. Liquidity permits us to route work intelligently to support a more robust and resilient supply chain that is designed to respond to crises such as pandemics or natural disasters without skipping a beat.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Buyers</w:t>
      </w:r>
    </w:p>
    <w:p>
      <w:pPr>
        <w:spacing w:after="0" w:line="123"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Our customers are innovators. We help them take their ideas to market. Their products, manufactured through the Xometry marketplace, have changed people’s lives. They have sent men and women to space, contributed to developing vaccines at warp speed, accelerated the development of electric vehicles, and brought to market innovative protective masks that serve the needs of the deaf community.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6"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Seller Community</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sellers range in size, from large machine shops to small businesses run by talented craftspeople. We call our sellers “partners” for a reason; they are as committed to their industry and their community as we are. For decades they have played a pivotal role in their local economy’s prosperity. We help them access a broader customer base, scale capacity, and improve their cash cycle through Xometry’s seller financial services.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People</w:t>
      </w:r>
    </w:p>
    <w:p>
      <w:pPr>
        <w:spacing w:after="0" w:line="123"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Our teammates are Xometry’s most important asset. The powerful combination of their unique knowledge and abilities drives our company and its marketplace. We embrace both independent thought and teamwork to tackle tough problems, empowering our team to find the best solutions.</w:t>
      </w:r>
    </w:p>
    <w:p>
      <w:pPr>
        <w:spacing w:after="0" w:line="20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Our flywheel functions due to the hard work of our software programmers, technicians, mechanical engineers, marketers, salespeople, physicists, accountants, computational mathematicians and statisticians, and even a Jeopardy! champion. We are grateful for their contributions and are excited to continue building the largest and most comprehensive manufacturing marketplace in the world alongside them.</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Broader Community</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Our stakeholders expect us to be good stewards not only of our business but of the broader community in which we all live. Through Xometry.org, Xometry embraced the Pledge 1% movement and is committing our equity over time to support charitable organizations that strive to improve educational opportunities for all, foster civic responsibility, reduce global CO2 output, and help train and expand the horizons of the next generation of inventors.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breadth of knowledge and experience of all our stakeholders creates a dynamic and innovative environment allowing us to convert intangible ideas into physical products every day. We will constantly strive to meet these expectations.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Thank you for taking the time to read this letter and our prospectus and learn a little more about Xometry and our mission. We are proud of the business we created and are looking forward to what we can build, together. Xometry is just getting started.</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Randy &amp; Laurence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320" w:top="456"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who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160" w:right="300" w:firstLine="546"/>
        <w:spacing w:after="0" w:line="234" w:lineRule="auto"/>
        <w:rPr>
          <w:sz w:val="20"/>
          <w:szCs w:val="20"/>
          <w:color w:val="auto"/>
        </w:rPr>
      </w:pPr>
      <w:r>
        <w:rPr>
          <w:rFonts w:ascii="Arial" w:cs="Arial" w:eastAsia="Arial" w:hAnsi="Arial"/>
          <w:sz w:val="18"/>
          <w:szCs w:val="18"/>
          <w:color w:val="auto"/>
        </w:rPr>
        <w:t>We enable buyers to source a broad array of manufacturing processes to meet complex and specific design and order needs across industries. We generate substantially all of our revenue from the amounts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 In the first quarter of 2021, we generated 95% of our revenue from existing accounts.</w:t>
      </w:r>
    </w:p>
    <w:p>
      <w:pPr>
        <w:spacing w:after="0" w:line="204"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Today, we are the largest on-demand manufacturing marketplace by revenue. We have connected over 43,000 unique buyers, including nearly 30% of the Fortune 500, and nearly 5,000 unique sellers of all sizes. We have achieved rapid growth while improving our margin profile. We generated revenue of $38.4 million in 2018, $80.2 million in 2019, and $141.4 million in 2020, representing year-over-year growth of 109% in 2019 and 76% in 2020. Our gross profit was $ 6.5 million in 2018, $14.7 million in 2019, and $ 33.3 million in 2020, representing a 17% gross margin in 2018, 18% gross margin in 2019, and 24% gross margin in 2020. Our net losses were $20.1 million in 2018, $31.0 million in 2019 and $31.1 million in 2020.</w:t>
      </w:r>
    </w:p>
    <w:p>
      <w:pPr>
        <w:spacing w:after="0" w:line="202" w:lineRule="exact"/>
        <w:rPr>
          <w:sz w:val="20"/>
          <w:szCs w:val="20"/>
          <w:color w:val="auto"/>
        </w:rPr>
      </w:pPr>
    </w:p>
    <w:p>
      <w:pPr>
        <w:ind w:left="160" w:right="560" w:firstLine="546"/>
        <w:spacing w:after="0" w:line="246" w:lineRule="auto"/>
        <w:rPr>
          <w:sz w:val="20"/>
          <w:szCs w:val="20"/>
          <w:color w:val="auto"/>
        </w:rPr>
      </w:pPr>
      <w:r>
        <w:rPr>
          <w:rFonts w:ascii="Arial" w:cs="Arial" w:eastAsia="Arial" w:hAnsi="Arial"/>
          <w:sz w:val="17"/>
          <w:szCs w:val="17"/>
          <w:color w:val="auto"/>
        </w:rPr>
        <w:t>For the quarters ended March 31, 2021 and 2020, we generated revenue of $43.9 million and $26.7 million, respectively, representing year-over-year growth of 65%. Our gross profit for the quarters ended March 31, 2021 and 2020, was $9.8 million and</w:t>
      </w:r>
    </w:p>
    <w:p>
      <w:pPr>
        <w:ind w:left="160"/>
        <w:spacing w:after="0" w:line="237" w:lineRule="auto"/>
        <w:rPr>
          <w:sz w:val="20"/>
          <w:szCs w:val="20"/>
          <w:color w:val="auto"/>
        </w:rPr>
      </w:pPr>
      <w:r>
        <w:rPr>
          <w:rFonts w:ascii="Arial" w:cs="Arial" w:eastAsia="Arial" w:hAnsi="Arial"/>
          <w:sz w:val="18"/>
          <w:szCs w:val="18"/>
          <w:color w:val="auto"/>
        </w:rPr>
        <w:t>$5.4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growth to scale our company.</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Overview</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Manufacturing is a massive, highly fragmented, and regionalized industry in need of solutions to drive efficiency.</w:t>
      </w:r>
    </w:p>
    <w:p>
      <w:pPr>
        <w:spacing w:after="0" w:line="123" w:lineRule="exact"/>
        <w:rPr>
          <w:sz w:val="20"/>
          <w:szCs w:val="20"/>
          <w:color w:val="auto"/>
        </w:rPr>
      </w:pPr>
    </w:p>
    <w:p>
      <w:pPr>
        <w:jc w:val="both"/>
        <w:ind w:left="160" w:right="460" w:firstLine="546"/>
        <w:spacing w:after="0" w:line="257" w:lineRule="auto"/>
        <w:rPr>
          <w:sz w:val="20"/>
          <w:szCs w:val="20"/>
          <w:color w:val="auto"/>
        </w:rPr>
      </w:pPr>
      <w:r>
        <w:rPr>
          <w:rFonts w:ascii="Arial" w:cs="Arial" w:eastAsia="Arial" w:hAnsi="Arial"/>
          <w:sz w:val="17"/>
          <w:szCs w:val="17"/>
          <w:color w:val="auto"/>
        </w:rPr>
        <w:t>The global manufacturing industry is one of the largest industries in the world. We believe the industry is poised for increased digitization via a number of global thematic shifts. These include rising demand for production, new manufacturing technologies, and shifting value chains, but the industry is in need of solutions to drive efficiency and create opportunities from these dynamics.</w:t>
      </w:r>
    </w:p>
    <w:p>
      <w:pPr>
        <w:spacing w:after="0" w:line="188" w:lineRule="exact"/>
        <w:rPr>
          <w:sz w:val="20"/>
          <w:szCs w:val="20"/>
          <w:color w:val="auto"/>
        </w:rPr>
      </w:pPr>
    </w:p>
    <w:p>
      <w:pPr>
        <w:jc w:val="both"/>
        <w:ind w:left="160" w:right="40" w:firstLine="546"/>
        <w:spacing w:after="0" w:line="246" w:lineRule="auto"/>
        <w:rPr>
          <w:sz w:val="20"/>
          <w:szCs w:val="20"/>
          <w:color w:val="auto"/>
        </w:rPr>
      </w:pPr>
      <w:r>
        <w:rPr>
          <w:rFonts w:ascii="Arial" w:cs="Arial" w:eastAsia="Arial" w:hAnsi="Arial"/>
          <w:sz w:val="17"/>
          <w:szCs w:val="17"/>
          <w:color w:val="auto"/>
        </w:rPr>
        <w:t>Furthermore, the manufacturing industry is largely composed of small- to medium-sized manufacturers, such as multi-generational family businesses or sole machinists, and we believe that there are significant barriers to entry industry for these businesses, who have to compete with scaled, better-resourced manufacturers. In the U.S. alone, there are over 625,000 manufacturing businesses with</w:t>
      </w:r>
    </w:p>
    <w:p>
      <w:pPr>
        <w:spacing w:after="0" w:line="1"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11.3 million employees, according to IBIS World. As of 2018, more than 98% of American manufacturers were categorized as small businesses by SCORE, a resource partner organization for the U.S. Small Business Administration, and 75% of these businesses had fewer than 20 employees.</w:t>
      </w:r>
    </w:p>
    <w:p>
      <w:pPr>
        <w:spacing w:after="0" w:line="20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believe that there are significant barriers to entry within the manufacturing industry for small- to medium-sized businesses. These barriers include physical and capital resource constraints, geographic isolation, reliance upon antiquated business development practices, and limited access to customers. For example, given the intense focus and time commitment precision machining requires, we believe smaller manufacturers typically lack the time and resources to invest in marketing to expand their customer base and back-office capabilities to optimize their business operations. We have surveyed our own sellers and, as of January 2021, 59% of them rated marketing as a large or extreme challenge.</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Furthermore, with the shift to online purchasing across industries, companies are increasingly looking for digital solutions to their on-demand manufacturing needs. Seeking to be informed, they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456"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search for and consume content on the latest manufacturing industry trends and technology developments, including content that helps them identify the best and fastest way to manufacture their products. Online search is growing in popularity as a method for buyers to find manufacturing services, with Google search data showing significant increases in year-over-year search volumes for terms like “CNC Machining Services,” “3D Printing Service” and “General Manufacturing &amp; Prototyping” over the last three years.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Sourcing manufacturing opportunities is a complex, costly and time-consuming process.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Even for the most sophisticated buyers and sellers, the manufacturing sourcing and procurement process is complex, uncertain, costly and time-consuming.</w:t>
      </w:r>
    </w:p>
    <w:p>
      <w:pPr>
        <w:spacing w:after="0" w:line="20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For buyers, the traditional manufacturing process begins with a custom design. Irrespective of order size, buyers must source potential sellers, undergoing time-consuming diligence across a network of options involving phone calls, emails and in-person visits. After selecting potential sellers to work with, buyers send a formal request for a quote, compare inbound quotes across sellers, negotiate the final price and terms, and officially notify the selected seller of the awarded opportunity. It often takes days or weeks to finalize the price and lead time for any particular order. After these steps, the buyer must still wait for the products to be manufactured and delivered, with shipping times varying widely depending on the seller and manufacturing process. With hundreds of thousands of manufacturers to choose from, buyers are inundated with options, but have little guidance or industry standardization around project complexity, design, timing or price.</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For sellers, the traditional manufacturing process begins by searching for buyers through sales and marketing channels and complying with the various initial diligence and business inquiries. After receiving and responding to requests for quotes, sellers must wait for quote feedback and respond to follow-up requests. Assuming they are selected for a particular job, after negotiating the final price and terms and getting official notification of the awarded opportunity, sellers must then ensure they have procured the relevant tools and supplies and reserved adequate machine time before producing and delivering the final product. This process of winning and maintaining new customers requires significant time and resource investment and takes sellers away from their core manufacturing operations and often results in costly downtime.</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Upon order completion, sellers must wait even longer to receive payment. In a 2020 survey by Atradius, nearly half of North American manufacturers reported having B2B customers that were late on payments, with an average payment term of 34 days. Additionally, 82% of these manufacturers expect the percentage of B2B invoices that go over 90 days without payment to stay the same or increase in the future. Furthermore, 69% of our sellers report managing cash flow as at least somewhat challenging for their business. Smaller customers can be inconsistent with payments and larger customers may insist on onerous net-120 payment terms as a precondition to awarding manufacturing opportunities. This puts significant pressure on small manufacturers who are responsible for procuring raw materials to do the work, paying for labor on a regular schedule, financing equipment, paying rent for their facilities and funding other general business expenses. A 2016 survey by J.P. Morgan found that 50% of small metal and machinery businesses had 28 days or fewer of cash on hand. As a result, deciding when to purchase additional equipment becomes a business-critical decision as sellers navigate financial constraints and weigh the trade-off between under-utilization of capacity and missed revenue opportunities.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We believe that the complex, labor-intensive and time-consuming sourcing process presents a significant opportunity as buyers and sellers look for more efficient ways to source demand and consummate production.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6"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202565</wp:posOffset>
            </wp:positionV>
            <wp:extent cx="4526280" cy="1698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2628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Resilient, localized and compliant supply chains are imperative.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the traditional manufacturing ecosystem, buyers face different sets of risks depending on how they source. If buyers source from a small number of sellers, they face greater risk of supply chain disruption amidst shortages or production interruptions, such as weather-related events. If buyers choose to source from a larger number of manufacturers, they face greater complexity in managing multiple parties’ pricing, timing, and inconsistent quality.</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Additionally, many industries are currently subject to, and will likely be increasingly subject to, regulations surrounding the geographies from which they source and the environmental impact of their supply chains. From private enterprise to government agencies, regulations like The Buy American Act and guidance from the EPA require buyers to procure products from domestic sources and in certain instances set standards around the facilities in which they are manufactured.</w:t>
      </w:r>
    </w:p>
    <w:p>
      <w:pPr>
        <w:spacing w:after="0" w:line="202"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We believe there is a significant opportunity to help companies around the world improve their supply chain diversification, access just-in-time production, and build supply chain resilience.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is increasing focus on the manufacturing industry to address ESG issues.</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Companies and investors are 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manage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Multiple catalysts have led to an inflection point for industry digitization.</w:t>
      </w:r>
    </w:p>
    <w:p>
      <w:pPr>
        <w:spacing w:after="0" w:line="230"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We believe future expected labor shortages, in combination with the proliferation of new technologies, necessitates digital solutions that increase productivity, improve financial performance and allow them to compete sustainably.</w:t>
      </w:r>
    </w:p>
    <w:p>
      <w:pPr>
        <w:spacing w:after="0" w:line="87" w:lineRule="exact"/>
        <w:rPr>
          <w:sz w:val="20"/>
          <w:szCs w:val="20"/>
          <w:color w:val="auto"/>
        </w:rPr>
      </w:pPr>
    </w:p>
    <w:p>
      <w:pPr>
        <w:ind w:left="920" w:right="1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Expected manufacturing labor shortage. </w:t>
      </w:r>
      <w:r>
        <w:rPr>
          <w:rFonts w:ascii="Arial" w:cs="Arial" w:eastAsia="Arial" w:hAnsi="Arial"/>
          <w:sz w:val="18"/>
          <w:szCs w:val="18"/>
          <w:color w:val="auto"/>
        </w:rPr>
        <w:t>The industry faces a significant talent shortage with 96% of manufacturing firms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expressing at least some concern about not having enough workers, according to a 2019 survey by the Manufacturing Institute. This gap is expected to grow, as two-thirds of firms indicated that workers age 55 and older comprised at least 20% of their workforce. The shortage of skilled workers in manufacturing is accelerating the adoption of new technology solutions to unlock productivity as industry players compete for a limited pool of talent.</w:t>
      </w:r>
    </w:p>
    <w:p>
      <w:pPr>
        <w:spacing w:after="0" w:line="88" w:lineRule="exact"/>
        <w:rPr>
          <w:rFonts w:ascii="Arial" w:cs="Arial" w:eastAsia="Arial" w:hAnsi="Arial"/>
          <w:sz w:val="18"/>
          <w:szCs w:val="18"/>
          <w:color w:val="auto"/>
        </w:rPr>
      </w:pPr>
    </w:p>
    <w:p>
      <w:pPr>
        <w:ind w:left="920" w:hanging="218"/>
        <w:spacing w:after="0" w:line="243"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Proliferation of 3D printing. </w:t>
      </w:r>
      <w:r>
        <w:rPr>
          <w:rFonts w:ascii="Arial" w:cs="Arial" w:eastAsia="Arial" w:hAnsi="Arial"/>
          <w:sz w:val="18"/>
          <w:szCs w:val="18"/>
          <w:color w:val="auto"/>
        </w:rPr>
        <w:t>The use of 3D printing is increasing across industries. A recent study by PwC found that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two-thirds of U.S. manufacturers already use 3D printing in some way. As the adoption of 3D printing for prototyping, product development and production continues, we believe that companies will look for ways to on-board and access to such technologies.</w:t>
      </w:r>
    </w:p>
    <w:p>
      <w:pPr>
        <w:spacing w:after="0" w:line="84" w:lineRule="exact"/>
        <w:rPr>
          <w:rFonts w:ascii="Arial" w:cs="Arial" w:eastAsia="Arial" w:hAnsi="Arial"/>
          <w:sz w:val="18"/>
          <w:szCs w:val="18"/>
          <w:color w:val="auto"/>
        </w:rPr>
      </w:pPr>
    </w:p>
    <w:p>
      <w:pPr>
        <w:ind w:left="920" w:right="260" w:hanging="218"/>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New AI applications across industries. </w:t>
      </w:r>
      <w:r>
        <w:rPr>
          <w:rFonts w:ascii="Arial" w:cs="Arial" w:eastAsia="Arial" w:hAnsi="Arial"/>
          <w:sz w:val="18"/>
          <w:szCs w:val="18"/>
          <w:color w:val="auto"/>
        </w:rPr>
        <w:t>According to the McKinsey Global Institute, AI has the potential to add $13 trillion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economic output by 2030. AI is helping to bring innovations to industries, including manufacturing, in which large amounts of data are generated to yield insights. As CIO notes, AI could also help to optimize manufacturing operations, potentially eliminating a portion of unplanned downtime costs, which have an estimated cost of up to $50 billion annually. According to a 2019 survey by Deloitte, 93% of companies believe that AI will be a pivotal technology to drive growth and innovation in their industries.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 metal manufacturing, 3D printing (including fused deposition modeling (FDM), direct metal laser sintering (DMLS), PolyJet, stereolithography (SLA), selective laser sintering (SLS), binder jetting, carbon digital light synthesis (DLS) and multi jet fusion (MJF), die casting, injection molding and urethane casting. Our estimates are based on independent industry publications or other publicly available information, as well as our internal sources.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6"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ecosystem and the products and services we offer. The data we generate enables us to become a preferred collaboration, workflow, and transaction platform for both buyers and sellers.</w:t>
      </w:r>
    </w:p>
    <w:p>
      <w:pPr>
        <w:spacing w:after="0" w:line="203"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AI Technology</w:t>
      </w:r>
    </w:p>
    <w:p>
      <w:pPr>
        <w:spacing w:after="0" w:line="230" w:lineRule="exact"/>
        <w:rPr>
          <w:sz w:val="20"/>
          <w:szCs w:val="20"/>
          <w:color w:val="auto"/>
        </w:rPr>
      </w:pPr>
    </w:p>
    <w:p>
      <w:pPr>
        <w:ind w:left="160" w:right="300" w:firstLine="546"/>
        <w:spacing w:after="0" w:line="268" w:lineRule="auto"/>
        <w:rPr>
          <w:sz w:val="20"/>
          <w:szCs w:val="20"/>
          <w:color w:val="auto"/>
        </w:rPr>
      </w:pPr>
      <w:r>
        <w:rPr>
          <w:rFonts w:ascii="Arial" w:cs="Arial" w:eastAsia="Arial" w:hAnsi="Arial"/>
          <w:sz w:val="17"/>
          <w:szCs w:val="17"/>
          <w:color w:val="auto"/>
        </w:rPr>
        <w:t>Our machine learning algorithms are central to our value proposition, and are present at every stage of the manufacturing order workflow. Our technology solves the problems buyers and sellers face in a traditional, offline process, from inquiry to execution.</w:t>
      </w:r>
    </w:p>
    <w:p>
      <w:pPr>
        <w:spacing w:after="0" w:line="157"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Prediction. </w:t>
      </w:r>
      <w:r>
        <w:rPr>
          <w:rFonts w:ascii="Arial" w:cs="Arial" w:eastAsia="Arial" w:hAnsi="Arial"/>
          <w:sz w:val="18"/>
          <w:szCs w:val="18"/>
          <w:color w:val="auto"/>
        </w:rPr>
        <w:t>Our models incorporate dozens of variables on pricing, timing, design requirements, execution considerations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having been trained by thousands of events to date to enable efficient buyer and seller transactions. Our models correlate historical buyer attributes with observed order frequency and order value to help predict customer longevity, transaction frequency and potential lifetime value. Our models also provide analytical insights on how buyers and sellers engage with our marketplace, products and services, helping us build and cross-sell our offerings to drive greater customer stickiness and increase transaction frequency, retention, lifetime value and referenceability.</w:t>
      </w:r>
    </w:p>
    <w:p>
      <w:pPr>
        <w:spacing w:after="0" w:line="181"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Our instantaneous pricing and project guidance functionality eliminates the complexity typically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sourcing process. Buyers upload CAD files and modify inputs including desired production method, material, finish and quantity. Our proprietary technology provides real-time pricing and delivery quotes for buyers and real-time offers for sellers. One of our proprietary platform software modules enables 3D Geometry and feature recognition, analyzing and understanding complex geometries in seconds to enhance our pricing accuracy, identify issues in part designs, and match manufacturing orders with sellers that have a proven track record with similar material, size and feature sets. Sellers can confirm order, price and related logistics in a single click through our intuitive user application, masking the complexity associated with our AI pricing algorithms.</w:t>
      </w:r>
    </w:p>
    <w:p>
      <w:pPr>
        <w:spacing w:after="0" w:line="181" w:lineRule="exact"/>
        <w:rPr>
          <w:sz w:val="20"/>
          <w:szCs w:val="20"/>
          <w:color w:val="auto"/>
        </w:rPr>
      </w:pPr>
    </w:p>
    <w:p>
      <w:pPr>
        <w:ind w:left="160" w:right="20" w:firstLine="546"/>
        <w:spacing w:after="0" w:line="238" w:lineRule="auto"/>
        <w:rPr>
          <w:sz w:val="20"/>
          <w:szCs w:val="20"/>
          <w:color w:val="auto"/>
        </w:rPr>
      </w:pPr>
      <w:r>
        <w:rPr>
          <w:rFonts w:ascii="Arial" w:cs="Arial" w:eastAsia="Arial" w:hAnsi="Arial"/>
          <w:sz w:val="18"/>
          <w:szCs w:val="18"/>
          <w:b w:val="1"/>
          <w:bCs w:val="1"/>
          <w:i w:val="1"/>
          <w:iCs w:val="1"/>
          <w:color w:val="auto"/>
        </w:rPr>
        <w:t xml:space="preserve">Efficient Sourcing. </w:t>
      </w:r>
      <w:r>
        <w:rPr>
          <w:rFonts w:ascii="Arial" w:cs="Arial" w:eastAsia="Arial" w:hAnsi="Arial"/>
          <w:sz w:val="18"/>
          <w:szCs w:val="18"/>
          <w:color w:val="auto"/>
        </w:rPr>
        <w:t>Our technology enables buyers to efficiently source manufacturing processes based on a variety of criteria,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manufacturing capability, materials, tools, project complexity, lead time, and seller capacity. After a buyer uploads a CAD file, our Design for Manufacturability (DFM) tool instantly identifies process requirements and feature complexity to help inform sellers about the manufacturing opportunity. Additionally, buyers and sellers can indicate their own preferences, which helps facilitate better sourcing opportunities on our platform. For example, buyers can specify requirements around credentialing for the facilities in which projects are produced, how the materials are sourced or the production quality standard to which the parts are held. Sellers also have the opportunity to do repeat work with a buyer on a particular opportunity after a successful first transaction.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Manufacturing Processes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Our platform is highly extensible, allowing us to onboard sellers with new manufacturing processes so that we can cover more of the manufacturing industry over time. Sellers on our platform</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6"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57" w:lineRule="auto"/>
        <w:rPr>
          <w:sz w:val="20"/>
          <w:szCs w:val="20"/>
          <w:color w:val="auto"/>
        </w:rPr>
      </w:pPr>
      <w:r>
        <w:rPr>
          <w:rFonts w:ascii="Arial" w:cs="Arial" w:eastAsia="Arial" w:hAnsi="Arial"/>
          <w:sz w:val="17"/>
          <w:szCs w:val="17"/>
          <w:color w:val="auto"/>
        </w:rPr>
        <w:t>offer a wide range of key manufacturing processes, which include CNC manufacturing, sheet metal manufacturing, 3D printing, sheet metal fabrication, die casting, injection molding and urethane casting, among others. These processes require specific training, expertise and equipment and can also be combined with the over 50 finishes and thousands of raw material and color combinations we offer.</w:t>
      </w:r>
    </w:p>
    <w:p>
      <w:pPr>
        <w:spacing w:after="0" w:line="72" w:lineRule="exact"/>
        <w:rPr>
          <w:sz w:val="20"/>
          <w:szCs w:val="20"/>
          <w:color w:val="auto"/>
        </w:rPr>
      </w:pPr>
    </w:p>
    <w:p>
      <w:pPr>
        <w:jc w:val="both"/>
        <w:ind w:left="920" w:right="60" w:hanging="218"/>
        <w:spacing w:after="0" w:line="24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CNC Machining </w:t>
      </w:r>
      <w:r>
        <w:rPr>
          <w:rFonts w:ascii="Arial" w:cs="Arial" w:eastAsia="Arial" w:hAnsi="Arial"/>
          <w:sz w:val="18"/>
          <w:szCs w:val="18"/>
          <w:color w:val="auto"/>
        </w:rPr>
        <w:t>uses computer-assisted machine tools to produce components with precision tolerances, surface finishes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post-processing requirements. Our CNC machining processes include, but are not limited to, multi-axis milling, swiss machining and lathe work.</w:t>
      </w:r>
    </w:p>
    <w:p>
      <w:pPr>
        <w:spacing w:after="0" w:line="77" w:lineRule="exact"/>
        <w:rPr>
          <w:rFonts w:ascii="Arial" w:cs="Arial" w:eastAsia="Arial" w:hAnsi="Arial"/>
          <w:sz w:val="18"/>
          <w:szCs w:val="18"/>
          <w:color w:val="auto"/>
        </w:rPr>
      </w:pPr>
    </w:p>
    <w:p>
      <w:pPr>
        <w:ind w:left="920" w:right="920" w:hanging="218"/>
        <w:spacing w:after="0" w:line="26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Injection Molding </w:t>
      </w:r>
      <w:r>
        <w:rPr>
          <w:rFonts w:ascii="Arial" w:cs="Arial" w:eastAsia="Arial" w:hAnsi="Arial"/>
          <w:sz w:val="18"/>
          <w:szCs w:val="18"/>
          <w:color w:val="auto"/>
        </w:rPr>
        <w:t>uses custom molds to make plastic parts at scale, with the highest variety of materials, colors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configurations.</w:t>
      </w:r>
    </w:p>
    <w:p>
      <w:pPr>
        <w:spacing w:after="0" w:line="64" w:lineRule="exact"/>
        <w:rPr>
          <w:rFonts w:ascii="Arial" w:cs="Arial" w:eastAsia="Arial" w:hAnsi="Arial"/>
          <w:sz w:val="18"/>
          <w:szCs w:val="18"/>
          <w:color w:val="auto"/>
        </w:rPr>
      </w:pPr>
    </w:p>
    <w:p>
      <w:pPr>
        <w:ind w:left="920" w:right="300" w:hanging="218"/>
        <w:spacing w:after="0" w:line="26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Urethane Casting </w:t>
      </w:r>
      <w:r>
        <w:rPr>
          <w:rFonts w:ascii="Arial" w:cs="Arial" w:eastAsia="Arial" w:hAnsi="Arial"/>
          <w:sz w:val="18"/>
          <w:szCs w:val="18"/>
          <w:color w:val="auto"/>
        </w:rPr>
        <w:t>uses 3D printed master pattern and silicone molds to deliver high-quality, short-run parts with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mechanical properties.</w:t>
      </w:r>
    </w:p>
    <w:p>
      <w:pPr>
        <w:spacing w:after="0" w:line="64" w:lineRule="exact"/>
        <w:rPr>
          <w:rFonts w:ascii="Arial" w:cs="Arial" w:eastAsia="Arial" w:hAnsi="Arial"/>
          <w:sz w:val="18"/>
          <w:szCs w:val="18"/>
          <w:color w:val="auto"/>
        </w:rPr>
      </w:pPr>
    </w:p>
    <w:p>
      <w:pPr>
        <w:ind w:left="920" w:right="440" w:hanging="218"/>
        <w:spacing w:after="0" w:line="26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3D Printing </w:t>
      </w:r>
      <w:r>
        <w:rPr>
          <w:rFonts w:ascii="Arial" w:cs="Arial" w:eastAsia="Arial" w:hAnsi="Arial"/>
          <w:sz w:val="18"/>
          <w:szCs w:val="18"/>
          <w:color w:val="auto"/>
        </w:rPr>
        <w:t>uses a wide variety of 3D printing and additive manufacturing processes to make a variety of metal and plastic</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Our 3D printing processes include FDM, DMLS, PolyJet, SLA, SLS, binder jetting, DLS and MJF.</w:t>
      </w:r>
    </w:p>
    <w:p>
      <w:pPr>
        <w:spacing w:after="0" w:line="64" w:lineRule="exact"/>
        <w:rPr>
          <w:rFonts w:ascii="Arial" w:cs="Arial" w:eastAsia="Arial" w:hAnsi="Arial"/>
          <w:sz w:val="18"/>
          <w:szCs w:val="18"/>
          <w:color w:val="auto"/>
        </w:rPr>
      </w:pPr>
    </w:p>
    <w:p>
      <w:pPr>
        <w:ind w:left="920" w:hanging="218"/>
        <w:spacing w:after="0" w:line="26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Sheet Metal and Weldment Fabrication </w:t>
      </w:r>
      <w:r>
        <w:rPr>
          <w:rFonts w:ascii="Arial" w:cs="Arial" w:eastAsia="Arial" w:hAnsi="Arial"/>
          <w:sz w:val="18"/>
          <w:szCs w:val="18"/>
          <w:color w:val="auto"/>
        </w:rPr>
        <w:t>uses a variety of techniques, including press brake work, punches, laser cutting, water</w:t>
      </w:r>
      <w:r>
        <w:rPr>
          <w:rFonts w:ascii="Arial" w:cs="Arial" w:eastAsia="Arial" w:hAnsi="Arial"/>
          <w:sz w:val="18"/>
          <w:szCs w:val="18"/>
          <w:b w:val="1"/>
          <w:bCs w:val="1"/>
          <w:color w:val="auto"/>
        </w:rPr>
        <w:t xml:space="preserve"> </w:t>
      </w:r>
      <w:r>
        <w:rPr>
          <w:rFonts w:ascii="Arial" w:cs="Arial" w:eastAsia="Arial" w:hAnsi="Arial"/>
          <w:sz w:val="18"/>
          <w:szCs w:val="18"/>
          <w:color w:val="auto"/>
        </w:rPr>
        <w:t>jet cutting, plasma cutting and custom welding, to create components from sheet metal.</w:t>
      </w:r>
    </w:p>
    <w:p>
      <w:pPr>
        <w:spacing w:after="0" w:line="64" w:lineRule="exact"/>
        <w:rPr>
          <w:rFonts w:ascii="Arial" w:cs="Arial" w:eastAsia="Arial" w:hAnsi="Arial"/>
          <w:sz w:val="18"/>
          <w:szCs w:val="18"/>
          <w:color w:val="auto"/>
        </w:rPr>
      </w:pPr>
    </w:p>
    <w:p>
      <w:pPr>
        <w:ind w:left="920" w:hanging="218"/>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Die Casting </w:t>
      </w:r>
      <w:r>
        <w:rPr>
          <w:rFonts w:ascii="Arial" w:cs="Arial" w:eastAsia="Arial" w:hAnsi="Arial"/>
          <w:sz w:val="18"/>
          <w:szCs w:val="18"/>
          <w:color w:val="auto"/>
        </w:rPr>
        <w:t>uses metal dies for producing high volumes of relatively complex metal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10160</wp:posOffset>
            </wp:positionV>
            <wp:extent cx="4916805" cy="17322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1680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globally.</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Xometry Flywheel</w:t>
      </w:r>
    </w:p>
    <w:p>
      <w:pPr>
        <w:spacing w:after="0" w:line="230"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Our AI-enabled technology platform carefully facilitates and analyzes the many interactions with our buyers and our sellers to deliver a high-quality and seamless end-to-end experience for both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320" w:top="456" w:right="5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buyers and sellers. Each order that is fulfilled on our marketplace provides data that is analyzed by our machine learning algorithms to hone pricing and lead time quotes for buyers. As more buyers join the platform, more sellers are drawn to the platform since more manufacturing opportunities are available, which in turn drives more buyers and additional growth. The growth of our platform drives more data through our machine learning algorithms. The continuous learning of our AI improves the experiences of buyers and sellers and makes our platform more intelligent and efficient. Our increased efficiency, driven by our ability to better predict pricing, is designed to, over time, drive greater gross margins. Furthermore, as buyers and sellers engage more with our platform, we are able to add more tailored products and partnerships that support their business growth, leading to even higher engagement and marketplace efficiency. The flywheel effect created by self-reinforcing AI increases the economic opportunity that can be shared by buyers and sellers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-5080</wp:posOffset>
            </wp:positionV>
            <wp:extent cx="3668395" cy="2658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68395"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Additional Seller Offerings</w:t>
      </w:r>
    </w:p>
    <w:p>
      <w:pPr>
        <w:spacing w:after="0" w:line="114" w:lineRule="exact"/>
        <w:rPr>
          <w:sz w:val="20"/>
          <w:szCs w:val="20"/>
          <w:color w:val="auto"/>
        </w:rPr>
      </w:pPr>
    </w:p>
    <w:p>
      <w:pPr>
        <w:ind w:left="920" w:right="80" w:hanging="218"/>
        <w:spacing w:after="0" w:line="23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 We also use our platform to gather insights into a seller’s future needs for materials so they can begin the quoting process for more opportunities. Our platform then intelligently matches sellers that have the right combination of tools, raw materials and finishes to get a particular job done. We plan to continue offering more resource management and predictive sourcing solutions to sellers to help them improve their capabilities and enhance their operations.</w:t>
      </w:r>
    </w:p>
    <w:p>
      <w:pPr>
        <w:spacing w:after="0" w:line="90" w:lineRule="exact"/>
        <w:rPr>
          <w:rFonts w:ascii="Arial" w:cs="Arial" w:eastAsia="Arial" w:hAnsi="Arial"/>
          <w:sz w:val="18"/>
          <w:szCs w:val="18"/>
          <w:color w:val="auto"/>
        </w:rPr>
      </w:pPr>
    </w:p>
    <w:p>
      <w:pPr>
        <w:ind w:left="920" w:hanging="218"/>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We alleviate the upfront cash strain many sellers face through the Xometry Advance Card, which generally gives sellers up to 30% of their job payment in advance to help them cover the cost of tools and materials. Through FastPay, we offer a fee-based service through which sellers can receive accelerated payment as quickly as 3 business days after completing work. Furthermore, with our financial products, sellers can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40"/>
          </w:cols>
          <w:pgMar w:left="320" w:top="456"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20"/>
        <w:spacing w:after="0" w:line="237" w:lineRule="auto"/>
        <w:rPr>
          <w:sz w:val="20"/>
          <w:szCs w:val="20"/>
          <w:color w:val="auto"/>
        </w:rPr>
      </w:pPr>
      <w:r>
        <w:rPr>
          <w:rFonts w:ascii="Arial" w:cs="Arial" w:eastAsia="Arial" w:hAnsi="Arial"/>
          <w:sz w:val="18"/>
          <w:szCs w:val="18"/>
          <w:color w:val="auto"/>
        </w:rPr>
        <w:t>create a digital storefront, automate their invoicing and offer their customers credit limits. In addition, sellers can elect to have their payouts guaranteed by us, which are underwritten by a third-party. These services help sellers manage their business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-5715</wp:posOffset>
            </wp:positionV>
            <wp:extent cx="4619625" cy="2250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1962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2020, 40% of active sellers used our seller services.</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have connected over 43,000 unique buyers, including nearly 30% of the Fortune 500, and nearly 5,000 unique sellers of a variety of sizes.</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buyers include engineers, product designers, procurement and supply chain personnel, inventors and business owners from businesses of a variety of sizes, ranging from self-funded start-ups to Fortune 100 companies. We enable buyers to source a broad array of manufacturing processes to meet complex and specific design and order needs across several industries, including Aerospace and Defense, Healthcare, Automotive, Consumer Goods, Industrial, Robotics, Government and Education. We generate substantially all of our revenue from the prices we charge our buyers on our platform. Buyers begin by uploading an engineering schematic that contains 3D design specifications, referred to as a CAD file. Then, we price transactions through our AI-enabled instant quoting engine based on factors such as volume, manufacturing process, material and location. The convenience and transparency of the model leads to increasing buyer stickiness and spend over time. Since inception, over 6.0 million parts have been manufactured through our platform. For the quarter ended March 31, 2021, we generated 95% of our revenue from existing accounts. We define an existing account as an account where at least one buyer has made a purchase on our marketplace.</w:t>
      </w:r>
    </w:p>
    <w:p>
      <w:pPr>
        <w:spacing w:after="0" w:line="202" w:lineRule="exact"/>
        <w:rPr>
          <w:sz w:val="20"/>
          <w:szCs w:val="20"/>
          <w:color w:val="auto"/>
        </w:rPr>
      </w:pPr>
    </w:p>
    <w:p>
      <w:pPr>
        <w:jc w:val="both"/>
        <w:ind w:left="160" w:right="220" w:firstLine="546"/>
        <w:spacing w:after="0" w:line="236"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Our seller offerings include financial services that enable sellers to stabilize and enhance their cash flows, discounts on tools and materials that allow them to lower their operating costs and resource management tools to optimize their business.</w:t>
      </w:r>
    </w:p>
    <w:p>
      <w:pPr>
        <w:spacing w:after="0" w:line="20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may be required to pay a seller more than anticipated to manufacture the order. We have concluded that we are the principal in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46" w:lineRule="auto"/>
        <w:rPr>
          <w:sz w:val="20"/>
          <w:szCs w:val="20"/>
          <w:color w:val="auto"/>
        </w:rPr>
      </w:pPr>
      <w:r>
        <w:rPr>
          <w:rFonts w:ascii="Arial" w:cs="Arial" w:eastAsia="Arial" w:hAnsi="Arial"/>
          <w:sz w:val="17"/>
          <w:szCs w:val="17"/>
          <w:color w:val="auto"/>
        </w:rPr>
        <w:t>sale of part(s) and assemblies that are sold by our network of third-party manufacturers because we exercise control over the manufacturing process by obtaining a right to direct a third-party manufacturer to fulfill the performance obligation we have with our buyer on our behalf. We considered the following conditions of the sale: (i) we have the obligation of providing the specified product to the buyer,</w:t>
      </w:r>
    </w:p>
    <w:p>
      <w:pPr>
        <w:spacing w:after="0" w:line="1" w:lineRule="exact"/>
        <w:rPr>
          <w:sz w:val="20"/>
          <w:szCs w:val="20"/>
          <w:color w:val="auto"/>
        </w:rPr>
      </w:pPr>
    </w:p>
    <w:p>
      <w:pPr>
        <w:ind w:left="160" w:right="80" w:firstLine="7"/>
        <w:spacing w:after="0" w:line="235" w:lineRule="auto"/>
        <w:tabs>
          <w:tab w:leader="none" w:pos="4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920" w:hanging="218"/>
        <w:spacing w:after="0" w:line="262"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9" w:lineRule="exact"/>
        <w:rPr>
          <w:rFonts w:ascii="Arial" w:cs="Arial" w:eastAsia="Arial" w:hAnsi="Arial"/>
          <w:sz w:val="17"/>
          <w:szCs w:val="17"/>
          <w:color w:val="auto"/>
        </w:rPr>
      </w:pPr>
    </w:p>
    <w:p>
      <w:pPr>
        <w:ind w:left="920" w:right="80" w:hanging="218"/>
        <w:spacing w:after="0" w:line="243"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920" w:right="100" w:hanging="218"/>
        <w:spacing w:after="0" w:line="262"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69" w:lineRule="exact"/>
        <w:rPr>
          <w:rFonts w:ascii="Arial" w:cs="Arial" w:eastAsia="Arial" w:hAnsi="Arial"/>
          <w:sz w:val="17"/>
          <w:szCs w:val="17"/>
          <w:color w:val="auto"/>
        </w:rPr>
      </w:pPr>
    </w:p>
    <w:p>
      <w:pPr>
        <w:ind w:left="920" w:right="160" w:hanging="218"/>
        <w:spacing w:after="0" w:line="243"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920" w:right="240" w:hanging="218"/>
        <w:spacing w:after="0" w:line="243"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84" w:lineRule="exact"/>
        <w:rPr>
          <w:rFonts w:ascii="Arial" w:cs="Arial" w:eastAsia="Arial" w:hAnsi="Arial"/>
          <w:sz w:val="18"/>
          <w:szCs w:val="18"/>
          <w:color w:val="auto"/>
        </w:rPr>
      </w:pPr>
    </w:p>
    <w:p>
      <w:pPr>
        <w:ind w:left="920" w:right="140" w:hanging="218"/>
        <w:spacing w:after="0" w:line="24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6"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6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920" w:right="200" w:hanging="218"/>
        <w:spacing w:after="0" w:line="243"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84" w:lineRule="exact"/>
        <w:rPr>
          <w:rFonts w:ascii="Arial" w:cs="Arial" w:eastAsia="Arial" w:hAnsi="Arial"/>
          <w:sz w:val="18"/>
          <w:szCs w:val="18"/>
          <w:color w:val="auto"/>
        </w:rPr>
      </w:pPr>
    </w:p>
    <w:p>
      <w:pPr>
        <w:ind w:left="920" w:right="20" w:hanging="218"/>
        <w:spacing w:after="0" w:line="24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920" w:right="120" w:hanging="218"/>
        <w:spacing w:after="0" w:line="270"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Excellence. </w:t>
      </w:r>
      <w:r>
        <w:rPr>
          <w:rFonts w:ascii="Arial" w:cs="Arial" w:eastAsia="Arial" w:hAnsi="Arial"/>
          <w:sz w:val="17"/>
          <w:szCs w:val="17"/>
          <w:color w:val="auto"/>
        </w:rPr>
        <w:t>We aim to be a completely digital one-stop-shop for all workflow solutions for sellers. Our intuitive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62" w:lineRule="exact"/>
        <w:rPr>
          <w:rFonts w:ascii="Arial" w:cs="Arial" w:eastAsia="Arial" w:hAnsi="Arial"/>
          <w:sz w:val="17"/>
          <w:szCs w:val="17"/>
          <w:color w:val="auto"/>
        </w:rPr>
      </w:pPr>
    </w:p>
    <w:p>
      <w:pPr>
        <w:ind w:left="920" w:hanging="218"/>
        <w:spacing w:after="0" w:line="243"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4" w:lineRule="exact"/>
        <w:rPr>
          <w:rFonts w:ascii="Arial" w:cs="Arial" w:eastAsia="Arial" w:hAnsi="Arial"/>
          <w:sz w:val="18"/>
          <w:szCs w:val="18"/>
          <w:color w:val="auto"/>
        </w:rPr>
      </w:pPr>
    </w:p>
    <w:p>
      <w:pPr>
        <w:ind w:left="920" w:hanging="218"/>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920" w:right="460" w:hanging="218"/>
        <w:spacing w:after="0" w:line="24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6"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0"/>
        <w:spacing w:after="0" w:line="253" w:lineRule="auto"/>
        <w:rPr>
          <w:sz w:val="20"/>
          <w:szCs w:val="20"/>
          <w:color w:val="auto"/>
        </w:rPr>
      </w:pPr>
      <w:r>
        <w:rPr>
          <w:rFonts w:ascii="Arial" w:cs="Arial" w:eastAsia="Arial" w:hAnsi="Arial"/>
          <w:sz w:val="17"/>
          <w:szCs w:val="17"/>
          <w:color w:val="auto"/>
        </w:rPr>
        <w:t>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77" w:lineRule="exact"/>
        <w:rPr>
          <w:sz w:val="20"/>
          <w:szCs w:val="20"/>
          <w:color w:val="auto"/>
        </w:rPr>
      </w:pPr>
    </w:p>
    <w:p>
      <w:pPr>
        <w:ind w:left="920" w:right="80" w:hanging="218"/>
        <w:spacing w:after="0" w:line="23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 and seller businesses thrive.</w:t>
      </w:r>
    </w:p>
    <w:p>
      <w:pPr>
        <w:spacing w:after="0" w:line="87" w:lineRule="exact"/>
        <w:rPr>
          <w:rFonts w:ascii="Arial" w:cs="Arial" w:eastAsia="Arial" w:hAnsi="Arial"/>
          <w:sz w:val="18"/>
          <w:szCs w:val="18"/>
          <w:color w:val="auto"/>
        </w:rPr>
      </w:pPr>
    </w:p>
    <w:p>
      <w:pPr>
        <w:jc w:val="both"/>
        <w:ind w:left="920" w:right="320" w:hanging="218"/>
        <w:spacing w:after="0" w:line="24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Xometry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had a 34% year-over-year increase in accounts with at least $50,000 annual spend.</w:t>
      </w:r>
    </w:p>
    <w:p>
      <w:pPr>
        <w:spacing w:after="0" w:line="87" w:lineRule="exact"/>
        <w:rPr>
          <w:rFonts w:ascii="Arial" w:cs="Arial" w:eastAsia="Arial" w:hAnsi="Arial"/>
          <w:sz w:val="18"/>
          <w:szCs w:val="18"/>
          <w:color w:val="auto"/>
        </w:rPr>
      </w:pPr>
    </w:p>
    <w:p>
      <w:pPr>
        <w:ind w:left="920" w:right="80" w:hanging="218"/>
        <w:spacing w:after="0" w:line="243"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920" w:right="220" w:hanging="218"/>
        <w:spacing w:after="0" w:line="243"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have grown significantly since our first transaction in 2014 and our importance to buyers and sellers in the global manufacturing market is evident in the volume and scale at which we now conduct business. We have accomplished a lot in just seven years, but we believe we still have a massive underpenetrated addressable opportunity ahead of us.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79"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7"/>
          <w:szCs w:val="17"/>
          <w:b w:val="1"/>
          <w:bCs w:val="1"/>
          <w:color w:val="auto"/>
        </w:rPr>
        <w:t xml:space="preserve">Attract new buyers and grow wallet share with existing buyers. </w:t>
      </w:r>
      <w:r>
        <w:rPr>
          <w:rFonts w:ascii="Arial" w:cs="Arial" w:eastAsia="Arial" w:hAnsi="Arial"/>
          <w:sz w:val="17"/>
          <w:szCs w:val="17"/>
          <w:color w:val="auto"/>
        </w:rPr>
        <w:t>We intend to continue investing in acquiring new buyers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traditional paid sales and marketing techniques as well as leveraging our strong organic referral network to drive awareness and build trust. Once we acquire a buyer, we seek to expand the breadth and scale of the services sold to that buyer and leverage the relationship to gain additional users within the buyer’s account through a combination of product offerings, customer relationship marketing, sales and account management. At March 31, 2021, we had 412 accounts with at least $50,000 annual spend. We will remain focused on increasing wallet share with our existing buyers through a number of deliberate strategies. With each positive experience and the expansion of our manufacturing processes through acquiring new sellers we will continue building our buyers’ spend and opportunities on our marketplace. We will also leverage engagement tools including case studies and design-for-manufacturing content, and deliberate customer and sales support to ensure buyer needs are met and they feel supported throughout the entire transaction journey.</w:t>
      </w:r>
    </w:p>
    <w:p>
      <w:pPr>
        <w:spacing w:after="0" w:line="17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b w:val="1"/>
          <w:b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our entire platform. We are focused on attracting new sellers, recognizing the massive opportunity still in front of us and the intrinsic benefit an active, diverse seller population brings to the overall platform. Sellers are essential to our buyers, our platform’s network effects and our reputation as a powerful partner to source on-demand manufacturing. Our enduring relationships help us to form new ones through strong referral networks and seller experiences. In particular, we are focused on ensuring that our seller network is diverse and sustainable, adding to our wide range of manufacturing processes. As of March 31, 2021, our sellers offered six key manufacturing processes. These processes can also be combined with over 50 finishes and thousands of raw material and color combinations. We will continue to extend our platform by attracting new sellers with the ability and expertise to deliver additional processes like extrusion, finishes and materials.</w:t>
      </w:r>
    </w:p>
    <w:p>
      <w:pPr>
        <w:spacing w:after="0" w:line="180"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b w:val="1"/>
          <w:b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 Sellers will be equipped with sophisticated order management, shipping, and collaboration tools, so that every job they execute, on and off our platform, can be centralized in one tool, increasing efficiency and helping to better predict capacity and revenue streams. For sellers active on our platform, our resourcing tools will enable us to offer intelligent procurement integrations, directed sourcing for materials and tools, and business management insights to help our sellers achieve their business goals and produce outstanding products for our buyers.</w:t>
      </w:r>
    </w:p>
    <w:p>
      <w:pPr>
        <w:spacing w:after="0" w:line="184" w:lineRule="exact"/>
        <w:rPr>
          <w:sz w:val="20"/>
          <w:szCs w:val="20"/>
          <w:color w:val="auto"/>
        </w:rPr>
      </w:pPr>
    </w:p>
    <w:p>
      <w:pPr>
        <w:ind w:left="160" w:right="80" w:firstLine="546"/>
        <w:spacing w:after="0" w:line="243" w:lineRule="auto"/>
        <w:rPr>
          <w:sz w:val="20"/>
          <w:szCs w:val="20"/>
          <w:color w:val="auto"/>
        </w:rPr>
      </w:pPr>
      <w:r>
        <w:rPr>
          <w:rFonts w:ascii="Arial" w:cs="Arial" w:eastAsia="Arial" w:hAnsi="Arial"/>
          <w:sz w:val="18"/>
          <w:szCs w:val="18"/>
          <w:b w:val="1"/>
          <w:b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and increase engagement. For the year ended December 31, 2020, 40% of our active sellers used our seller services. Although revenue from our seller services was approximately five percent of our total revenue for the year ended December 31, 2020, we expect</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spacing w:after="0" w:line="257" w:lineRule="auto"/>
        <w:rPr>
          <w:sz w:val="20"/>
          <w:szCs w:val="20"/>
          <w:color w:val="auto"/>
        </w:rPr>
      </w:pPr>
      <w:r>
        <w:rPr>
          <w:rFonts w:ascii="Arial" w:cs="Arial" w:eastAsia="Arial" w:hAnsi="Arial"/>
          <w:sz w:val="17"/>
          <w:szCs w:val="17"/>
          <w:color w:val="auto"/>
        </w:rPr>
        <w:t>revenue from seller services to grow over time. In 2020, we introduced a new suite of financial services for sellers that offer us attractive growth opportunities. We plan to continue to market the Xometry Pay platform to U.S. sellers, enhance features that allow quicker conversion of purchase orders to cash, and build toward a full-service digital wallet for sellers to use for payouts and purchases.</w:t>
      </w:r>
    </w:p>
    <w:p>
      <w:pPr>
        <w:spacing w:after="0" w:line="166"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b w:val="1"/>
          <w:b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like Xometry. With operations throughout the majority of the contiguous United States and customers in Europe and Asia we have established footholds in major markets around the world. For the years ended December 31, 2020 and 2019, we had sales to customers in 51 countries with over 95% of our revenue generated from buyers located in the United States. We believe our expanding geographic footprint presents an opportunity for future growth. We will continue to dedicate sales and marketing resources to develop our seller networks and attract buyers to our marketplace in other regions.</w:t>
      </w:r>
    </w:p>
    <w:p>
      <w:pPr>
        <w:spacing w:after="0" w:line="181" w:lineRule="exact"/>
        <w:rPr>
          <w:sz w:val="20"/>
          <w:szCs w:val="20"/>
          <w:color w:val="auto"/>
        </w:rPr>
      </w:pPr>
    </w:p>
    <w:p>
      <w:pPr>
        <w:ind w:left="160" w:right="60" w:firstLine="546"/>
        <w:spacing w:after="0"/>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for targeted investments and acquisitions to strengthen our competitive position and processes. In 2018, we acquired MakeTime, an on-demand manufacturing platform with enterprise expertise to bolster our enterprise capability. In 2019, we acquired Shift, a Munich-based startup, as part of our expansion into Europe. We will continue to evaluate and pursue strategic M&amp;A opportunities that are additive to our marketplace and technological capabilities or bring talent and experience to our team.</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Sales and Marketing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Our sales ecosystem is designed to partner with our buyers and sellers, providing them with exceptional customer service and working in tandem to realize and to achieve their full potential on our platform.</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For our buyers, we have dedicated enterprise and account management teams that are aligned by either expertise across one of our key verticals (Aerospace and Defense, Healthcare, Automotive, Consumer Goods, Industrial, Robotics, Government and Education) or based on first point of contact with our platform. All enterprise and account managers follow a defined sales process to ensure consistency in our approach and customer experience. We leverage the RFM (Recency, Frequency and Monetary) model, Lifetime Value data and other data points like lead scoring to better understand their unique needs, challenges and goals and to drive higher engagement with our platform.</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For our sellers, our team leverages our diverse product offerings to create a powerful and integrated sales and marketing funnel. All sellers are supported through dedicated operations and partner management teams. These teams are embedded within our Sales and Marketing function to ensure full knowledge of products and seller support at all stages, from invoicing to job sourcing as well as identifying opportunities for cross-sales or advancement down the funnel. Sales representatives support sellers from the initial education process with accessible content on business operations, manufacturing processes, and our platform, through any materials procurement leveraging our competitively priced recommendations on Xometry Supplies and finally to introducing our financial services products.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Marketing</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We use highly targeted, SEO-optimized, engineering and supply chain content and digital advertising to drive awareness and build trust. We work with our buyers and sellers to build and share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success stories, case-studies, design guides, how-to videos, webinars and other helpful content for our target audience. For our buyers specifically, we also utilize video, radio, podcasts and other digital marketing to engage with key influencers and communities where on-demand manufacturing content is highly relevant. Our unaided brand awareness as a provider of 3D manufacturing services among manufacturing professionals has more than doubled between 2018 (12)% and 2020 (26)% according to Digital Engineering. For our sellers specifically, our content is amplified through social media traffic (paid and earned), content partnerships with machining influencers and a strong presence in leading manufacturing publications and podcasts, as well as both in-person and virtual events.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Technology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utilize AI and machine learning to continuously improve the speed and accuracy of our pricing and placement activity. Our use of services-oriented architecture and cloud infrastructure ensures scalability and helps reduce the time to market for new features. We are able to easily test new features and validate product/market fit prior to large scale introduction.</w:t>
      </w:r>
    </w:p>
    <w:p>
      <w:pPr>
        <w:spacing w:after="0" w:line="181"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User research, data science and experimentation are critical to increasing the efficiency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on-demand manufacturing and are the core of everything we do. We rely on user research, data science, machine learning, and A/B and multivariate testing to continually improve user experiences, develop new offerings, drive optimization, and create operating leverage across our ecommerce and marketplace platform. We utilize data to increase the effectiveness of our brand and performance marketing, enhance the customer experience, analyze market dynamics at scale, and to calibrate our pricing. We also use data science for experimentation allowing us to fine tune our supply, sourcing and logistics models.</w:t>
      </w:r>
    </w:p>
    <w:p>
      <w:pPr>
        <w:spacing w:after="0" w:line="181" w:lineRule="exact"/>
        <w:rPr>
          <w:sz w:val="20"/>
          <w:szCs w:val="20"/>
          <w:color w:val="auto"/>
        </w:rPr>
      </w:pPr>
    </w:p>
    <w:p>
      <w:pPr>
        <w:ind w:left="160" w:right="100" w:firstLine="546"/>
        <w:spacing w:after="0" w:line="243" w:lineRule="auto"/>
        <w:rPr>
          <w:sz w:val="20"/>
          <w:szCs w:val="20"/>
          <w:color w:val="auto"/>
        </w:rPr>
      </w:pPr>
      <w:r>
        <w:rPr>
          <w:rFonts w:ascii="Arial" w:cs="Arial" w:eastAsia="Arial" w:hAnsi="Arial"/>
          <w:sz w:val="18"/>
          <w:szCs w:val="18"/>
          <w:b w:val="1"/>
          <w:bCs w:val="1"/>
          <w:color w:val="auto"/>
        </w:rPr>
        <w:t xml:space="preserve">Data Analytics. </w:t>
      </w:r>
      <w:r>
        <w:rPr>
          <w:rFonts w:ascii="Arial" w:cs="Arial" w:eastAsia="Arial" w:hAnsi="Arial"/>
          <w:sz w:val="18"/>
          <w:szCs w:val="18"/>
          <w:color w:val="auto"/>
        </w:rPr>
        <w:t>In an industry that historically used intuition and basic industry-wide data to drive purchasing and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we are moving our customers from intuition to predictive algorithms. We are expanding and continuously improving our access to data, employing data science and machine learning across our business to maximize efficiency. Our proprietary technology, machine learning and data analytics models continuously optimize our marketing investments and conversion funnel.</w:t>
      </w:r>
    </w:p>
    <w:p>
      <w:pPr>
        <w:spacing w:after="0" w:line="178"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 key element of our proprietary platform is software that is capable of 3D Geometry and feature recognition,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us to capitalize on the overall digitization of the manufacturing industry. Our platform analyzes and understands complex geometries in seconds, enhancing our pricing accuracy, identifying issues in part designs, and matching manufacturing orders with suppliers who have a proven track record with similar material, size and feature sets. This creates greater price transparency for both buyers and sellers and helps us find the best match for each order in real time.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Development</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product development efforts are focused on the following priorities that will help us achieve our plans for growth and enable our marketplace. The data received throughout the development, beta testing, and post implementation processes helps inform our future product development priorities and technology pipeline.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our leading priorities are:</w:t>
      </w:r>
    </w:p>
    <w:p>
      <w:pPr>
        <w:spacing w:after="0" w:line="79"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Enterprise integration</w:t>
      </w:r>
      <w:r>
        <w:rPr>
          <w:rFonts w:ascii="Arial" w:cs="Arial" w:eastAsia="Arial" w:hAnsi="Arial"/>
          <w:sz w:val="18"/>
          <w:szCs w:val="18"/>
          <w:color w:val="auto"/>
        </w:rPr>
        <w:t>. We are pursuing a strategy to further embed our platform into our various buyers’ workflows—whether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instant pricing available inside CAD software from Dassault, Autodesk, and PTC or streamlined purchasing support in procurement software like Ariba and Coupa. This is made possible by “productizing” our internal AI and workflow engine for novel uses.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 xml:space="preserve">Seller Services. </w:t>
      </w:r>
      <w:r>
        <w:rPr>
          <w:rFonts w:ascii="Arial" w:cs="Arial" w:eastAsia="Arial" w:hAnsi="Arial"/>
          <w:sz w:val="18"/>
          <w:szCs w:val="18"/>
          <w:color w:val="auto"/>
        </w:rPr>
        <w:t>Financial products, sales and marketing support, and access to our proprietary algorithms are all ways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can improve the seller experience and increase efficiency of our network and marketplace. These new products and services are prioritized by our product development teams.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Values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prioritize the following core values:</w:t>
      </w:r>
    </w:p>
    <w:p>
      <w:pPr>
        <w:spacing w:after="0" w:line="79" w:lineRule="exact"/>
        <w:rPr>
          <w:sz w:val="20"/>
          <w:szCs w:val="20"/>
          <w:color w:val="auto"/>
        </w:rPr>
      </w:pPr>
    </w:p>
    <w:p>
      <w:pPr>
        <w:ind w:left="160" w:right="140" w:firstLine="546"/>
        <w:spacing w:after="0" w:line="262" w:lineRule="auto"/>
        <w:rPr>
          <w:sz w:val="20"/>
          <w:szCs w:val="20"/>
          <w:color w:val="auto"/>
        </w:rPr>
      </w:pPr>
      <w:r>
        <w:rPr>
          <w:rFonts w:ascii="Arial" w:cs="Arial" w:eastAsia="Arial" w:hAnsi="Arial"/>
          <w:sz w:val="17"/>
          <w:szCs w:val="17"/>
          <w:b w:val="1"/>
          <w:bCs w:val="1"/>
          <w:color w:val="auto"/>
        </w:rPr>
        <w:t xml:space="preserve">We are customer and partner focused. </w:t>
      </w:r>
      <w:r>
        <w:rPr>
          <w:rFonts w:ascii="Arial" w:cs="Arial" w:eastAsia="Arial" w:hAnsi="Arial"/>
          <w:sz w:val="17"/>
          <w:szCs w:val="17"/>
          <w:color w:val="auto"/>
        </w:rPr>
        <w:t>Customer satisfaction drives our business and we are singularly focused on building a</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that benefits our buyers and sellers. We have created a marketplace in which the success of our buyers and sellers is interdependent, and we will continue to seek new and creative ways to serve the evolving needs of our ecosystem. As the ancient Greek poet Archilochus of Paros wrote, “The fox knows many things, but the hedgehog knows one big thing.” We are hedgehogs, not foxes.</w:t>
      </w:r>
    </w:p>
    <w:p>
      <w:pPr>
        <w:spacing w:after="0" w:line="163" w:lineRule="exact"/>
        <w:rPr>
          <w:sz w:val="20"/>
          <w:szCs w:val="20"/>
          <w:color w:val="auto"/>
        </w:rPr>
      </w:pPr>
    </w:p>
    <w:p>
      <w:pPr>
        <w:ind w:left="160" w:right="140" w:firstLine="546"/>
        <w:spacing w:after="0" w:line="249" w:lineRule="auto"/>
        <w:rPr>
          <w:sz w:val="20"/>
          <w:szCs w:val="20"/>
          <w:color w:val="auto"/>
        </w:rPr>
      </w:pPr>
      <w:r>
        <w:rPr>
          <w:rFonts w:ascii="Arial" w:cs="Arial" w:eastAsia="Arial" w:hAnsi="Arial"/>
          <w:sz w:val="18"/>
          <w:szCs w:val="18"/>
          <w:b w:val="1"/>
          <w:bCs w:val="1"/>
          <w:color w:val="auto"/>
        </w:rPr>
        <w:t xml:space="preserve">We enable equitable manufacturing. </w:t>
      </w:r>
      <w:r>
        <w:rPr>
          <w:rFonts w:ascii="Arial" w:cs="Arial" w:eastAsia="Arial" w:hAnsi="Arial"/>
          <w:sz w:val="18"/>
          <w:szCs w:val="18"/>
          <w:color w:val="auto"/>
        </w:rPr>
        <w:t>We serve businesses of a variety of sizes, from Fortune 100 companies to brand-new</w:t>
      </w:r>
      <w:r>
        <w:rPr>
          <w:rFonts w:ascii="Arial" w:cs="Arial" w:eastAsia="Arial" w:hAnsi="Arial"/>
          <w:sz w:val="18"/>
          <w:szCs w:val="18"/>
          <w:b w:val="1"/>
          <w:bCs w:val="1"/>
          <w:color w:val="auto"/>
        </w:rPr>
        <w:t xml:space="preserve"> </w:t>
      </w:r>
      <w:r>
        <w:rPr>
          <w:rFonts w:ascii="Arial" w:cs="Arial" w:eastAsia="Arial" w:hAnsi="Arial"/>
          <w:sz w:val="18"/>
          <w:szCs w:val="18"/>
          <w:color w:val="auto"/>
        </w:rPr>
        <w:t>start-ups, providing demonstrable value by increasing efficiency and accelerating speed to market. We aspire to revolutionize how global manufacturing functions in a digital world.</w:t>
      </w:r>
    </w:p>
    <w:p>
      <w:pPr>
        <w:spacing w:after="0" w:line="172" w:lineRule="exact"/>
        <w:rPr>
          <w:sz w:val="20"/>
          <w:szCs w:val="20"/>
          <w:color w:val="auto"/>
        </w:rPr>
      </w:pPr>
    </w:p>
    <w:p>
      <w:pPr>
        <w:ind w:left="160" w:right="480" w:firstLine="546"/>
        <w:spacing w:after="0" w:line="243" w:lineRule="auto"/>
        <w:rPr>
          <w:sz w:val="20"/>
          <w:szCs w:val="20"/>
          <w:color w:val="auto"/>
        </w:rPr>
      </w:pPr>
      <w:r>
        <w:rPr>
          <w:rFonts w:ascii="Arial" w:cs="Arial" w:eastAsia="Arial" w:hAnsi="Arial"/>
          <w:sz w:val="18"/>
          <w:szCs w:val="18"/>
          <w:b w:val="1"/>
          <w:bCs w:val="1"/>
          <w:color w:val="auto"/>
        </w:rPr>
        <w:t xml:space="preserve">We are people focused. </w:t>
      </w:r>
      <w:r>
        <w:rPr>
          <w:rFonts w:ascii="Arial" w:cs="Arial" w:eastAsia="Arial" w:hAnsi="Arial"/>
          <w:sz w:val="18"/>
          <w:szCs w:val="18"/>
          <w:color w:val="auto"/>
        </w:rPr>
        <w:t>Our employees are critical to our success. We embrace our team members for who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celebrating and leveraging the diversity of their backgrounds as a point of strength. We thrive as a business with excited, driven colleagues, who push and challenge each other and force us to continually improve as a business. Xometry invests in programs and systems to ensure we are a favorite place to work and that our work environment attracts and retains key talent.</w:t>
      </w:r>
    </w:p>
    <w:p>
      <w:pPr>
        <w:spacing w:after="0" w:line="178" w:lineRule="exact"/>
        <w:rPr>
          <w:sz w:val="20"/>
          <w:szCs w:val="20"/>
          <w:color w:val="auto"/>
        </w:rPr>
      </w:pPr>
    </w:p>
    <w:p>
      <w:pPr>
        <w:ind w:left="160" w:right="120" w:firstLine="546"/>
        <w:spacing w:after="0" w:line="243" w:lineRule="auto"/>
        <w:rPr>
          <w:sz w:val="20"/>
          <w:szCs w:val="20"/>
          <w:color w:val="auto"/>
        </w:rPr>
      </w:pPr>
      <w:r>
        <w:rPr>
          <w:rFonts w:ascii="Arial" w:cs="Arial" w:eastAsia="Arial" w:hAnsi="Arial"/>
          <w:sz w:val="18"/>
          <w:szCs w:val="18"/>
          <w:b w:val="1"/>
          <w:bCs w:val="1"/>
          <w:color w:val="auto"/>
        </w:rPr>
        <w:t xml:space="preserve">We are a company of doers. </w:t>
      </w:r>
      <w:r>
        <w:rPr>
          <w:rFonts w:ascii="Arial" w:cs="Arial" w:eastAsia="Arial" w:hAnsi="Arial"/>
          <w:sz w:val="18"/>
          <w:szCs w:val="18"/>
          <w:color w:val="auto"/>
        </w:rPr>
        <w:t>Talk is great, but action is better. We empower our team to take actions at every level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will benefit our marketplace, our customers, and our platform. We believe that the next big product idea or process innovation can come from anyone in our organization and because of that Xometry fosters a collaborative environment where employees can freely develop and exchange innovative concepts. We believe in “initiate, own and execute.”</w:t>
      </w:r>
    </w:p>
    <w:p>
      <w:pPr>
        <w:spacing w:after="0" w:line="178"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color w:val="auto"/>
        </w:rPr>
        <w:t xml:space="preserve">We create efficiencies. </w:t>
      </w:r>
      <w:r>
        <w:rPr>
          <w:rFonts w:ascii="Arial" w:cs="Arial" w:eastAsia="Arial" w:hAnsi="Arial"/>
          <w:sz w:val="18"/>
          <w:szCs w:val="18"/>
          <w:color w:val="auto"/>
        </w:rPr>
        <w:t>We seek to transform the complex global manufacturing market with simple to use solutions.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in reducing friction and increasing efficiency through the smart use of artificial intelligence, our talented team and our industry expertise. We acknowledge this a difficult task and we continue to aim for this ambitious target.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Employees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90 employees. Our employees are continuously innovating, and our structure rewards productivity. We also encourage employees to invest in themselves by contributing to continuing education tuition. As of March 31, 2021, we had 386 employees.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Commitment to Diversity and Inclusion</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committed to growing and empowering inclusive communities in our company, our industry, and the neighborhoods in which we live. We know that a diverse and thriving workforce is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40"/>
        <w:spacing w:after="0" w:line="239" w:lineRule="auto"/>
        <w:rPr>
          <w:sz w:val="20"/>
          <w:szCs w:val="20"/>
          <w:color w:val="auto"/>
        </w:rPr>
      </w:pPr>
      <w:r>
        <w:rPr>
          <w:rFonts w:ascii="Arial" w:cs="Arial" w:eastAsia="Arial" w:hAnsi="Arial"/>
          <w:sz w:val="18"/>
          <w:szCs w:val="18"/>
          <w:color w:val="auto"/>
        </w:rPr>
        <w:t>critical to attract and retain the talent necessary to grow our business. Our success depends on ideas. We can foster more productive ideas if we amplify all voices and provide the tools and resources to those who need them.</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79" w:lineRule="exact"/>
        <w:rPr>
          <w:sz w:val="20"/>
          <w:szCs w:val="20"/>
          <w:color w:val="auto"/>
        </w:rPr>
      </w:pPr>
    </w:p>
    <w:p>
      <w:pPr>
        <w:ind w:left="160" w:right="240" w:firstLine="546"/>
        <w:spacing w:after="0" w:line="265" w:lineRule="auto"/>
        <w:rPr>
          <w:sz w:val="20"/>
          <w:szCs w:val="20"/>
          <w:color w:val="auto"/>
        </w:rPr>
      </w:pPr>
      <w:r>
        <w:rPr>
          <w:rFonts w:ascii="Arial" w:cs="Arial" w:eastAsia="Arial" w:hAnsi="Arial"/>
          <w:sz w:val="18"/>
          <w:szCs w:val="18"/>
          <w:b w:val="1"/>
          <w:bCs w:val="1"/>
          <w:color w:val="auto"/>
        </w:rPr>
        <w:t>Diverse Manufacturers</w:t>
      </w:r>
      <w:r>
        <w:rPr>
          <w:rFonts w:ascii="Arial" w:cs="Arial" w:eastAsia="Arial" w:hAnsi="Arial"/>
          <w:sz w:val="18"/>
          <w:szCs w:val="18"/>
          <w:color w:val="auto"/>
        </w:rPr>
        <w:t>. We help to provide work to thousands of small machine shops that typically do not have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jobs from large corporations. Our sellers include hundreds of minority, veteran, and women-owned companies.</w:t>
      </w:r>
    </w:p>
    <w:p>
      <w:pPr>
        <w:spacing w:after="0" w:line="158" w:lineRule="exact"/>
        <w:rPr>
          <w:sz w:val="20"/>
          <w:szCs w:val="20"/>
          <w:color w:val="auto"/>
        </w:rPr>
      </w:pPr>
    </w:p>
    <w:p>
      <w:pPr>
        <w:ind w:left="160" w:right="320" w:firstLine="546"/>
        <w:spacing w:after="0" w:line="265" w:lineRule="auto"/>
        <w:rPr>
          <w:sz w:val="20"/>
          <w:szCs w:val="20"/>
          <w:color w:val="auto"/>
        </w:rPr>
      </w:pPr>
      <w:r>
        <w:rPr>
          <w:rFonts w:ascii="Arial" w:cs="Arial" w:eastAsia="Arial" w:hAnsi="Arial"/>
          <w:sz w:val="18"/>
          <w:szCs w:val="18"/>
          <w:b w:val="1"/>
          <w:bCs w:val="1"/>
          <w:color w:val="auto"/>
        </w:rPr>
        <w:t>Talent</w:t>
      </w:r>
      <w:r>
        <w:rPr>
          <w:rFonts w:ascii="Arial" w:cs="Arial" w:eastAsia="Arial" w:hAnsi="Arial"/>
          <w:sz w:val="18"/>
          <w:szCs w:val="18"/>
          <w:color w:val="auto"/>
        </w:rPr>
        <w:t>. We are increasing and broadening the pools of candidates from which we hire, both externally and internally,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refining the requirements, assessment criteria and selection process for each of our roles.</w:t>
      </w:r>
    </w:p>
    <w:p>
      <w:pPr>
        <w:spacing w:after="0" w:line="158" w:lineRule="exact"/>
        <w:rPr>
          <w:sz w:val="20"/>
          <w:szCs w:val="20"/>
          <w:color w:val="auto"/>
        </w:rPr>
      </w:pPr>
    </w:p>
    <w:p>
      <w:pPr>
        <w:ind w:left="160" w:right="140" w:firstLine="546"/>
        <w:spacing w:after="0" w:line="249"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 We devote considerable time and resources to the continuing education of our employees. This effort begins on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first day and remains part of our employee’s experience through regular panel discussions and focus groups to ignite conversations and ideas around DEI priorities.</w:t>
      </w:r>
    </w:p>
    <w:p>
      <w:pPr>
        <w:spacing w:after="0" w:line="172" w:lineRule="exact"/>
        <w:rPr>
          <w:sz w:val="20"/>
          <w:szCs w:val="20"/>
          <w:color w:val="auto"/>
        </w:rPr>
      </w:pPr>
    </w:p>
    <w:p>
      <w:pPr>
        <w:ind w:left="160" w:right="220" w:firstLine="546"/>
        <w:spacing w:after="0" w:line="265" w:lineRule="auto"/>
        <w:rPr>
          <w:sz w:val="20"/>
          <w:szCs w:val="20"/>
          <w:color w:val="auto"/>
        </w:rPr>
      </w:pPr>
      <w:r>
        <w:rPr>
          <w:rFonts w:ascii="Arial" w:cs="Arial" w:eastAsia="Arial" w:hAnsi="Arial"/>
          <w:sz w:val="18"/>
          <w:szCs w:val="18"/>
          <w:b w:val="1"/>
          <w:bCs w:val="1"/>
          <w:color w:val="auto"/>
        </w:rPr>
        <w:t>Culture</w:t>
      </w:r>
      <w:r>
        <w:rPr>
          <w:rFonts w:ascii="Arial" w:cs="Arial" w:eastAsia="Arial" w:hAnsi="Arial"/>
          <w:sz w:val="18"/>
          <w:szCs w:val="18"/>
          <w:color w:val="auto"/>
        </w:rPr>
        <w:t>. We are in the process of establishing a DEI Advisory Council that will take an active role not only in our programs but</w:t>
      </w:r>
      <w:r>
        <w:rPr>
          <w:rFonts w:ascii="Arial" w:cs="Arial" w:eastAsia="Arial" w:hAnsi="Arial"/>
          <w:sz w:val="18"/>
          <w:szCs w:val="18"/>
          <w:b w:val="1"/>
          <w:bCs w:val="1"/>
          <w:color w:val="auto"/>
        </w:rPr>
        <w:t xml:space="preserve"> </w:t>
      </w:r>
      <w:r>
        <w:rPr>
          <w:rFonts w:ascii="Arial" w:cs="Arial" w:eastAsia="Arial" w:hAnsi="Arial"/>
          <w:sz w:val="18"/>
          <w:szCs w:val="18"/>
          <w:color w:val="auto"/>
        </w:rPr>
        <w:t>also as thought leaders and change agents.</w:t>
      </w:r>
    </w:p>
    <w:p>
      <w:pPr>
        <w:spacing w:after="0" w:line="26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Commitment to ESG</w:t>
      </w:r>
    </w:p>
    <w:p>
      <w:pPr>
        <w:spacing w:after="0" w:line="230" w:lineRule="exact"/>
        <w:rPr>
          <w:sz w:val="20"/>
          <w:szCs w:val="20"/>
          <w:color w:val="auto"/>
        </w:rPr>
      </w:pPr>
    </w:p>
    <w:p>
      <w:pPr>
        <w:jc w:val="both"/>
        <w:ind w:left="160" w:right="80" w:firstLine="546"/>
        <w:spacing w:after="0" w:line="237"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Xometry.org: Manufacturing a Better World</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196"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have embraced the Pledge 1% movement, and are committed to donating 1% of our equity over time, to fund and support operations of Xometry.org.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We anticipate further annual stock grants to Xometry.org so our efforts are sustained and consistent.</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Competition</w:t>
      </w:r>
    </w:p>
    <w:p>
      <w:pPr>
        <w:spacing w:after="0" w:line="230"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The domestic and global on-demand manufacturing industry is localized and highly fragmented and we compete for both buyers and sellers.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320" w:top="456" w:right="5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compete for buyers with service bureaus and brokers. Our competitors include vertically integrated service bureaus, the service bureau divisions of the additive OEM companies such as Stratasys and 3D Systems and independent machine shops and 3D printing service bureaus. For buyers, we compete on the basis of competitive pricing, user experience, and superior customer service.</w:t>
      </w:r>
    </w:p>
    <w:p>
      <w:pPr>
        <w:spacing w:after="0" w:line="203" w:lineRule="exact"/>
        <w:rPr>
          <w:sz w:val="20"/>
          <w:szCs w:val="20"/>
          <w:color w:val="auto"/>
        </w:rPr>
      </w:pPr>
    </w:p>
    <w:p>
      <w:pPr>
        <w:ind w:left="160" w:right="320" w:firstLine="546"/>
        <w:spacing w:after="0" w:line="235" w:lineRule="auto"/>
        <w:rPr>
          <w:sz w:val="20"/>
          <w:szCs w:val="20"/>
          <w:color w:val="auto"/>
        </w:rPr>
      </w:pPr>
      <w:r>
        <w:rPr>
          <w:rFonts w:ascii="Arial" w:cs="Arial" w:eastAsia="Arial" w:hAnsi="Arial"/>
          <w:sz w:val="18"/>
          <w:szCs w:val="18"/>
          <w:color w:val="auto"/>
        </w:rPr>
        <w:t>For sellers, we compete with brokers and listing services. Sellers will pay the independent brokers commissions to connect with buyers as well as list their services in offline trade publications and online listing services. We also compete with companies that sell software and services to sellers, enabling them to sell from their own website or otherwise run their business independently of our platform. We are able to compete for sellers on the basis of providing real-time access to orders, cash flow stability, global access to customers and seller services and financial products.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Intellectual Property</w:t>
      </w:r>
    </w:p>
    <w:p>
      <w:pPr>
        <w:spacing w:after="0" w:line="230"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95"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As of March 31, 2021, we own six issued United States patents directed to the use of machine learning for generating fabrication and manufacturing predictions, such as price, manufacturability and suitable materials and two pending United States patent applications and one pending European patent application directed to similar technologies. Our issued patents in the U.S. will expire between 2036 and 2037 and the pending patent applications, if issued, are expected to expire between 2039 and 2040, excluding any extension of patent term that may be available.</w:t>
      </w:r>
    </w:p>
    <w:p>
      <w:pPr>
        <w:spacing w:after="0" w:line="204" w:lineRule="exact"/>
        <w:rPr>
          <w:sz w:val="20"/>
          <w:szCs w:val="20"/>
          <w:color w:val="auto"/>
        </w:rPr>
      </w:pPr>
    </w:p>
    <w:p>
      <w:pPr>
        <w:ind w:left="160" w:right="220" w:firstLine="546"/>
        <w:spacing w:after="0" w:line="234" w:lineRule="auto"/>
        <w:rPr>
          <w:sz w:val="20"/>
          <w:szCs w:val="20"/>
          <w:color w:val="auto"/>
        </w:rPr>
      </w:pPr>
      <w:r>
        <w:rPr>
          <w:rFonts w:ascii="Arial" w:cs="Arial" w:eastAsia="Arial" w:hAnsi="Arial"/>
          <w:sz w:val="18"/>
          <w:szCs w:val="18"/>
          <w:color w:val="auto"/>
        </w:rPr>
        <w:t>As of March 31, 2021, we have five registered U.S. trademarks and six registered foreign trademarks in the European Union and various other jurisdictions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20"/>
        <w:spacing w:after="0" w:line="237" w:lineRule="auto"/>
        <w:rPr>
          <w:sz w:val="20"/>
          <w:szCs w:val="20"/>
          <w:color w:val="auto"/>
        </w:rPr>
      </w:pPr>
      <w:r>
        <w:rPr>
          <w:rFonts w:ascii="Arial" w:cs="Arial" w:eastAsia="Arial" w:hAnsi="Arial"/>
          <w:sz w:val="18"/>
          <w:szCs w:val="18"/>
          <w:color w:val="auto"/>
        </w:rPr>
        <w:t>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203"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Facilities / Properties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headquarters are located in Montgomery County, Maryland where we occupy facilities encompassing approximately 40,000 square feet. We have regional offices in Lexington, KY, Jackson, TN, and Munich, Germany. All of our offices are leased and we do not own any real property. Our leases range in expiration from 2021 to 2024. We believe that these facilities are generally suitable to meet our needs.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Proceedings</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6"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for our executive officers and directors as of June 15, 2021:</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36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73"/>
        </w:trPr>
        <w:tc>
          <w:tcPr>
            <w:tcW w:w="4760" w:type="dxa"/>
            <w:vAlign w:val="bottom"/>
            <w:gridSpan w:val="2"/>
          </w:tcPr>
          <w:p>
            <w:pPr>
              <w:spacing w:after="0" w:line="173" w:lineRule="exact"/>
              <w:rPr>
                <w:sz w:val="20"/>
                <w:szCs w:val="20"/>
                <w:color w:val="auto"/>
              </w:rPr>
            </w:pPr>
            <w:r>
              <w:rPr>
                <w:rFonts w:ascii="Arial" w:cs="Arial" w:eastAsia="Arial" w:hAnsi="Arial"/>
                <w:sz w:val="18"/>
                <w:szCs w:val="18"/>
                <w:i w:val="1"/>
                <w:iCs w:val="1"/>
                <w:color w:val="auto"/>
              </w:rPr>
              <w:t>Executive Officers:</w:t>
            </w: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60" w:type="dxa"/>
            <w:vAlign w:val="bottom"/>
            <w:tcBorders>
              <w:top w:val="single" w:sz="8" w:color="auto"/>
            </w:tcBorders>
          </w:tcPr>
          <w:p>
            <w:pPr>
              <w:spacing w:after="0"/>
              <w:rPr>
                <w:sz w:val="15"/>
                <w:szCs w:val="15"/>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Randolph Altschuler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Executive Officer, Co-Founder and 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James Rallo</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Peter Goguen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Operating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Bill Cronin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Revenue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Kathy Mayerhofer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Sales Officer</w:t>
            </w:r>
          </w:p>
        </w:tc>
      </w:tr>
      <w:tr>
        <w:trPr>
          <w:trHeight w:val="183"/>
        </w:trPr>
        <w:tc>
          <w:tcPr>
            <w:tcW w:w="47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Laurence Zuriff</w:t>
            </w:r>
          </w:p>
        </w:tc>
        <w:tc>
          <w:tcPr>
            <w:tcW w:w="280" w:type="dxa"/>
            <w:vAlign w:val="bottom"/>
          </w:tcPr>
          <w:p>
            <w:pPr>
              <w:spacing w:after="0" w:line="18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8"/>
                <w:szCs w:val="18"/>
                <w:color w:val="auto"/>
              </w:rPr>
              <w:t>Chief Strategy Officer, Co-Founder and Director</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George Hornig</w:t>
            </w:r>
            <w:r>
              <w:rPr>
                <w:rFonts w:ascii="Arial" w:cs="Arial" w:eastAsia="Arial" w:hAnsi="Arial"/>
                <w:sz w:val="15"/>
                <w:szCs w:val="15"/>
                <w:color w:val="auto"/>
              </w:rPr>
              <w:t>(4)(5)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 and Chairman of the Board</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(1)</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Deborah Bial</w:t>
            </w:r>
            <w:r>
              <w:rPr>
                <w:rFonts w:ascii="Arial" w:cs="Arial" w:eastAsia="Arial" w:hAnsi="Arial"/>
                <w:sz w:val="15"/>
                <w:szCs w:val="15"/>
                <w:color w:val="auto"/>
              </w:rPr>
              <w:t>(5)(6)</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Craig Driscoll</w:t>
            </w:r>
            <w:r>
              <w:rPr>
                <w:rFonts w:ascii="Arial" w:cs="Arial" w:eastAsia="Arial" w:hAnsi="Arial"/>
                <w:sz w:val="15"/>
                <w:szCs w:val="15"/>
                <w:color w:val="auto"/>
              </w:rPr>
              <w:t>(5)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Fabio Rosati</w:t>
            </w:r>
            <w:r>
              <w:rPr>
                <w:rFonts w:ascii="Arial" w:cs="Arial" w:eastAsia="Arial" w:hAnsi="Arial"/>
                <w:sz w:val="15"/>
                <w:szCs w:val="15"/>
                <w:color w:val="auto"/>
              </w:rPr>
              <w:t>(2)(6)</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Katharine Weymouth</w:t>
            </w:r>
            <w:r>
              <w:rPr>
                <w:rFonts w:ascii="Arial" w:cs="Arial" w:eastAsia="Arial" w:hAnsi="Arial"/>
                <w:sz w:val="15"/>
                <w:szCs w:val="15"/>
                <w:color w:val="auto"/>
              </w:rPr>
              <w:t>(3)(4)</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4760" w:type="dxa"/>
            <w:vAlign w:val="bottom"/>
            <w:gridSpan w:val="2"/>
          </w:tcPr>
          <w:p>
            <w:pPr>
              <w:ind w:left="360"/>
              <w:spacing w:after="0"/>
              <w:rPr>
                <w:sz w:val="20"/>
                <w:szCs w:val="20"/>
                <w:color w:val="auto"/>
              </w:rPr>
            </w:pPr>
            <w:r>
              <w:rPr>
                <w:rFonts w:ascii="Arial" w:cs="Arial" w:eastAsia="Arial" w:hAnsi="Arial"/>
                <w:sz w:val="18"/>
                <w:szCs w:val="18"/>
                <w:color w:val="auto"/>
              </w:rPr>
              <w:t>Ranjana Clark</w:t>
            </w:r>
            <w:r>
              <w:rPr>
                <w:rFonts w:ascii="Arial" w:cs="Arial" w:eastAsia="Arial" w:hAnsi="Arial"/>
                <w:sz w:val="15"/>
                <w:szCs w:val="15"/>
                <w:color w:val="auto"/>
              </w:rPr>
              <w:t>(6)(7)</w:t>
            </w:r>
          </w:p>
        </w:tc>
        <w:tc>
          <w:tcPr>
            <w:tcW w:w="280" w:type="dxa"/>
            <w:vAlign w:val="bottom"/>
          </w:tcPr>
          <w:p>
            <w:pPr>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7645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0" w:lineRule="exact"/>
        <w:rPr>
          <w:sz w:val="20"/>
          <w:szCs w:val="20"/>
          <w:color w:val="auto"/>
        </w:rPr>
      </w:pP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Chairperson of the Audit Committee.</w:t>
      </w: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Chairperson of the Compensation Committee.</w:t>
      </w: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Chairperson of the Nominating and Corporate Governance Committee.</w:t>
      </w: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Clark is currently a director nominee and has been appointed as a member of our board of directors effective immediately after the consummation of this offering.</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w:t>
      </w:r>
    </w:p>
    <w:p>
      <w:pPr>
        <w:spacing w:after="0" w:line="208" w:lineRule="exact"/>
        <w:rPr>
          <w:sz w:val="20"/>
          <w:szCs w:val="20"/>
          <w:color w:val="auto"/>
        </w:rPr>
      </w:pPr>
    </w:p>
    <w:p>
      <w:pPr>
        <w:ind w:left="160" w:right="80" w:firstLine="546"/>
        <w:spacing w:after="0" w:line="251" w:lineRule="auto"/>
        <w:rPr>
          <w:sz w:val="20"/>
          <w:szCs w:val="20"/>
          <w:color w:val="auto"/>
        </w:rPr>
      </w:pPr>
      <w:r>
        <w:rPr>
          <w:rFonts w:ascii="Arial" w:cs="Arial" w:eastAsia="Arial" w:hAnsi="Arial"/>
          <w:sz w:val="17"/>
          <w:szCs w:val="17"/>
          <w:b w:val="1"/>
          <w:bCs w:val="1"/>
          <w:color w:val="auto"/>
        </w:rPr>
        <w:t xml:space="preserve">Randolph Altschuler </w:t>
      </w:r>
      <w:r>
        <w:rPr>
          <w:rFonts w:ascii="Arial" w:cs="Arial" w:eastAsia="Arial" w:hAnsi="Arial"/>
          <w:sz w:val="17"/>
          <w:szCs w:val="17"/>
          <w:color w:val="auto"/>
        </w:rPr>
        <w:t>is our co-founder and has served as our Chief Executive Officer and as a member of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w:t>
      </w:r>
    </w:p>
    <w:p>
      <w:pPr>
        <w:spacing w:after="0" w:line="3"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Mr. Altschuler received a B.A. from Princeton University and an M.B.A. from Harvard Business School. Mr. Altschuler was awarded a Fulbright Scholarship and studied at the University of Vienna in Austria. We believe that Mr. Altschuler is qualified to serve on the board of directors because of his experience building and leading our business since inception.</w:t>
      </w:r>
    </w:p>
    <w:p>
      <w:pPr>
        <w:spacing w:after="0" w:line="181"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James Rallo </w:t>
      </w:r>
      <w:r>
        <w:rPr>
          <w:rFonts w:ascii="Arial" w:cs="Arial" w:eastAsia="Arial" w:hAnsi="Arial"/>
          <w:sz w:val="18"/>
          <w:szCs w:val="18"/>
          <w:color w:val="auto"/>
        </w:rPr>
        <w:t>has served as our Chief Financial Officer since April 2020. Prior to joining Xometry, Mr. Rallo served as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w:t>
      </w:r>
    </w:p>
    <w:p>
      <w:pPr>
        <w:spacing w:after="0" w:line="182" w:lineRule="exact"/>
        <w:rPr>
          <w:sz w:val="20"/>
          <w:szCs w:val="20"/>
          <w:color w:val="auto"/>
        </w:rPr>
      </w:pPr>
    </w:p>
    <w:p>
      <w:pPr>
        <w:ind w:left="160" w:right="320" w:firstLine="546"/>
        <w:spacing w:after="0" w:line="265" w:lineRule="auto"/>
        <w:rPr>
          <w:sz w:val="20"/>
          <w:szCs w:val="20"/>
          <w:color w:val="auto"/>
        </w:rPr>
      </w:pPr>
      <w:r>
        <w:rPr>
          <w:rFonts w:ascii="Arial" w:cs="Arial" w:eastAsia="Arial" w:hAnsi="Arial"/>
          <w:sz w:val="18"/>
          <w:szCs w:val="18"/>
          <w:b w:val="1"/>
          <w:bCs w:val="1"/>
          <w:color w:val="auto"/>
        </w:rPr>
        <w:t xml:space="preserve">Peter Goguen </w:t>
      </w:r>
      <w:r>
        <w:rPr>
          <w:rFonts w:ascii="Arial" w:cs="Arial" w:eastAsia="Arial" w:hAnsi="Arial"/>
          <w:sz w:val="18"/>
          <w:szCs w:val="18"/>
          <w:color w:val="auto"/>
        </w:rPr>
        <w:t>has served as our Chief Operating Officer since March 2018. Prior to joining Xometry, Mr. Goguen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New Business Development and Launch for</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80" w:lineRule="exact"/>
        <w:rPr>
          <w:sz w:val="20"/>
          <w:szCs w:val="20"/>
          <w:color w:val="auto"/>
        </w:rPr>
      </w:pPr>
    </w:p>
    <w:p>
      <w:pPr>
        <w:ind w:left="160" w:right="100" w:firstLine="546"/>
        <w:spacing w:after="0"/>
        <w:rPr>
          <w:sz w:val="20"/>
          <w:szCs w:val="20"/>
          <w:color w:val="auto"/>
        </w:rPr>
      </w:pPr>
      <w:r>
        <w:rPr>
          <w:rFonts w:ascii="Arial" w:cs="Arial" w:eastAsia="Arial" w:hAnsi="Arial"/>
          <w:sz w:val="18"/>
          <w:szCs w:val="18"/>
          <w:b w:val="1"/>
          <w:bCs w:val="1"/>
          <w:color w:val="auto"/>
        </w:rPr>
        <w:t xml:space="preserve">Bill Cronin </w:t>
      </w:r>
      <w:r>
        <w:rPr>
          <w:rFonts w:ascii="Arial" w:cs="Arial" w:eastAsia="Arial" w:hAnsi="Arial"/>
          <w:sz w:val="18"/>
          <w:szCs w:val="18"/>
          <w:color w:val="auto"/>
        </w:rPr>
        <w:t>has served as our Chief Revenue Office since September 2018, and has served as our Senior Vice President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Marketing 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82" w:lineRule="exact"/>
        <w:rPr>
          <w:sz w:val="20"/>
          <w:szCs w:val="20"/>
          <w:color w:val="auto"/>
        </w:rPr>
      </w:pPr>
    </w:p>
    <w:p>
      <w:pPr>
        <w:ind w:left="160" w:right="40" w:firstLine="546"/>
        <w:spacing w:after="0" w:line="243" w:lineRule="auto"/>
        <w:rPr>
          <w:sz w:val="20"/>
          <w:szCs w:val="20"/>
          <w:color w:val="auto"/>
        </w:rPr>
      </w:pPr>
      <w:r>
        <w:rPr>
          <w:rFonts w:ascii="Arial" w:cs="Arial" w:eastAsia="Arial" w:hAnsi="Arial"/>
          <w:sz w:val="18"/>
          <w:szCs w:val="18"/>
          <w:b w:val="1"/>
          <w:bCs w:val="1"/>
          <w:color w:val="auto"/>
        </w:rPr>
        <w:t xml:space="preserve">Kathy Mayerhofer </w:t>
      </w:r>
      <w:r>
        <w:rPr>
          <w:rFonts w:ascii="Arial" w:cs="Arial" w:eastAsia="Arial" w:hAnsi="Arial"/>
          <w:sz w:val="18"/>
          <w:szCs w:val="18"/>
          <w:color w:val="auto"/>
        </w:rPr>
        <w:t>has served as our Chief Sales Officer since February 2020, and previously served as our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7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b w:val="1"/>
          <w:bCs w:val="1"/>
          <w:color w:val="auto"/>
        </w:rPr>
        <w:t xml:space="preserve">Laurence Zuriff </w:t>
      </w:r>
      <w:r>
        <w:rPr>
          <w:rFonts w:ascii="Arial" w:cs="Arial" w:eastAsia="Arial" w:hAnsi="Arial"/>
          <w:sz w:val="18"/>
          <w:szCs w:val="18"/>
          <w:color w:val="auto"/>
        </w:rPr>
        <w:t>is our co-founder and has served as our Chief Strategy Officer since April 2020, and as a member of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since our incorporation on May 29, 2013. Mr. Zuriff also continues to manage the investments for ZFI Capital (Zuriff Family Investments). He previously served as our Chief Financial Officer from September 2013 to April 2020. Mr. Zuriff received a B.A. in International Relations from Brown University and an M.A. in International Relations and International Economics from The John Hopkins University. We believe that Mr. Zuriff is qualified to serve on the board of directors because of his deep knowledge of our company and his industry experience.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Non-Employee Directors</w:t>
      </w:r>
    </w:p>
    <w:p>
      <w:pPr>
        <w:spacing w:after="0" w:line="208"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color w:val="auto"/>
        </w:rPr>
        <w:t xml:space="preserve">George Hornig </w:t>
      </w:r>
      <w:r>
        <w:rPr>
          <w:rFonts w:ascii="Arial" w:cs="Arial" w:eastAsia="Arial" w:hAnsi="Arial"/>
          <w:sz w:val="18"/>
          <w:szCs w:val="18"/>
          <w:color w:val="auto"/>
        </w:rPr>
        <w:t>has served as a member of our board of directors since October 2013 and as our Chairman of the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2021. Mr. Hornig serves as the Chairman and Founding Partner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was the Chairman of the Audit Committee for KBL Merger Corp. IV from April 2017 to August 2020. From November 1996 to May 2018, Mr. Hornig served as Audit Committee Chairman of the Board of Forrester Research. Mr. Hornig received an A.B. in Economics from Harvard University, a J.D. from Harvard Law School and an M.B.A from Harvard Business School. We believe that Mr. Hornig is qualified to serve on the board of directors because of his experience in manufacturing, consumer products and outsourcing of business services.</w:t>
      </w:r>
    </w:p>
    <w:p>
      <w:pPr>
        <w:spacing w:after="0" w:line="184"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color w:val="auto"/>
        </w:rPr>
        <w:t xml:space="preserve">Emily Rollins </w:t>
      </w:r>
      <w:r>
        <w:rPr>
          <w:rFonts w:ascii="Arial" w:cs="Arial" w:eastAsia="Arial" w:hAnsi="Arial"/>
          <w:sz w:val="18"/>
          <w:szCs w:val="18"/>
          <w:color w:val="auto"/>
        </w:rPr>
        <w:t>has served as a member of our board of directors and as the chairperson of our audit committee since March 2021.</w:t>
      </w:r>
      <w:r>
        <w:rPr>
          <w:rFonts w:ascii="Arial" w:cs="Arial" w:eastAsia="Arial" w:hAnsi="Arial"/>
          <w:sz w:val="18"/>
          <w:szCs w:val="18"/>
          <w:b w:val="1"/>
          <w:bCs w:val="1"/>
          <w:color w:val="auto"/>
        </w:rPr>
        <w:t xml:space="preserve"> </w:t>
      </w:r>
      <w:r>
        <w:rPr>
          <w:rFonts w:ascii="Arial" w:cs="Arial" w:eastAsia="Arial" w:hAnsi="Arial"/>
          <w:sz w:val="18"/>
          <w:szCs w:val="18"/>
          <w:color w:val="auto"/>
        </w:rPr>
        <w:t>From September 1992 to September 2020, Ms. Rollins served in various positions at Deloitte &amp; Touche LLP including most recently as an Audit &amp; Assurance Partner, specializing in the technology, venture capital and life sciences industries. She currently serves on the board of Dolby Laboratories, Inc., a position she has held since February 2021. Ms. Rollins holds a B.A. in Accounting and International Relations from Claremont McKenna College. We believe that Ms. Rollins is qualified to serve on our board of directors due to her board and management experience with complex audit and reporting processes for technology and media companies.</w:t>
      </w:r>
    </w:p>
    <w:p>
      <w:pPr>
        <w:spacing w:after="0" w:line="181" w:lineRule="exact"/>
        <w:rPr>
          <w:sz w:val="20"/>
          <w:szCs w:val="20"/>
          <w:color w:val="auto"/>
        </w:rPr>
      </w:pPr>
    </w:p>
    <w:p>
      <w:pPr>
        <w:ind w:left="160" w:right="240" w:firstLine="546"/>
        <w:spacing w:after="0" w:line="265" w:lineRule="auto"/>
        <w:rPr>
          <w:sz w:val="20"/>
          <w:szCs w:val="20"/>
          <w:color w:val="auto"/>
        </w:rPr>
      </w:pPr>
      <w:r>
        <w:rPr>
          <w:rFonts w:ascii="Arial" w:cs="Arial" w:eastAsia="Arial" w:hAnsi="Arial"/>
          <w:sz w:val="18"/>
          <w:szCs w:val="18"/>
          <w:b w:val="1"/>
          <w:bCs w:val="1"/>
          <w:color w:val="auto"/>
        </w:rPr>
        <w:t xml:space="preserve">Deborah Bial </w:t>
      </w:r>
      <w:r>
        <w:rPr>
          <w:rFonts w:ascii="Arial" w:cs="Arial" w:eastAsia="Arial" w:hAnsi="Arial"/>
          <w:sz w:val="18"/>
          <w:szCs w:val="18"/>
          <w:color w:val="auto"/>
        </w:rPr>
        <w:t>has served as a member of our board of directors since October 2020. Ms. Bial is the founder and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 Foundation, a youth leadership-development and college-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success organization, a position she has held since 1989. Ms. Bial received a B.A. from Brandeis University and an Ed.M and Ed.D. from Harvard University. We believe that Ms. Bial is qualified to serve on the board of directors because of her extensive experience and leadership abilities.</w:t>
      </w:r>
    </w:p>
    <w:p>
      <w:pPr>
        <w:spacing w:after="0" w:line="181"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color w:val="auto"/>
        </w:rPr>
        <w:t xml:space="preserve">Craig Driscoll </w:t>
      </w:r>
      <w:r>
        <w:rPr>
          <w:rFonts w:ascii="Arial" w:cs="Arial" w:eastAsia="Arial" w:hAnsi="Arial"/>
          <w:sz w:val="18"/>
          <w:szCs w:val="18"/>
          <w:color w:val="auto"/>
        </w:rPr>
        <w:t>has served as a member of our board of directors since May 2019. Mr. Driscoll serves as General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Highland Capital Partners, a global venture capital firm, a position he has held since June 2017 and previously served as a Talent Partner from February 2006 to May 2017. In addition to serving on the board of Xometry, Mr. Driscoll serves on the board of directors of WhyHotel, an alternative hospitality service provider. Mr. Driscoll received a M.E. in Mechanical Engineering from Vanderbilt University. We believe that Mr. Driscoll is qualified to serve on the board of directors because of his experience in business development and team building experience building and advising companies from the earliest stages of growth.</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color w:val="auto"/>
        </w:rPr>
        <w:t xml:space="preserve">Fabio Rosati </w:t>
      </w:r>
      <w:r>
        <w:rPr>
          <w:rFonts w:ascii="Arial" w:cs="Arial" w:eastAsia="Arial" w:hAnsi="Arial"/>
          <w:sz w:val="18"/>
          <w:szCs w:val="18"/>
          <w:color w:val="auto"/>
        </w:rPr>
        <w:t>has served as a member of our board of directors since December 2017. Mr. Rosati is the Executive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Snagajob, a 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and Skysthelimit.org. Mr. Rosati received a B.S. in Finance and Accounting from Georgetown University. We believe that Mr. Rosati is qualified to serve on the board of directors because of his experience in the technology space.</w:t>
      </w:r>
    </w:p>
    <w:p>
      <w:pPr>
        <w:spacing w:after="0" w:line="181"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color w:val="auto"/>
        </w:rPr>
        <w:t xml:space="preserve">Katharine Weymouth </w:t>
      </w:r>
      <w:r>
        <w:rPr>
          <w:rFonts w:ascii="Arial" w:cs="Arial" w:eastAsia="Arial" w:hAnsi="Arial"/>
          <w:sz w:val="18"/>
          <w:szCs w:val="18"/>
          <w:color w:val="auto"/>
        </w:rPr>
        <w:t>has served as a member of our board of directors since October 2020. Ms. Weymouth is the Co-Founder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Senior Advisor of The Chef Market (formerly DineXpert), an on-demand platform for restaurants. Ms. Weymouth has been in this role since 2019 and has been with DineXpert since June of 2017. Ms. Weymouth was the Publisher and Chief Executive Officer of the Washington Post from February 2008 to September 2014. Since January 2015, Ms. Weymouth has served as a Trustee of the Philip L Graham Fund. Ms. Weymouth is a board member of Republic Services, Inc, Cable One, Inc., Sequoia Mutual Fund and The Graham Holdings Company. Ms. Weymouth received a B.A. in English Literature from Harvard University and a J.D. from Stanford Law School. We believe that Ms. Weymouth is qualified to serve on the board of directors because of her extensive executive and public company board experience.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Nominee</w:t>
      </w:r>
    </w:p>
    <w:p>
      <w:pPr>
        <w:spacing w:after="0" w:line="208"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b w:val="1"/>
          <w:bCs w:val="1"/>
          <w:color w:val="auto"/>
        </w:rPr>
        <w:t xml:space="preserve">Ranjana Clark </w:t>
      </w:r>
      <w:r>
        <w:rPr>
          <w:rFonts w:ascii="Arial" w:cs="Arial" w:eastAsia="Arial" w:hAnsi="Arial"/>
          <w:sz w:val="18"/>
          <w:szCs w:val="18"/>
          <w:color w:val="auto"/>
        </w:rPr>
        <w:t>has been appointed as a member of our board of directors effective immediately after the consummation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Since July 2013, Ms. Clark has held a number of positions with Mitsubishi UFJ Financial Group, or MUFG, and is currently the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a position she has held since July 2014. Ms. Clark received a B.A. from the University of Delhi, an M.B.A with an emphasis in Marketing from the Indian Institute of Management, Ahmedabad, and an M.B.A with an emphasis in Finance from Duke University’s Fuqua School of Business. We believe Ms. Clark is qualified to serve on our board of directors due to her extensive executive experience and deep knowledge of the financial services industry.</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0"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and, after the consummation of this offering, we will have nine directors. Six of our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directors currently serve on the board of directors pursuant to the provisions of a voting agreement between us and several of our stockholders.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02"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10" w:lineRule="exact"/>
        <w:rPr>
          <w:sz w:val="20"/>
          <w:szCs w:val="20"/>
          <w:color w:val="auto"/>
        </w:rPr>
      </w:pPr>
    </w:p>
    <w:p>
      <w:pPr>
        <w:ind w:left="920" w:right="44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Class I directors will be Randolph Altschuler, Deborah Bial and Craig Driscoll, whose terms will expire at the first annual meeting of stockholders to be held in 2022;</w:t>
      </w:r>
    </w:p>
    <w:p>
      <w:pPr>
        <w:spacing w:after="0" w:line="109" w:lineRule="exact"/>
        <w:rPr>
          <w:rFonts w:ascii="Arial" w:cs="Arial" w:eastAsia="Arial" w:hAnsi="Arial"/>
          <w:sz w:val="18"/>
          <w:szCs w:val="18"/>
          <w:color w:val="auto"/>
        </w:rPr>
      </w:pPr>
    </w:p>
    <w:p>
      <w:pPr>
        <w:ind w:left="920" w:right="54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Class II directors will be George Hornig, Fabio Rosati and Katharine Weymouth, whose terms will expire at the second annual meeting of stockholders to be held in 2023; and</w:t>
      </w:r>
    </w:p>
    <w:p>
      <w:pPr>
        <w:spacing w:after="0" w:line="109"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Class III director will be Ranjana Clark, Emily Rollins and Laurence Zuriff, whose terms will expire at the third annual meeting of stockholders to be held in 2024.</w:t>
      </w:r>
    </w:p>
    <w:p>
      <w:pPr>
        <w:spacing w:after="0" w:line="203"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Independence</w:t>
      </w:r>
    </w:p>
    <w:p>
      <w:pPr>
        <w:spacing w:after="0" w:line="230"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her or his background, employment and affiliations, our board of directors has determined that none of our directors, other than Mr. Altschuler and Mr. Zuriff, has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audit committee consists of George Hornig, Emily Rollins and Katharine Weymouth. Our board of directors has determined that each of Mr. Hornig, Ms. Rollins and Ms. Weymouth satisfies the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independence requirements under Nasdaq listing standards and Rule 10A-3(b)(1) of the Exchange Act. The chair of our audit committee is Emily Rollins,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204" w:lineRule="exact"/>
        <w:rPr>
          <w:sz w:val="20"/>
          <w:szCs w:val="20"/>
          <w:color w:val="auto"/>
        </w:rPr>
      </w:pPr>
    </w:p>
    <w:p>
      <w:pPr>
        <w:ind w:left="160" w:right="420" w:firstLine="546"/>
        <w:spacing w:after="0" w:line="237"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09" w:lineRule="exact"/>
        <w:rPr>
          <w:sz w:val="20"/>
          <w:szCs w:val="20"/>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3" w:lineRule="exact"/>
        <w:rPr>
          <w:rFonts w:ascii="Arial" w:cs="Arial" w:eastAsia="Arial" w:hAnsi="Arial"/>
          <w:sz w:val="18"/>
          <w:szCs w:val="18"/>
          <w:color w:val="auto"/>
        </w:rPr>
      </w:pPr>
    </w:p>
    <w:p>
      <w:pPr>
        <w:ind w:left="920" w:right="860" w:hanging="218"/>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9" w:lineRule="exact"/>
        <w:rPr>
          <w:rFonts w:ascii="Arial" w:cs="Arial" w:eastAsia="Arial" w:hAnsi="Arial"/>
          <w:sz w:val="18"/>
          <w:szCs w:val="18"/>
          <w:color w:val="auto"/>
        </w:rPr>
      </w:pPr>
    </w:p>
    <w:p>
      <w:pPr>
        <w:ind w:left="920" w:right="740" w:hanging="218"/>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3" w:lineRule="exact"/>
        <w:rPr>
          <w:rFonts w:ascii="Arial" w:cs="Arial" w:eastAsia="Arial" w:hAnsi="Arial"/>
          <w:sz w:val="18"/>
          <w:szCs w:val="18"/>
          <w:color w:val="auto"/>
        </w:rPr>
      </w:pPr>
    </w:p>
    <w:p>
      <w:pPr>
        <w:jc w:val="both"/>
        <w:ind w:left="920" w:hanging="218"/>
        <w:spacing w:after="0" w:line="23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08" w:lineRule="exact"/>
        <w:rPr>
          <w:rFonts w:ascii="Arial" w:cs="Arial" w:eastAsia="Arial" w:hAnsi="Arial"/>
          <w:sz w:val="18"/>
          <w:szCs w:val="18"/>
          <w:color w:val="auto"/>
        </w:rPr>
      </w:pPr>
    </w:p>
    <w:p>
      <w:pPr>
        <w:ind w:left="920" w:right="760" w:hanging="218"/>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20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Our audit committee operates under a written charter that satisfies the applicable listing standards of The Nasdaq Global Select Market.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3" w:lineRule="exact"/>
        <w:rPr>
          <w:sz w:val="20"/>
          <w:szCs w:val="20"/>
          <w:color w:val="auto"/>
        </w:rPr>
      </w:pPr>
    </w:p>
    <w:p>
      <w:pPr>
        <w:ind w:left="160" w:right="20" w:firstLine="546"/>
        <w:spacing w:after="0" w:line="257" w:lineRule="auto"/>
        <w:rPr>
          <w:sz w:val="20"/>
          <w:szCs w:val="20"/>
          <w:color w:val="auto"/>
        </w:rPr>
      </w:pPr>
      <w:r>
        <w:rPr>
          <w:rFonts w:ascii="Arial" w:cs="Arial" w:eastAsia="Arial" w:hAnsi="Arial"/>
          <w:sz w:val="17"/>
          <w:szCs w:val="17"/>
          <w:color w:val="auto"/>
        </w:rPr>
        <w:t>Our compensation committee consists of Deborah Bial, Craig Driscoll, George Hornig and Fabio Rosati. The chair of our compensation committee is Mr. Rosati. Our board of directors has determined that each of Ms. Bial, Mr. Driscoll, Mr. Hornig and Mr. Rosati is independent under Nasdaq listing standards, a “non-employee director” as defined in Rule 16b-3 promulgated under the Exchange Act.</w:t>
      </w:r>
    </w:p>
    <w:p>
      <w:pPr>
        <w:spacing w:after="0" w:line="188"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09" w:lineRule="exact"/>
        <w:rPr>
          <w:sz w:val="20"/>
          <w:szCs w:val="20"/>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succession plans for our executive officers;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3" w:lineRule="exact"/>
        <w:rPr>
          <w:rFonts w:ascii="Arial" w:cs="Arial" w:eastAsia="Arial" w:hAnsi="Arial"/>
          <w:sz w:val="18"/>
          <w:szCs w:val="18"/>
          <w:color w:val="auto"/>
        </w:rPr>
      </w:pPr>
    </w:p>
    <w:p>
      <w:pPr>
        <w:ind w:left="920" w:hanging="218"/>
        <w:spacing w:after="0" w:line="23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8" w:lineRule="exact"/>
        <w:rPr>
          <w:rFonts w:ascii="Arial" w:cs="Arial" w:eastAsia="Arial" w:hAnsi="Arial"/>
          <w:sz w:val="18"/>
          <w:szCs w:val="18"/>
          <w:color w:val="auto"/>
        </w:rPr>
      </w:pPr>
    </w:p>
    <w:p>
      <w:pPr>
        <w:ind w:left="920" w:right="660" w:hanging="218"/>
        <w:spacing w:after="0" w:line="23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203"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Our compensation committee operates under a written charter that satisfies the applicable listing standards of The Nasdaq Global Select Market.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3" w:lineRule="exact"/>
        <w:rPr>
          <w:sz w:val="20"/>
          <w:szCs w:val="20"/>
          <w:color w:val="auto"/>
        </w:rPr>
      </w:pPr>
    </w:p>
    <w:p>
      <w:pPr>
        <w:ind w:left="160" w:right="240" w:firstLine="546"/>
        <w:spacing w:after="0" w:line="257" w:lineRule="auto"/>
        <w:rPr>
          <w:sz w:val="20"/>
          <w:szCs w:val="20"/>
          <w:color w:val="auto"/>
        </w:rPr>
      </w:pPr>
      <w:r>
        <w:rPr>
          <w:rFonts w:ascii="Arial" w:cs="Arial" w:eastAsia="Arial" w:hAnsi="Arial"/>
          <w:sz w:val="17"/>
          <w:szCs w:val="17"/>
          <w:color w:val="auto"/>
        </w:rPr>
        <w:t>Our nominating and corporate governance committee consists of Deborah Bial, Ranjana Clark, Fabio Rosati and Katharine Weymouth. The chair of our nominating and corporate governance committee is Ms. Weymouth. Our board of directors has determined that each member of the nominating and corporate governance committee is independent under the Nasdaq listing standards.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14" w:lineRule="exact"/>
        <w:rPr>
          <w:sz w:val="20"/>
          <w:szCs w:val="20"/>
          <w:color w:val="auto"/>
        </w:rPr>
      </w:pPr>
    </w:p>
    <w:p>
      <w:pPr>
        <w:ind w:left="920" w:right="1140" w:hanging="218"/>
        <w:spacing w:after="0" w:line="23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9" w:lineRule="exact"/>
        <w:rPr>
          <w:rFonts w:ascii="Arial" w:cs="Arial" w:eastAsia="Arial" w:hAnsi="Arial"/>
          <w:sz w:val="18"/>
          <w:szCs w:val="18"/>
          <w:color w:val="auto"/>
        </w:rPr>
      </w:pPr>
    </w:p>
    <w:p>
      <w:pPr>
        <w:ind w:left="920" w:right="800" w:hanging="218"/>
        <w:spacing w:after="0" w:line="23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25" w:lineRule="exact"/>
        <w:rPr>
          <w:rFonts w:ascii="Arial" w:cs="Arial" w:eastAsia="Arial" w:hAnsi="Arial"/>
          <w:sz w:val="17"/>
          <w:szCs w:val="17"/>
          <w:color w:val="auto"/>
        </w:rPr>
      </w:pPr>
    </w:p>
    <w:p>
      <w:pPr>
        <w:ind w:left="920" w:hanging="218"/>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08"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The Nasdaq Global Select Market.</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Code of Conduct</w:t>
      </w:r>
    </w:p>
    <w:p>
      <w:pPr>
        <w:spacing w:after="0" w:line="230"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www.xometry.com.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0"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None of the members of the compensation committee are currently, or have been at any time, one of our officers or employees. None of our executive officers currently serve, or have served during</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6"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20"/>
        <w:spacing w:after="0" w:line="239" w:lineRule="auto"/>
        <w:rPr>
          <w:sz w:val="20"/>
          <w:szCs w:val="20"/>
          <w:color w:val="auto"/>
        </w:rPr>
      </w:pPr>
      <w:r>
        <w:rPr>
          <w:rFonts w:ascii="Arial" w:cs="Arial" w:eastAsia="Arial" w:hAnsi="Arial"/>
          <w:sz w:val="18"/>
          <w:szCs w:val="18"/>
          <w:color w:val="auto"/>
        </w:rPr>
        <w:t>the last year, as a member of the board of directors or compensation committee of any entity that has one or more executive officers serving as a member of our board of directors or compensation committee.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Non-Employee Director Compensation</w:t>
      </w:r>
    </w:p>
    <w:p>
      <w:pPr>
        <w:spacing w:after="0" w:line="230"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During the year ended December 31, 2020, we did not pay compensation to any of our non-employee directors for service on our board of directors, other than as described below. While we have not had a formal director compensation policy prior to this offering, in connection with the appointments of Ms. Bial and Ms. Weymouth to our board of directors in 2020, we granted stock options to each of them, as further described below. We have reimbursed and will continue to reimburse all of our non-employee directors for their reasonable out-of-pocket expenses incurred in attending board of directors and committee meetings.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 Compensation Table</w:t>
      </w:r>
    </w:p>
    <w:p>
      <w:pPr>
        <w:spacing w:after="0" w:line="123"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for the year ended December 31, 2020:</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300" w:type="dxa"/>
            <w:vAlign w:val="bottom"/>
            <w:vMerge w:val="restart"/>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6300" w:type="dxa"/>
            <w:vAlign w:val="bottom"/>
            <w:vMerge w:val="continue"/>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 in Cash</w:t>
            </w:r>
          </w:p>
        </w:tc>
        <w:tc>
          <w:tcPr>
            <w:tcW w:w="780" w:type="dxa"/>
            <w:vAlign w:val="bottom"/>
          </w:tcPr>
          <w:p>
            <w:pPr>
              <w:spacing w:after="0"/>
              <w:rPr>
                <w:sz w:val="15"/>
                <w:szCs w:val="15"/>
                <w:color w:val="auto"/>
              </w:rPr>
            </w:pPr>
          </w:p>
        </w:tc>
        <w:tc>
          <w:tcPr>
            <w:tcW w:w="1580" w:type="dxa"/>
            <w:vAlign w:val="bottom"/>
            <w:gridSpan w:val="3"/>
          </w:tcPr>
          <w:p>
            <w:pPr>
              <w:spacing w:after="0" w:line="164"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(1)(2)</w:t>
            </w:r>
          </w:p>
        </w:tc>
        <w:tc>
          <w:tcPr>
            <w:tcW w:w="1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7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George Hornig</w:t>
            </w:r>
          </w:p>
        </w:tc>
        <w:tc>
          <w:tcPr>
            <w:tcW w:w="44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20"/>
              <w:spacing w:after="0" w:line="188"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ind w:left="420"/>
              <w:spacing w:after="0" w:line="188"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line="188"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(3)</w:t>
            </w:r>
          </w:p>
        </w:tc>
        <w:tc>
          <w:tcPr>
            <w:tcW w:w="440" w:type="dxa"/>
            <w:vAlign w:val="bottom"/>
          </w:tcPr>
          <w:p>
            <w:pPr>
              <w:spacing w:after="0"/>
              <w:rPr>
                <w:sz w:val="17"/>
                <w:szCs w:val="17"/>
                <w:color w:val="auto"/>
              </w:rPr>
            </w:pPr>
          </w:p>
        </w:tc>
        <w:tc>
          <w:tcPr>
            <w:tcW w:w="60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Deborah Bial</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312,200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312,200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rPr>
              <w:t>Craig Driscoll</w:t>
            </w:r>
          </w:p>
        </w:tc>
        <w:tc>
          <w:tcPr>
            <w:tcW w:w="440" w:type="dxa"/>
            <w:vAlign w:val="bottom"/>
          </w:tcPr>
          <w:p>
            <w:pPr>
              <w:spacing w:after="0"/>
              <w:rPr>
                <w:sz w:val="17"/>
                <w:szCs w:val="17"/>
                <w:color w:val="auto"/>
              </w:rPr>
            </w:pPr>
          </w:p>
        </w:tc>
        <w:tc>
          <w:tcPr>
            <w:tcW w:w="60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Fabio Rosati</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70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4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312,200</w:t>
            </w:r>
          </w:p>
        </w:tc>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5"/>
              </w:rPr>
              <w:t>312,200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right="20" w:hanging="433"/>
        <w:spacing w:after="0" w:line="23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directors during 2020 under our 2016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ind w:left="600" w:right="140" w:hanging="433"/>
        <w:spacing w:after="0" w:line="254"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following table provides information regarding the number of shares of our Class A common stock underlying options granted to our non-employee directors that were outstanding as of December 31, 2020.</w:t>
      </w:r>
    </w:p>
    <w:p>
      <w:pPr>
        <w:spacing w:after="0" w:line="8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640" w:type="dxa"/>
            <w:vAlign w:val="bottom"/>
            <w:vMerge w:val="restart"/>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70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George Hornig</w:t>
            </w: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40" w:type="dxa"/>
            <w:vAlign w:val="bottom"/>
            <w:gridSpan w:val="2"/>
            <w:vMerge w:val="continue"/>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tcPr>
          <w:p>
            <w:pPr>
              <w:spacing w:after="0"/>
              <w:rPr>
                <w:sz w:val="20"/>
                <w:szCs w:val="20"/>
                <w:color w:val="auto"/>
              </w:rPr>
            </w:pPr>
            <w:r>
              <w:rPr>
                <w:rFonts w:ascii="Arial" w:cs="Arial" w:eastAsia="Arial" w:hAnsi="Arial"/>
                <w:sz w:val="14"/>
                <w:szCs w:val="14"/>
                <w:color w:val="auto"/>
              </w:rPr>
              <w:t>Emily Rollins</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Deborah Bial</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60"/>
        </w:trPr>
        <w:tc>
          <w:tcPr>
            <w:tcW w:w="7040" w:type="dxa"/>
            <w:vAlign w:val="bottom"/>
            <w:gridSpan w:val="2"/>
          </w:tcPr>
          <w:p>
            <w:pPr>
              <w:spacing w:after="0"/>
              <w:rPr>
                <w:sz w:val="20"/>
                <w:szCs w:val="20"/>
                <w:color w:val="auto"/>
              </w:rPr>
            </w:pPr>
            <w:r>
              <w:rPr>
                <w:rFonts w:ascii="Arial" w:cs="Arial" w:eastAsia="Arial" w:hAnsi="Arial"/>
                <w:sz w:val="14"/>
                <w:szCs w:val="14"/>
                <w:color w:val="auto"/>
              </w:rPr>
              <w:t>Craig Driscoll</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Fabio Rosati</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26,628</w:t>
            </w:r>
          </w:p>
        </w:tc>
        <w:tc>
          <w:tcPr>
            <w:tcW w:w="0" w:type="dxa"/>
            <w:vAlign w:val="bottom"/>
          </w:tcPr>
          <w:p>
            <w:pPr>
              <w:spacing w:after="0"/>
              <w:rPr>
                <w:sz w:val="1"/>
                <w:szCs w:val="1"/>
                <w:color w:val="auto"/>
              </w:rPr>
            </w:pPr>
          </w:p>
        </w:tc>
      </w:tr>
      <w:tr>
        <w:trPr>
          <w:trHeight w:val="176"/>
        </w:trPr>
        <w:tc>
          <w:tcPr>
            <w:tcW w:w="7040" w:type="dxa"/>
            <w:vAlign w:val="bottom"/>
            <w:gridSpan w:val="2"/>
          </w:tcPr>
          <w:p>
            <w:pPr>
              <w:spacing w:after="0"/>
              <w:rPr>
                <w:sz w:val="20"/>
                <w:szCs w:val="20"/>
                <w:color w:val="auto"/>
              </w:rPr>
            </w:pPr>
            <w:r>
              <w:rPr>
                <w:rFonts w:ascii="Arial" w:cs="Arial" w:eastAsia="Arial" w:hAnsi="Arial"/>
                <w:sz w:val="14"/>
                <w:szCs w:val="14"/>
                <w:color w:val="auto"/>
              </w:rPr>
              <w:t>Katharine Weymouth</w:t>
            </w:r>
          </w:p>
        </w:tc>
        <w:tc>
          <w:tcPr>
            <w:tcW w:w="124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00" w:hanging="433"/>
        <w:spacing w:after="0"/>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Rollins joined our board in March 2021.</w:t>
      </w:r>
    </w:p>
    <w:p>
      <w:pPr>
        <w:spacing w:after="0" w:line="208"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In October 2020, in connection with their commencement of services, we granted each of Ms. Bial and Ms. Weymouth stock options to purchase 70,000 shares of our Class A common stock, with an exercise price of $4.46 per share. Each option vests in 48 equal monthly installments, commencing on September 26, 2020, subject to the director’s continuous service with us. In the event of a change in control of our company, the options will vest in full, subject to the director’s continuous service through such date.</w:t>
      </w:r>
    </w:p>
    <w:p>
      <w:pPr>
        <w:spacing w:after="0" w:line="202"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In February 2021, in connection with her commencement of services, we granted Ms. Rollins stock options to purchase 70,000 shares of our Class A common stock, with an exercise price of</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740"/>
        <w:spacing w:after="0" w:line="237" w:lineRule="auto"/>
        <w:rPr>
          <w:sz w:val="20"/>
          <w:szCs w:val="20"/>
          <w:color w:val="auto"/>
        </w:rPr>
      </w:pPr>
      <w:r>
        <w:rPr>
          <w:rFonts w:ascii="Arial" w:cs="Arial" w:eastAsia="Arial" w:hAnsi="Arial"/>
          <w:sz w:val="18"/>
          <w:szCs w:val="18"/>
          <w:color w:val="auto"/>
        </w:rPr>
        <w:t>$12.32 per share. Each option vests in 48 equal monthly installments, commencing on March 2, 2021, subject to the Ms. Rollins’ continuous service with us. In the event of a change in control of our company, the options will vest in full, subject to Ms. Rollins’ continuous service through such date.</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June 2021, Ranjana Clark was appointed as a member of our board of directors effective immediately after the consummation of this offering. In connection with her commencement of services and effective upon the consummation of this offering, our board granted Ms. Clark restricted stock units, or RSUs, under our 2021 Plan, representing a contingent right to receive shares of our Class A common stock with an aggregate value of $100,000, with the number of shares to be determined using the initial public offering price. Based on the initial public offering price of $44.00 per share, the RSUs to be granted to Ms. Clark will represent a contingent right to receive 2,272 shares of our Class A common stock.</w:t>
      </w:r>
    </w:p>
    <w:p>
      <w:pPr>
        <w:spacing w:after="0" w:line="202"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Each of Mr. Altschuler, our co-founder and Chief Executive Officer, and Mr. Zuriff, our co-founder and Chief Strategy Officer, is also a director but does not receive any additional compensation for his service as a director. See the section titled “Executive Compensation” for more information regarding the compensation earned by these executive officers.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2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Our board of directors adopted a non-employee director compensation policy that became effective upon the execution and delivery of the underwriting agreement related to this offering, or the effective date, and that is applicable to all of our non-employee directors. This compensation policy provides that each such non-employee director will receive the following compensation for service on our board of directors:</w:t>
      </w:r>
    </w:p>
    <w:p>
      <w:pPr>
        <w:spacing w:after="0" w:line="109" w:lineRule="exact"/>
        <w:rPr>
          <w:sz w:val="20"/>
          <w:szCs w:val="20"/>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annual cash retainer of $35,000;</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additional annual cash retainer of $40,000 for service as independent chair of the board of directors;</w:t>
      </w:r>
    </w:p>
    <w:p>
      <w:pPr>
        <w:spacing w:after="0" w:line="113" w:lineRule="exact"/>
        <w:rPr>
          <w:rFonts w:ascii="Arial" w:cs="Arial" w:eastAsia="Arial" w:hAnsi="Arial"/>
          <w:sz w:val="18"/>
          <w:szCs w:val="18"/>
          <w:color w:val="auto"/>
        </w:rPr>
      </w:pPr>
    </w:p>
    <w:p>
      <w:pPr>
        <w:ind w:left="920" w:right="80" w:hanging="218"/>
        <w:spacing w:after="0" w:line="239"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additional annual cash retainer of $9,000, $5,000 and $3,000 for service as a member of the audit committee, compensation committee and the nominating and corporate governance committee, respectively;</w:t>
      </w:r>
    </w:p>
    <w:p>
      <w:pPr>
        <w:spacing w:after="0" w:line="109" w:lineRule="exact"/>
        <w:rPr>
          <w:rFonts w:ascii="Arial" w:cs="Arial" w:eastAsia="Arial" w:hAnsi="Arial"/>
          <w:sz w:val="18"/>
          <w:szCs w:val="18"/>
          <w:color w:val="auto"/>
        </w:rPr>
      </w:pPr>
    </w:p>
    <w:p>
      <w:pPr>
        <w:ind w:left="920" w:right="520" w:hanging="218"/>
        <w:spacing w:after="0" w:line="237"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additional annual cash retainer of $18,000, $10,000 and $6,000 for service as chair of the audit committee, chair of the compensation committee and chair of the nominating and corporate governance committee, respectively (in lieu of the committee member retainer above);</w:t>
      </w:r>
    </w:p>
    <w:p>
      <w:pPr>
        <w:spacing w:after="0" w:line="108" w:lineRule="exact"/>
        <w:rPr>
          <w:rFonts w:ascii="Arial" w:cs="Arial" w:eastAsia="Arial" w:hAnsi="Arial"/>
          <w:sz w:val="18"/>
          <w:szCs w:val="18"/>
          <w:color w:val="auto"/>
        </w:rPr>
      </w:pPr>
    </w:p>
    <w:p>
      <w:pPr>
        <w:ind w:left="920" w:right="80" w:hanging="218"/>
        <w:spacing w:after="0" w:line="239"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initial RSU award, or initial RSU award, granted upon a director’s initial election or appointment to the board, vesting in three equal annual installments; and</w:t>
      </w:r>
    </w:p>
    <w:p>
      <w:pPr>
        <w:spacing w:after="0" w:line="109" w:lineRule="exact"/>
        <w:rPr>
          <w:rFonts w:ascii="Arial" w:cs="Arial" w:eastAsia="Arial" w:hAnsi="Arial"/>
          <w:sz w:val="18"/>
          <w:szCs w:val="18"/>
          <w:color w:val="auto"/>
        </w:rPr>
      </w:pPr>
    </w:p>
    <w:p>
      <w:pPr>
        <w:ind w:left="920" w:right="260" w:hanging="218"/>
        <w:spacing w:after="0" w:line="237"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annual RSU award, or refresher RSU award, granted as of January 1 of each year after the effective date to each non-employee director who continues to serve on such date. Such refresher RSU awards will have an aggregate grant date value equal to $130,000, and will vest on the first anniversary of their grant date.</w:t>
      </w:r>
    </w:p>
    <w:p>
      <w:pPr>
        <w:spacing w:after="0" w:line="203"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Each of the RSU awards described above will be granted under our 2021 Plan, the terms of which are described in more detail below under “Executive Compensation—Equity Incentive Plans—2021 Equity Incentive Plan.” Each such RSU award will vest subject to the director’s continuous service with us, provided that each RSU award will vest in full upon a change in control of the company.</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320" w:top="456" w:right="5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30"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Our named executive officers, consisting of our principal executive officer and the next two most highly compensated executive officers, as of December 31, 2020, were:</w:t>
      </w:r>
    </w:p>
    <w:p>
      <w:pPr>
        <w:spacing w:after="0" w:line="109" w:lineRule="exact"/>
        <w:rPr>
          <w:sz w:val="20"/>
          <w:szCs w:val="20"/>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Randolph Altschuler, our Co-Founder and Chief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James Rallo, our Chief Financial Officer;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Peter Goguen, our Chief Operating Officer.</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Summary Compensation Table</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Incentive Plan</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Name and Principal Position</w:t>
            </w:r>
          </w:p>
        </w:tc>
        <w:tc>
          <w:tcPr>
            <w:tcW w:w="96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Salary</w:t>
            </w:r>
          </w:p>
        </w:tc>
        <w:tc>
          <w:tcPr>
            <w:tcW w:w="1140" w:type="dxa"/>
            <w:vAlign w:val="bottom"/>
            <w:gridSpan w:val="2"/>
          </w:tcPr>
          <w:p>
            <w:pPr>
              <w:jc w:val="center"/>
              <w:ind w:right="364"/>
              <w:spacing w:after="0" w:line="157" w:lineRule="exact"/>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Awards</w:t>
            </w:r>
          </w:p>
        </w:tc>
        <w:tc>
          <w:tcPr>
            <w:tcW w:w="144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40" w:type="dxa"/>
            <w:vAlign w:val="bottom"/>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Randolph Altschuler</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100,000</w:t>
            </w:r>
          </w:p>
        </w:tc>
        <w:tc>
          <w:tcPr>
            <w:tcW w:w="440" w:type="dxa"/>
            <w:vAlign w:val="bottom"/>
            <w:tcBorders>
              <w:top w:val="single" w:sz="8" w:color="CCEEFF"/>
            </w:tcBorders>
            <w:shd w:val="clear" w:color="auto" w:fill="CCEEFF"/>
          </w:tcPr>
          <w:p>
            <w:pPr>
              <w:jc w:val="right"/>
              <w:ind w:right="184"/>
              <w:spacing w:after="0" w:line="161" w:lineRule="exact"/>
              <w:rPr>
                <w:sz w:val="20"/>
                <w:szCs w:val="20"/>
                <w:color w:val="auto"/>
              </w:rPr>
            </w:pPr>
            <w:r>
              <w:rPr>
                <w:rFonts w:ascii="Arial" w:cs="Arial" w:eastAsia="Arial" w:hAnsi="Arial"/>
                <w:sz w:val="15"/>
                <w:szCs w:val="15"/>
                <w:color w:val="auto"/>
                <w:w w:val="87"/>
              </w:rPr>
              <w:t>(3)</w:t>
            </w:r>
          </w:p>
        </w:tc>
        <w:tc>
          <w:tcPr>
            <w:tcW w:w="840" w:type="dxa"/>
            <w:vAlign w:val="bottom"/>
            <w:tcBorders>
              <w:top w:val="single" w:sz="8" w:color="auto"/>
            </w:tcBorders>
            <w:shd w:val="clear" w:color="auto" w:fill="CCEEFF"/>
          </w:tcPr>
          <w:p>
            <w:pPr>
              <w:ind w:left="58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ind w:left="561"/>
              <w:spacing w:after="0" w:line="17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line="182" w:lineRule="exact"/>
              <w:rPr>
                <w:sz w:val="20"/>
                <w:szCs w:val="20"/>
                <w:color w:val="auto"/>
              </w:rPr>
            </w:pPr>
            <w:r>
              <w:rPr>
                <w:rFonts w:ascii="Arial" w:cs="Arial" w:eastAsia="Arial" w:hAnsi="Arial"/>
                <w:sz w:val="18"/>
                <w:szCs w:val="18"/>
                <w:color w:val="auto"/>
              </w:rPr>
              <w:t>James Rallo</w:t>
            </w:r>
            <w:r>
              <w:rPr>
                <w:rFonts w:ascii="Arial" w:cs="Arial" w:eastAsia="Arial" w:hAnsi="Arial"/>
                <w:sz w:val="15"/>
                <w:szCs w:val="15"/>
                <w:color w:val="auto"/>
              </w:rPr>
              <w:t>(2)</w:t>
            </w: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223,125</w:t>
            </w:r>
          </w:p>
        </w:tc>
        <w:tc>
          <w:tcPr>
            <w:tcW w:w="1140" w:type="dxa"/>
            <w:vAlign w:val="bottom"/>
            <w:gridSpan w:val="2"/>
          </w:tcPr>
          <w:p>
            <w:pPr>
              <w:ind w:left="42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1,674,700</w:t>
            </w:r>
          </w:p>
        </w:tc>
        <w:tc>
          <w:tcPr>
            <w:tcW w:w="1440" w:type="dxa"/>
            <w:vAlign w:val="bottom"/>
            <w:gridSpan w:val="2"/>
          </w:tcPr>
          <w:p>
            <w:pPr>
              <w:jc w:val="center"/>
              <w:ind w:left="141"/>
              <w:spacing w:after="0" w:line="182" w:lineRule="exact"/>
              <w:rPr>
                <w:sz w:val="20"/>
                <w:szCs w:val="20"/>
                <w:color w:val="auto"/>
              </w:rPr>
            </w:pPr>
            <w:r>
              <w:rPr>
                <w:rFonts w:ascii="Arial" w:cs="Arial" w:eastAsia="Arial" w:hAnsi="Arial"/>
                <w:sz w:val="18"/>
                <w:szCs w:val="18"/>
                <w:color w:val="auto"/>
              </w:rPr>
              <w:t>74,696</w:t>
            </w:r>
            <w:r>
              <w:rPr>
                <w:rFonts w:ascii="Arial" w:cs="Arial" w:eastAsia="Arial" w:hAnsi="Arial"/>
                <w:sz w:val="15"/>
                <w:szCs w:val="15"/>
                <w:color w:val="auto"/>
              </w:rPr>
              <w:t>(4)</w:t>
            </w:r>
          </w:p>
        </w:tc>
        <w:tc>
          <w:tcPr>
            <w:tcW w:w="1440" w:type="dxa"/>
            <w:vAlign w:val="bottom"/>
            <w:gridSpan w:val="2"/>
          </w:tcPr>
          <w:p>
            <w:pPr>
              <w:ind w:left="72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1,972,521</w:t>
            </w:r>
          </w:p>
        </w:tc>
        <w:tc>
          <w:tcPr>
            <w:tcW w:w="0" w:type="dxa"/>
            <w:vAlign w:val="bottom"/>
          </w:tcPr>
          <w:p>
            <w:pPr>
              <w:spacing w:after="0"/>
              <w:rPr>
                <w:sz w:val="1"/>
                <w:szCs w:val="1"/>
                <w:color w:val="auto"/>
              </w:rPr>
            </w:pPr>
          </w:p>
        </w:tc>
      </w:tr>
      <w:tr>
        <w:trPr>
          <w:trHeight w:val="231"/>
        </w:trPr>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Peter Goguen</w:t>
            </w:r>
          </w:p>
        </w:tc>
        <w:tc>
          <w:tcPr>
            <w:tcW w:w="96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133,800</w:t>
            </w:r>
          </w:p>
        </w:tc>
        <w:tc>
          <w:tcPr>
            <w:tcW w:w="114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182,500</w:t>
            </w:r>
          </w:p>
        </w:tc>
        <w:tc>
          <w:tcPr>
            <w:tcW w:w="1440" w:type="dxa"/>
            <w:vAlign w:val="bottom"/>
            <w:gridSpan w:val="2"/>
            <w:shd w:val="clear" w:color="auto" w:fill="CCEEFF"/>
          </w:tcPr>
          <w:p>
            <w:pPr>
              <w:jc w:val="center"/>
              <w:ind w:left="141"/>
              <w:spacing w:after="0" w:line="183"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299,769</w:t>
            </w:r>
            <w:r>
              <w:rPr>
                <w:rFonts w:ascii="Arial" w:cs="Arial" w:eastAsia="Arial" w:hAnsi="Arial"/>
                <w:sz w:val="15"/>
                <w:szCs w:val="15"/>
                <w:color w:val="auto"/>
              </w:rPr>
              <w:t>(5)</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616,069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0"/>
          <w:szCs w:val="20"/>
          <w:color w:val="auto"/>
        </w:rPr>
      </w:pPr>
    </w:p>
    <w:p>
      <w:pPr>
        <w:ind w:left="600" w:right="18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financial statements included in this prospectus.</w:t>
      </w:r>
    </w:p>
    <w:p>
      <w:pPr>
        <w:ind w:left="600" w:hanging="433"/>
        <w:spacing w:after="0"/>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Rallo joined the Company in April 2020.</w:t>
      </w:r>
    </w:p>
    <w:p>
      <w:pPr>
        <w:ind w:left="600" w:hanging="433"/>
        <w:spacing w:after="0"/>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a discretionary bonus earned by Mr. Altschuler in 2020 and paid in March 2021.</w:t>
      </w:r>
    </w:p>
    <w:p>
      <w:pPr>
        <w:ind w:left="600" w:right="10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Rallo is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ind w:left="600" w:right="740" w:hanging="433"/>
        <w:spacing w:after="0" w:line="254"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amounts received by Mr. Goguen pursuant to a consulting agreement. For more information, please see “Certain Relationships and Related Party Transactions.”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23" w:lineRule="exact"/>
        <w:rPr>
          <w:sz w:val="20"/>
          <w:szCs w:val="20"/>
          <w:color w:val="auto"/>
        </w:rPr>
      </w:pPr>
    </w:p>
    <w:p>
      <w:pPr>
        <w:jc w:val="both"/>
        <w:ind w:left="160" w:right="260" w:firstLine="546"/>
        <w:spacing w:after="0" w:line="237" w:lineRule="auto"/>
        <w:rPr>
          <w:sz w:val="20"/>
          <w:szCs w:val="20"/>
          <w:color w:val="auto"/>
        </w:rPr>
      </w:pPr>
      <w:r>
        <w:rPr>
          <w:rFonts w:ascii="Arial" w:cs="Arial" w:eastAsia="Arial" w:hAnsi="Arial"/>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The 2020 base salaries for our named executive officers were as stated in the table above.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Xometry’s board of directors and compensation committee will oversee the compensation policies, plans and programs and review and determine compensation to be paid to Xometry’s executive officers, directors and other senior management, as appropriate. The compensation policies followed by Xometry will be intended to provide for compensation that is sufficient to attract, motivate and retain executives and other individuals and to establish an appropriate relationship between executive compensation and the creation of stockholder value.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Equity-based compensation has been and will continue to be an important foundation in executive compensation packages, as Xometry believes it is important to maintain a strong link between executive incentives and the creation of stockholder value. Xometry believes that performance and equity-based compensation can be an important component of the total executive compensation package for maximizing stockholder value while, at the same time, attracting, motivating and retaining high-quality executives.</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Formal guidelines for the allocation of equity-based compensation to the named executive officers by Xometry have not yet been determined, but it is expected that equity-based compensation will be an important element of Xometry’s compensation arrangements for both executive officers and directors, and that the executive officers will also be eligible to participate in future equity or employee stock purchase plans.</w:t>
      </w:r>
    </w:p>
    <w:p>
      <w:pPr>
        <w:spacing w:after="0" w:line="202" w:lineRule="exact"/>
        <w:rPr>
          <w:sz w:val="20"/>
          <w:szCs w:val="20"/>
          <w:color w:val="auto"/>
        </w:rPr>
      </w:pPr>
    </w:p>
    <w:p>
      <w:pPr>
        <w:jc w:val="both"/>
        <w:ind w:left="160" w:right="20" w:firstLine="546"/>
        <w:spacing w:after="0" w:line="236" w:lineRule="auto"/>
        <w:rPr>
          <w:sz w:val="20"/>
          <w:szCs w:val="20"/>
          <w:color w:val="auto"/>
        </w:rPr>
      </w:pPr>
      <w:r>
        <w:rPr>
          <w:rFonts w:ascii="Arial" w:cs="Arial" w:eastAsia="Arial" w:hAnsi="Arial"/>
          <w:sz w:val="18"/>
          <w:szCs w:val="18"/>
          <w:color w:val="auto"/>
        </w:rPr>
        <w:t>In March 2021, we granted each of Mr. Altschuler, Mr. Rallo and Mr. Goguen stock options to purchase 142,275, 10,000 and 50,000 shares of our Class A common stock, respectively. Each option vests over a four-year period, with 25% of the shares subject to the option vesting on the first anniversary of the vesting commencement date, with the remaining 75% vesting in equal monthly installments over the three years thereafter, subject to the officer’s continuous service with us.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of directors. We have historically established target bonus amounts which we felt was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of directors or committee thereof of the essential need to attract and retain these executive officers.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For 2020, although Mr. Altschuler was not eligible to receive a target bonus based on the attainment of company performance goals set by the compensation committee, Mr. Altschuler earned a discretionary bonus of $100,000 which was paid in March 2021.</w:t>
      </w:r>
    </w:p>
    <w:p>
      <w:pPr>
        <w:spacing w:after="0" w:line="20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For 2020, Mr. Rallo received a guaranteed target bonus of $74,696 which was based on his 33% annual performance target prorated for the number of days he was employed by the Company. Going forward, he is eligible to receive an annual performance bonus with a target amount of 33% of his annual base salary, based on the bonus plan formula used for our senior executives.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w:t>
      </w:r>
    </w:p>
    <w:p>
      <w:pPr>
        <w:spacing w:after="0" w:line="230"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40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9"/>
              </w:rPr>
              <w:t>Option Awards</w:t>
            </w:r>
            <w:r>
              <w:rPr>
                <w:rFonts w:ascii="Arial" w:cs="Arial" w:eastAsia="Arial" w:hAnsi="Arial"/>
                <w:sz w:val="24"/>
                <w:szCs w:val="24"/>
                <w:b w:val="1"/>
                <w:bCs w:val="1"/>
                <w:color w:val="auto"/>
                <w:w w:val="99"/>
                <w:vertAlign w:val="superscript"/>
              </w:rPr>
              <w:t>(1)</w:t>
            </w:r>
          </w:p>
        </w:tc>
        <w:tc>
          <w:tcPr>
            <w:tcW w:w="4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Number of</w:t>
            </w:r>
          </w:p>
        </w:tc>
        <w:tc>
          <w:tcPr>
            <w:tcW w:w="1620" w:type="dxa"/>
            <w:vAlign w:val="bottom"/>
            <w:gridSpan w:val="2"/>
          </w:tcPr>
          <w:p>
            <w:pPr>
              <w:jc w:val="center"/>
              <w:ind w:right="584"/>
              <w:spacing w:after="0" w:line="141"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Securities</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Underlying</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Unexercised</w:t>
            </w: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20" w:type="dxa"/>
            <w:vAlign w:val="bottom"/>
            <w:vMerge w:val="restart"/>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Options</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Exercisable</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7"/>
        </w:trPr>
        <w:tc>
          <w:tcPr>
            <w:tcW w:w="60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Randolph Altschuler</w:t>
            </w: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145,832</w:t>
            </w:r>
          </w:p>
        </w:tc>
        <w:tc>
          <w:tcPr>
            <w:tcW w:w="4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54,168</w:t>
            </w:r>
          </w:p>
        </w:tc>
        <w:tc>
          <w:tcPr>
            <w:tcW w:w="640" w:type="dxa"/>
            <w:vAlign w:val="bottom"/>
            <w:tcBorders>
              <w:top w:val="single" w:sz="8" w:color="CCEEFF"/>
            </w:tcBorders>
            <w:shd w:val="clear" w:color="auto" w:fill="CCEEFF"/>
          </w:tcPr>
          <w:p>
            <w:pPr>
              <w:jc w:val="right"/>
              <w:ind w:right="384"/>
              <w:spacing w:after="0" w:line="164" w:lineRule="exact"/>
              <w:rPr>
                <w:sz w:val="20"/>
                <w:szCs w:val="20"/>
                <w:color w:val="auto"/>
              </w:rPr>
            </w:pPr>
            <w:r>
              <w:rPr>
                <w:rFonts w:ascii="Arial" w:cs="Arial" w:eastAsia="Arial" w:hAnsi="Arial"/>
                <w:sz w:val="15"/>
                <w:szCs w:val="15"/>
                <w:color w:val="auto"/>
                <w:w w:val="87"/>
              </w:rPr>
              <w:t>(2)</w:t>
            </w:r>
          </w:p>
        </w:tc>
        <w:tc>
          <w:tcPr>
            <w:tcW w:w="1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1.65</w:t>
            </w:r>
          </w:p>
        </w:tc>
        <w:tc>
          <w:tcPr>
            <w:tcW w:w="4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1/29/2028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102,195</w:t>
            </w:r>
          </w:p>
        </w:tc>
        <w:tc>
          <w:tcPr>
            <w:tcW w:w="1620" w:type="dxa"/>
            <w:vAlign w:val="bottom"/>
            <w:gridSpan w:val="2"/>
          </w:tcPr>
          <w:p>
            <w:pPr>
              <w:jc w:val="right"/>
              <w:ind w:right="384"/>
              <w:spacing w:after="0" w:line="201" w:lineRule="exact"/>
              <w:rPr>
                <w:sz w:val="20"/>
                <w:szCs w:val="20"/>
                <w:color w:val="auto"/>
              </w:rPr>
            </w:pPr>
            <w:r>
              <w:rPr>
                <w:rFonts w:ascii="Arial" w:cs="Arial" w:eastAsia="Arial" w:hAnsi="Arial"/>
                <w:sz w:val="18"/>
                <w:szCs w:val="18"/>
                <w:color w:val="auto"/>
              </w:rPr>
              <w:t>155,984</w:t>
            </w:r>
            <w:r>
              <w:rPr>
                <w:rFonts w:ascii="Arial" w:cs="Arial" w:eastAsia="Arial" w:hAnsi="Arial"/>
                <w:sz w:val="15"/>
                <w:szCs w:val="15"/>
                <w:color w:val="auto"/>
              </w:rPr>
              <w:t>(3)</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8/7/2029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Rallo</w:t>
            </w:r>
          </w:p>
        </w:tc>
        <w:tc>
          <w:tcPr>
            <w:tcW w:w="132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458,822</w:t>
            </w:r>
            <w:r>
              <w:rPr>
                <w:rFonts w:ascii="Arial" w:cs="Arial" w:eastAsia="Arial" w:hAnsi="Arial"/>
                <w:sz w:val="15"/>
                <w:szCs w:val="15"/>
                <w:color w:val="auto"/>
              </w:rPr>
              <w:t>(4)</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5/5/2030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Peter Goguen</w:t>
            </w: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664"/>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1.65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4/5/2028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19,166</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20,834</w:t>
            </w:r>
            <w:r>
              <w:rPr>
                <w:rFonts w:ascii="Arial" w:cs="Arial" w:eastAsia="Arial" w:hAnsi="Arial"/>
                <w:sz w:val="15"/>
                <w:szCs w:val="15"/>
                <w:color w:val="auto"/>
              </w:rPr>
              <w:t>(5)</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2/19/2029</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84"/>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4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4/27/2030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right="320" w:hanging="433"/>
        <w:spacing w:after="0" w:line="239"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option awards listed in this table were granted pursuant to our 2016 Plan, the terms of which are described below under “Executive Compensation—Employee Benefit Plans”.</w:t>
      </w:r>
    </w:p>
    <w:p>
      <w:pPr>
        <w:ind w:left="600" w:right="320" w:hanging="433"/>
        <w:spacing w:after="0" w:line="239"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2019, with the remaining 75% vesting in equal monthly installments over the three years thereafter, subject to Mr. Altschuler’s continuous service through each such vesting date.</w:t>
      </w:r>
    </w:p>
    <w:p>
      <w:pPr>
        <w:ind w:left="600" w:right="60" w:hanging="433"/>
        <w:spacing w:after="0" w:line="239"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May 2, 2020, with the remaining 75% vesting in equal monthly installments over the three years thereafter, subject to Mr. Altschuler’s continuous service through each such vesting date.</w:t>
      </w:r>
    </w:p>
    <w:p>
      <w:pPr>
        <w:ind w:left="600" w:right="460" w:hanging="433"/>
        <w:spacing w:after="0" w:line="239"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13, 2021, with the remaining 75% vesting in equal monthly installments over the three years thereafter, subject in each case to Mr. Rallo’s continuous service through each such vesting date.</w:t>
      </w:r>
    </w:p>
    <w:p>
      <w:pPr>
        <w:ind w:left="600" w:right="320" w:hanging="433"/>
        <w:spacing w:after="0" w:line="239"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2020, with the remaining 75% vesting in equal monthly installments over the three years thereafter, subject to Mr. Goguen’s continuous service through each such vesting date.</w:t>
      </w:r>
    </w:p>
    <w:p>
      <w:pPr>
        <w:ind w:left="600" w:right="460" w:hanging="433"/>
        <w:spacing w:after="0" w:line="254"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28, 2021, with the remaining 75% vesting in equal monthly installments over the three years thereafter, subject in each case to Mr. Goguen’s continuous service through each such vesting date.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jc w:val="both"/>
        <w:ind w:left="160" w:right="40" w:firstLine="546"/>
        <w:spacing w:after="0" w:line="236" w:lineRule="auto"/>
        <w:rPr>
          <w:sz w:val="20"/>
          <w:szCs w:val="20"/>
          <w:color w:val="auto"/>
        </w:rPr>
      </w:pPr>
      <w:r>
        <w:rPr>
          <w:rFonts w:ascii="Arial" w:cs="Arial" w:eastAsia="Arial" w:hAnsi="Arial"/>
          <w:sz w:val="18"/>
          <w:szCs w:val="18"/>
          <w:color w:val="auto"/>
        </w:rPr>
        <w:t>We expect to enter into amended and restated employment agreements with each of our named executive officers that will become effective upon the closing for this offering. The agreements generally provide for at-will employment without any specific term and set forth the named executive officer’s initial base salary, bonus potential, eligibility for employee benefits and severance benefits upon a qualifying termination of employment.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material terms of each agreement are described below.</w:t>
      </w:r>
    </w:p>
    <w:p>
      <w:pPr>
        <w:spacing w:after="0" w:line="186" w:lineRule="exact"/>
        <w:rPr>
          <w:sz w:val="20"/>
          <w:szCs w:val="20"/>
          <w:color w:val="auto"/>
        </w:rPr>
      </w:pPr>
    </w:p>
    <w:p>
      <w:pPr>
        <w:ind w:left="720"/>
        <w:spacing w:after="0"/>
        <w:tabs>
          <w:tab w:leader="none" w:pos="2680" w:val="left"/>
        </w:tabs>
        <w:rPr>
          <w:sz w:val="20"/>
          <w:szCs w:val="20"/>
          <w:color w:val="auto"/>
        </w:rPr>
      </w:pPr>
      <w:r>
        <w:rPr>
          <w:rFonts w:ascii="Arial" w:cs="Arial" w:eastAsia="Arial" w:hAnsi="Arial"/>
          <w:sz w:val="18"/>
          <w:szCs w:val="18"/>
          <w:b w:val="1"/>
          <w:bCs w:val="1"/>
          <w:i w:val="1"/>
          <w:iCs w:val="1"/>
          <w:color w:val="auto"/>
        </w:rPr>
        <w:t>Randolph Altschuler.</w:t>
      </w:r>
      <w:r>
        <w:rPr>
          <w:sz w:val="20"/>
          <w:szCs w:val="20"/>
          <w:color w:val="auto"/>
        </w:rPr>
        <w:tab/>
      </w:r>
      <w:r>
        <w:rPr>
          <w:rFonts w:ascii="Arial" w:cs="Arial" w:eastAsia="Arial" w:hAnsi="Arial"/>
          <w:sz w:val="17"/>
          <w:szCs w:val="17"/>
          <w:color w:val="auto"/>
        </w:rPr>
        <w:t>We expect to enter into an amended and restated employment agreement with Randolph Altschuler, our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Chief Executive Officer. The agreement amends, restates, and supersedes any prior employment agreement between us and Mr.</w:t>
      </w:r>
    </w:p>
    <w:p>
      <w:pPr>
        <w:ind w:left="160"/>
        <w:spacing w:after="0" w:line="232" w:lineRule="auto"/>
        <w:rPr>
          <w:sz w:val="20"/>
          <w:szCs w:val="20"/>
          <w:color w:val="auto"/>
        </w:rPr>
      </w:pPr>
      <w:r>
        <w:rPr>
          <w:rFonts w:ascii="Arial" w:cs="Arial" w:eastAsia="Arial" w:hAnsi="Arial"/>
          <w:sz w:val="18"/>
          <w:szCs w:val="18"/>
          <w:color w:val="auto"/>
        </w:rPr>
        <w:t>Altschuler regarding his employment terms. The amended and restated employment agreement has no specific term and provides for at-</w:t>
      </w:r>
    </w:p>
    <w:p>
      <w:pPr>
        <w:ind w:left="160"/>
        <w:spacing w:after="0" w:line="233" w:lineRule="auto"/>
        <w:rPr>
          <w:sz w:val="20"/>
          <w:szCs w:val="20"/>
          <w:color w:val="auto"/>
        </w:rPr>
      </w:pPr>
      <w:r>
        <w:rPr>
          <w:rFonts w:ascii="Arial" w:cs="Arial" w:eastAsia="Arial" w:hAnsi="Arial"/>
          <w:sz w:val="18"/>
          <w:szCs w:val="18"/>
          <w:color w:val="auto"/>
        </w:rPr>
        <w:t>will employment. Pursuant to his agreement, commencing on July 1, 2021, Mr. Altschuler is entitled to an initial annual base salary of</w:t>
      </w:r>
    </w:p>
    <w:p>
      <w:pPr>
        <w:ind w:left="160"/>
        <w:spacing w:after="0" w:line="232" w:lineRule="auto"/>
        <w:rPr>
          <w:sz w:val="20"/>
          <w:szCs w:val="20"/>
          <w:color w:val="auto"/>
        </w:rPr>
      </w:pPr>
      <w:r>
        <w:rPr>
          <w:rFonts w:ascii="Arial" w:cs="Arial" w:eastAsia="Arial" w:hAnsi="Arial"/>
          <w:sz w:val="18"/>
          <w:szCs w:val="18"/>
          <w:color w:val="auto"/>
        </w:rPr>
        <w:t>$420,000. Additionally, he is eligible to receive an annual performance bonus of up to 75% of his annual base salary, based on our board</w:t>
      </w:r>
    </w:p>
    <w:p>
      <w:pPr>
        <w:ind w:left="160"/>
        <w:spacing w:after="0" w:line="233" w:lineRule="auto"/>
        <w:rPr>
          <w:sz w:val="20"/>
          <w:szCs w:val="20"/>
          <w:color w:val="auto"/>
        </w:rPr>
      </w:pPr>
      <w:r>
        <w:rPr>
          <w:rFonts w:ascii="Arial" w:cs="Arial" w:eastAsia="Arial" w:hAnsi="Arial"/>
          <w:sz w:val="18"/>
          <w:szCs w:val="18"/>
          <w:color w:val="auto"/>
        </w:rPr>
        <w:t>of directors’ assessment of Mr. Altschuler’s performance and our attainment of targeted goals over the applicable calendar year, with the</w:t>
      </w:r>
    </w:p>
    <w:p>
      <w:pPr>
        <w:ind w:left="160"/>
        <w:spacing w:after="0"/>
        <w:rPr>
          <w:sz w:val="20"/>
          <w:szCs w:val="20"/>
          <w:color w:val="auto"/>
        </w:rPr>
      </w:pPr>
      <w:r>
        <w:rPr>
          <w:rFonts w:ascii="Arial" w:cs="Arial" w:eastAsia="Arial" w:hAnsi="Arial"/>
          <w:sz w:val="17"/>
          <w:szCs w:val="17"/>
          <w:color w:val="auto"/>
        </w:rPr>
        <w:t>exception of any annual performance bonus attributable to 2021 which shall be prorated for the number of days between the effective date</w:t>
      </w:r>
    </w:p>
    <w:p>
      <w:pPr>
        <w:ind w:left="160"/>
        <w:spacing w:after="0" w:line="238" w:lineRule="auto"/>
        <w:rPr>
          <w:sz w:val="20"/>
          <w:szCs w:val="20"/>
          <w:color w:val="auto"/>
        </w:rPr>
      </w:pPr>
      <w:r>
        <w:rPr>
          <w:rFonts w:ascii="Arial" w:cs="Arial" w:eastAsia="Arial" w:hAnsi="Arial"/>
          <w:sz w:val="18"/>
          <w:szCs w:val="18"/>
          <w:color w:val="auto"/>
        </w:rPr>
        <w:t>of the amended and restated employment agreement and December 31, 2021. Mr. Altschuler’s eligibility for any annual bonus for the</w:t>
      </w:r>
    </w:p>
    <w:p>
      <w:pPr>
        <w:ind w:left="160"/>
        <w:spacing w:after="0"/>
        <w:rPr>
          <w:sz w:val="20"/>
          <w:szCs w:val="20"/>
          <w:color w:val="auto"/>
        </w:rPr>
      </w:pPr>
      <w:r>
        <w:rPr>
          <w:rFonts w:ascii="Arial" w:cs="Arial" w:eastAsia="Arial" w:hAnsi="Arial"/>
          <w:sz w:val="18"/>
          <w:szCs w:val="18"/>
          <w:color w:val="auto"/>
        </w:rPr>
        <w:t>portion of 2021 prior to the effective date of the amended and restated employment agreement remains subject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20"/>
        <w:spacing w:after="0" w:line="268" w:lineRule="auto"/>
        <w:rPr>
          <w:sz w:val="20"/>
          <w:szCs w:val="20"/>
          <w:color w:val="auto"/>
        </w:rPr>
      </w:pPr>
      <w:r>
        <w:rPr>
          <w:rFonts w:ascii="Arial" w:cs="Arial" w:eastAsia="Arial" w:hAnsi="Arial"/>
          <w:sz w:val="17"/>
          <w:szCs w:val="17"/>
          <w:color w:val="auto"/>
        </w:rPr>
        <w:t>to the terms in effect for such time period. In addition, pursuant to the amended and restated employment agreement, Mr. Altschuler remains eligible to be considered for future equity awards as may be determined at the discretion of our board of directors.</w:t>
      </w:r>
    </w:p>
    <w:p>
      <w:pPr>
        <w:spacing w:after="0" w:line="179"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Pursuant to Mr. Altschuler’s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Altschuler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 termination date will become fully vested and immediately exercisable. As a condition to receiving the severance benefits set forth above, Mr. Altschuler must sign and comply with a separation agreement in a form presented by us, containing among other terms a general release of claims.</w:t>
      </w:r>
    </w:p>
    <w:p>
      <w:pPr>
        <w:spacing w:after="0" w:line="175"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b w:val="1"/>
          <w:bCs w:val="1"/>
          <w:i w:val="1"/>
          <w:iCs w:val="1"/>
          <w:color w:val="auto"/>
        </w:rPr>
        <w:t xml:space="preserve">James Rallo. </w:t>
      </w:r>
      <w:r>
        <w:rPr>
          <w:rFonts w:ascii="Arial" w:cs="Arial" w:eastAsia="Arial" w:hAnsi="Arial"/>
          <w:sz w:val="18"/>
          <w:szCs w:val="18"/>
          <w:color w:val="auto"/>
        </w:rPr>
        <w:t>We expect to enter into an amended and restated employment agreement with James Rallo, our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The agreement amends, restates, and supersedes the employment agreement between us and Mr. Rallo dated April 13, 2020. The amended and restated employment agreement has no specific term and provides for at-will employment. Pursuant to his agreement, commencing on July 1, 2021, Mr. Rallo is entitled to an initial annual base salary of $370,000. Additionally, he is eligible to receive an annual performance bonus of up to 50% of his annual base salary, based on our board of directors’ assessment of Mr. Rallo’s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Rallo’s eligibility for any annual bonus for the portion of 2021 prior to the effective date of the amended and restated employment agreement remains subject to the terms in effect for such time period. In addition, pursuant to the amended and restated employment agreement, Mr. Rallo remains eligible to be considered for future equity awards as may be determined at the discretion of our board of directors.</w:t>
      </w:r>
    </w:p>
    <w:p>
      <w:pPr>
        <w:spacing w:after="0" w:line="20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Pursuant to Mr. Rallo’s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Rallo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 termination date will become fully vested and immediately exercisable. As a condition to receiving the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40"/>
        <w:spacing w:after="0" w:line="239" w:lineRule="auto"/>
        <w:rPr>
          <w:sz w:val="20"/>
          <w:szCs w:val="20"/>
          <w:color w:val="auto"/>
        </w:rPr>
      </w:pPr>
      <w:r>
        <w:rPr>
          <w:rFonts w:ascii="Arial" w:cs="Arial" w:eastAsia="Arial" w:hAnsi="Arial"/>
          <w:sz w:val="18"/>
          <w:szCs w:val="18"/>
          <w:color w:val="auto"/>
        </w:rPr>
        <w:t>severance benefits set forth above, Mr. Rallo must sign and comply with a separation agreement in a form presented by us, containing among other terms a general release of claims.</w:t>
      </w:r>
    </w:p>
    <w:p>
      <w:pPr>
        <w:spacing w:after="0" w:line="181"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b w:val="1"/>
          <w:bCs w:val="1"/>
          <w:i w:val="1"/>
          <w:iCs w:val="1"/>
          <w:color w:val="auto"/>
        </w:rPr>
        <w:t xml:space="preserve">Peter Goguen. </w:t>
      </w:r>
      <w:r>
        <w:rPr>
          <w:rFonts w:ascii="Arial" w:cs="Arial" w:eastAsia="Arial" w:hAnsi="Arial"/>
          <w:sz w:val="18"/>
          <w:szCs w:val="18"/>
          <w:color w:val="auto"/>
        </w:rPr>
        <w:t>We expect to enter into an amended and restated employment agreement with Peter Goguen,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The agreement amends, restates, and supersedes the offer letter agreement between us and Mr. Goguen dated February 26, 2018. The amended and restated employment agreement has no specific term and provides for at-will employment. Pursuant to his agreement, commencing on July 1, 2021, Mr. Goguen is entitled to an initial annual base salary of $345,000. Additionally, he is eligible to receive an annual performance bonus of up to 50% of his annual base salary, based on our board of directors’ assessment of Mr. Goguen’s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Goguen’s eligibility for any annual bonus for the portion of 2021 prior to the effective date of the amended and restated employment agreement remains subject to the terms in effect for such time period. In addition, pursuant to the amended and restated employment agreement, Mr. Goguen remains eligible to be considered for future equity awards as may be determined at the discretion of our board of directors.</w:t>
      </w:r>
    </w:p>
    <w:p>
      <w:pPr>
        <w:spacing w:after="0" w:line="20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Pursuant to Mr. Goguen’s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six months of base salary, less applicable tax withholdings and paid in accordance with our regular payroll practices; and (2) up to six months of COBRA premiums paid by us. In addition, if Mr. Goguen resigns for Good Reason or we terminate his employment without Cause within three months prior to or twelve months following the effective date of a Change in Control, then he will also be eligible to receive the following severance benefits: (1) an amount equal to his 50% of his target annual performance bonus for the calendar year in which his termination occurs, less applicable tax withholdings; (2) an amount equal to his annual performance bonus for the calendar year in which his termination occurs, less applicable tax withholdings; and (3) all of the outstanding and unvested time-based equity awards he held immediately prior to his termination date will become fully vested and immediately exercisable. As a condition to receiving the severance benefits set forth above, Mr. Goguen must sign and comply with a separation agreement in a form presented by us, containing among other terms a general release of claims.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Employee Benefit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401(k) Plan</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Xometry provides a retirement savings plan for the benefit of its employees, including its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2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Xometry’s named executive officers are eligible to participate in Xometry’s health and welfare plans to the same extent as all full-time employees.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Incentive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23" w:lineRule="exact"/>
        <w:rPr>
          <w:sz w:val="20"/>
          <w:szCs w:val="20"/>
          <w:color w:val="auto"/>
        </w:rPr>
      </w:pPr>
    </w:p>
    <w:p>
      <w:pPr>
        <w:ind w:left="160" w:right="480" w:firstLine="546"/>
        <w:spacing w:after="0" w:line="239" w:lineRule="auto"/>
        <w:rPr>
          <w:sz w:val="20"/>
          <w:szCs w:val="20"/>
          <w:color w:val="auto"/>
        </w:rPr>
      </w:pPr>
      <w:r>
        <w:rPr>
          <w:rFonts w:ascii="Arial" w:cs="Arial" w:eastAsia="Arial" w:hAnsi="Arial"/>
          <w:sz w:val="18"/>
          <w:szCs w:val="18"/>
          <w:color w:val="auto"/>
        </w:rPr>
        <w:t>Our board of directors has adopted the 2021 Equity Incentive Plan, or the 2021 Plan, that became effective on the date of the underwriting agreement related to this offering and no further grants will be made under our 2016 Plan.</w:t>
      </w:r>
    </w:p>
    <w:p>
      <w:pPr>
        <w:spacing w:after="0" w:line="181" w:lineRule="exact"/>
        <w:rPr>
          <w:sz w:val="20"/>
          <w:szCs w:val="20"/>
          <w:color w:val="auto"/>
        </w:rPr>
      </w:pPr>
    </w:p>
    <w:p>
      <w:pPr>
        <w:ind w:left="160" w:right="160" w:firstLine="546"/>
        <w:spacing w:after="0"/>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Our 2021 Plan provides for the grant of incentive stock options, or ISOs, nonstatutory stock options, or NSOs,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The maximum number of shares of common stock that may be issued under our 2021 Plan is 4,026,588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The number of shares of common stock reserved for issuance under our 2021 Plan will automatically increase on January 1 of each year, beginning on January 1, 2022, and continuing through and including January 1, 2031, by 5% of the aggregate number of shares of common stock of all classes issued and outstanding on December 31 of the preceding calendar year, or a lesser number of shares determined by our board of directors prior to the applicable January 1. The maximum number of shares that may be issued upon the exercise of ISOs under our 2021 Plan is 4,026,588 shares.</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Shares issued under our 2021 Plan will be authorized but unissued or reacquired shares of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204"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The maximum number of shares of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$500,000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2" w:lineRule="exact"/>
        <w:rPr>
          <w:sz w:val="20"/>
          <w:szCs w:val="20"/>
          <w:color w:val="auto"/>
        </w:rPr>
      </w:pPr>
    </w:p>
    <w:p>
      <w:pPr>
        <w:ind w:left="160" w:firstLine="546"/>
        <w:spacing w:after="0" w:line="258"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Our board of directors, or a duly authorized committee of our board, may administer our 2021 Plan.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6"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202"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0" w:lineRule="exact"/>
        <w:rPr>
          <w:sz w:val="20"/>
          <w:szCs w:val="20"/>
          <w:color w:val="auto"/>
        </w:rPr>
      </w:pPr>
    </w:p>
    <w:p>
      <w:pPr>
        <w:ind w:left="160" w:right="40" w:firstLine="546"/>
        <w:spacing w:after="0" w:line="243"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are granted pursuant to stock option agreements adopted by the administrator.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determines the exercise price for a stock option,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administrator.</w:t>
      </w:r>
    </w:p>
    <w:p>
      <w:pPr>
        <w:spacing w:after="0" w:line="20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202"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81" w:lineRule="exact"/>
        <w:rPr>
          <w:sz w:val="20"/>
          <w:szCs w:val="20"/>
          <w:color w:val="auto"/>
        </w:rPr>
      </w:pPr>
    </w:p>
    <w:p>
      <w:pPr>
        <w:ind w:left="720"/>
        <w:spacing w:after="0"/>
        <w:tabs>
          <w:tab w:leader="none" w:pos="2960" w:val="left"/>
        </w:tabs>
        <w:rPr>
          <w:sz w:val="20"/>
          <w:szCs w:val="20"/>
          <w:color w:val="auto"/>
        </w:rPr>
      </w:pPr>
      <w:r>
        <w:rPr>
          <w:rFonts w:ascii="Arial" w:cs="Arial" w:eastAsia="Arial" w:hAnsi="Arial"/>
          <w:sz w:val="18"/>
          <w:szCs w:val="18"/>
          <w:b w:val="1"/>
          <w:bCs w:val="1"/>
          <w:i w:val="1"/>
          <w:iCs w:val="1"/>
          <w:color w:val="auto"/>
        </w:rPr>
        <w:t>Tax Limitations on ISOs.</w:t>
      </w:r>
      <w:r>
        <w:rPr>
          <w:sz w:val="20"/>
          <w:szCs w:val="20"/>
          <w:color w:val="auto"/>
        </w:rPr>
        <w:tab/>
      </w:r>
      <w:r>
        <w:rPr>
          <w:rFonts w:ascii="Arial" w:cs="Arial" w:eastAsia="Arial" w:hAnsi="Arial"/>
          <w:sz w:val="17"/>
          <w:szCs w:val="17"/>
          <w:color w:val="auto"/>
        </w:rPr>
        <w:t>The aggregate fair market value, determined at the time of grant, of common stock with respect to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ISOs that are exercisable for the first time by an option holder during any calendar year under all of our stock plans may not exceed</w:t>
      </w:r>
    </w:p>
    <w:p>
      <w:pPr>
        <w:ind w:left="160"/>
        <w:spacing w:after="0" w:line="232" w:lineRule="auto"/>
        <w:rPr>
          <w:sz w:val="20"/>
          <w:szCs w:val="20"/>
          <w:color w:val="auto"/>
        </w:rPr>
      </w:pPr>
      <w:r>
        <w:rPr>
          <w:rFonts w:ascii="Arial" w:cs="Arial" w:eastAsia="Arial" w:hAnsi="Arial"/>
          <w:sz w:val="18"/>
          <w:szCs w:val="18"/>
          <w:color w:val="auto"/>
        </w:rPr>
        <w:t>$100,000. Options or portions thereof that exceed such limit will be treated as NSOs. No ISOs may be granted to any person who, at the</w:t>
      </w:r>
    </w:p>
    <w:p>
      <w:pPr>
        <w:ind w:left="160"/>
        <w:spacing w:after="0" w:line="233" w:lineRule="auto"/>
        <w:rPr>
          <w:sz w:val="20"/>
          <w:szCs w:val="20"/>
          <w:color w:val="auto"/>
        </w:rPr>
      </w:pPr>
      <w:r>
        <w:rPr>
          <w:rFonts w:ascii="Arial" w:cs="Arial" w:eastAsia="Arial" w:hAnsi="Arial"/>
          <w:sz w:val="18"/>
          <w:szCs w:val="18"/>
          <w:color w:val="auto"/>
        </w:rPr>
        <w:t>time of the grant, owns or is deemed to own stock possessing more than 10% of our total combined voting power or that of any of our</w:t>
      </w:r>
    </w:p>
    <w:p>
      <w:pPr>
        <w:ind w:left="160"/>
        <w:spacing w:after="0" w:line="232" w:lineRule="auto"/>
        <w:rPr>
          <w:sz w:val="20"/>
          <w:szCs w:val="20"/>
          <w:color w:val="auto"/>
        </w:rPr>
      </w:pPr>
      <w:r>
        <w:rPr>
          <w:rFonts w:ascii="Arial" w:cs="Arial" w:eastAsia="Arial" w:hAnsi="Arial"/>
          <w:sz w:val="18"/>
          <w:szCs w:val="18"/>
          <w:color w:val="auto"/>
        </w:rPr>
        <w:t>parent or subsidiary corporations, unless (1) the option exercise price is at least 110% of the fair market value of the stock subject to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option on the date of grant and (2) the term of the ISO does not exceed five years from the date of grant.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6"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20" w:firstLine="546"/>
        <w:spacing w:after="0" w:line="256" w:lineRule="auto"/>
        <w:rPr>
          <w:sz w:val="20"/>
          <w:szCs w:val="20"/>
          <w:color w:val="auto"/>
        </w:rPr>
      </w:pPr>
      <w:r>
        <w:rPr>
          <w:rFonts w:ascii="Arial" w:cs="Arial" w:eastAsia="Arial" w:hAnsi="Arial"/>
          <w:sz w:val="17"/>
          <w:szCs w:val="17"/>
          <w:b w:val="1"/>
          <w:bCs w:val="1"/>
          <w:i w:val="1"/>
          <w:iCs w:val="1"/>
          <w:color w:val="auto"/>
        </w:rPr>
        <w:t xml:space="preserve">Restricted Stock Unit Awards. </w:t>
      </w:r>
      <w:r>
        <w:rPr>
          <w:rFonts w:ascii="Arial" w:cs="Arial" w:eastAsia="Arial" w:hAnsi="Arial"/>
          <w:sz w:val="17"/>
          <w:szCs w:val="17"/>
          <w:color w:val="auto"/>
        </w:rPr>
        <w:t>Restricted stock unit awards are granted pursuant to restricted stock unit award agreements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adopted by the 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67" w:lineRule="exact"/>
        <w:rPr>
          <w:sz w:val="20"/>
          <w:szCs w:val="20"/>
          <w:color w:val="auto"/>
        </w:rPr>
      </w:pPr>
    </w:p>
    <w:p>
      <w:pPr>
        <w:ind w:left="160" w:right="40" w:firstLine="546"/>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Restricted stock awards may be granted in consideration for cash, check, bank draft or money order, services rendered to us or our affiliates or any other form of legal consideration.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1"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Stock appreciation rights are granted pursuant to stock appreciation right grant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administrator. The administrator determines the strike price for a stock appreciation right, which generally cannot be less than 100% of the fair market value of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common stock with respect to which the stock appreciation right is exercised. A stock appreciation right granted under the 2021 Plan vests at the rate specified in the stock appreciation right agreement as determined by the administrator.</w:t>
      </w:r>
    </w:p>
    <w:p>
      <w:pPr>
        <w:spacing w:after="0" w:line="20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0" w:lineRule="exact"/>
        <w:rPr>
          <w:sz w:val="20"/>
          <w:szCs w:val="20"/>
          <w:color w:val="auto"/>
        </w:rPr>
      </w:pPr>
    </w:p>
    <w:p>
      <w:pPr>
        <w:ind w:left="160" w:right="140" w:firstLine="546"/>
        <w:spacing w:after="0" w:line="262"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Our 2021 Plan permits the grant of performance-based stock and cash awards.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can structure 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85" w:lineRule="exact"/>
        <w:rPr>
          <w:sz w:val="20"/>
          <w:szCs w:val="20"/>
          <w:color w:val="auto"/>
        </w:rPr>
      </w:pPr>
    </w:p>
    <w:p>
      <w:pPr>
        <w:ind w:left="160" w:right="540" w:firstLine="546"/>
        <w:spacing w:after="0" w:line="239" w:lineRule="auto"/>
        <w:rPr>
          <w:sz w:val="20"/>
          <w:szCs w:val="20"/>
          <w:color w:val="auto"/>
        </w:rPr>
      </w:pPr>
      <w:r>
        <w:rPr>
          <w:rFonts w:ascii="Arial" w:cs="Arial" w:eastAsia="Arial" w:hAnsi="Arial"/>
          <w:sz w:val="18"/>
          <w:szCs w:val="18"/>
          <w:color w:val="auto"/>
        </w:rPr>
        <w:t>The performance goals may be based on any measure of performance selected by the board of directors. The compensation committee may establish performance goals on a company-wide basis,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46" w:lineRule="auto"/>
        <w:rPr>
          <w:sz w:val="20"/>
          <w:szCs w:val="20"/>
          <w:color w:val="auto"/>
        </w:rPr>
      </w:pPr>
      <w:r>
        <w:rPr>
          <w:rFonts w:ascii="Arial" w:cs="Arial" w:eastAsia="Arial" w:hAnsi="Arial"/>
          <w:sz w:val="17"/>
          <w:szCs w:val="17"/>
          <w:color w:val="auto"/>
        </w:rPr>
        <w:t>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w:t>
      </w:r>
    </w:p>
    <w:p>
      <w:pPr>
        <w:spacing w:after="0" w:line="2" w:lineRule="exact"/>
        <w:rPr>
          <w:sz w:val="20"/>
          <w:szCs w:val="20"/>
          <w:color w:val="auto"/>
        </w:rPr>
      </w:pPr>
    </w:p>
    <w:p>
      <w:pPr>
        <w:ind w:left="160" w:right="40" w:firstLine="7"/>
        <w:spacing w:after="0" w:line="235" w:lineRule="auto"/>
        <w:tabs>
          <w:tab w:leader="none" w:pos="4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80" w:lineRule="exact"/>
        <w:rPr>
          <w:sz w:val="20"/>
          <w:szCs w:val="20"/>
          <w:color w:val="auto"/>
        </w:rPr>
      </w:pPr>
    </w:p>
    <w:p>
      <w:pPr>
        <w:ind w:left="160" w:right="800" w:firstLine="546"/>
        <w:spacing w:after="0" w:line="265" w:lineRule="auto"/>
        <w:rPr>
          <w:sz w:val="20"/>
          <w:szCs w:val="20"/>
          <w:color w:val="auto"/>
        </w:rPr>
      </w:pPr>
      <w:r>
        <w:rPr>
          <w:rFonts w:ascii="Arial" w:cs="Arial" w:eastAsia="Arial" w:hAnsi="Arial"/>
          <w:sz w:val="18"/>
          <w:szCs w:val="18"/>
          <w:b w:val="1"/>
          <w:bCs w:val="1"/>
          <w:i w:val="1"/>
          <w:iCs w:val="1"/>
          <w:color w:val="auto"/>
        </w:rPr>
        <w:t xml:space="preserve">Other Awards. </w:t>
      </w:r>
      <w:r>
        <w:rPr>
          <w:rFonts w:ascii="Arial" w:cs="Arial" w:eastAsia="Arial" w:hAnsi="Arial"/>
          <w:sz w:val="18"/>
          <w:szCs w:val="18"/>
          <w:color w:val="auto"/>
        </w:rPr>
        <w:t>The administrator may grant other awards based in whole or in part by reference to common stock.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will set the number of shares under the award and all other terms and conditions of such awards.</w:t>
      </w:r>
    </w:p>
    <w:p>
      <w:pPr>
        <w:spacing w:after="0" w:line="158" w:lineRule="exact"/>
        <w:rPr>
          <w:sz w:val="20"/>
          <w:szCs w:val="20"/>
          <w:color w:val="auto"/>
        </w:rPr>
      </w:pPr>
    </w:p>
    <w:p>
      <w:pPr>
        <w:ind w:left="160" w:right="40" w:firstLine="546"/>
        <w:spacing w:after="0"/>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reverse stock split or 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82"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b w:val="1"/>
          <w:bCs w:val="1"/>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otherwise 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6"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203"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81" w:lineRule="exact"/>
        <w:rPr>
          <w:sz w:val="20"/>
          <w:szCs w:val="20"/>
          <w:color w:val="auto"/>
        </w:rPr>
      </w:pPr>
    </w:p>
    <w:p>
      <w:pPr>
        <w:ind w:left="160" w:right="20" w:firstLine="546"/>
        <w:spacing w:after="0" w:line="26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A participant may not transfer awards under our 2021 Plan other than by will,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as otherwise provided under our 2021 Plan.</w:t>
      </w:r>
    </w:p>
    <w:p>
      <w:pPr>
        <w:spacing w:after="0" w:line="158" w:lineRule="exact"/>
        <w:rPr>
          <w:sz w:val="20"/>
          <w:szCs w:val="20"/>
          <w:color w:val="auto"/>
        </w:rPr>
      </w:pPr>
    </w:p>
    <w:p>
      <w:pPr>
        <w:ind w:left="160" w:right="340" w:firstLine="546"/>
        <w:spacing w:after="0" w:line="243"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Our board has the authority to amend, suspend or terminate our 2021 Plan,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action does 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The following summary describes the material terms of Xometry’s 2016 Equity Incentive Plan, which was adopted by Xometry’s board of directors and approved by Xometry’s stockholders in February 2016. The 2016 Plan was most recently amended by our board of directors and stockholders in March 2021.</w:t>
      </w:r>
    </w:p>
    <w:p>
      <w:pPr>
        <w:spacing w:after="0" w:line="181" w:lineRule="exact"/>
        <w:rPr>
          <w:sz w:val="20"/>
          <w:szCs w:val="20"/>
          <w:color w:val="auto"/>
        </w:rPr>
      </w:pPr>
    </w:p>
    <w:p>
      <w:pPr>
        <w:ind w:left="160" w:right="280" w:firstLine="546"/>
        <w:spacing w:after="0" w:line="258" w:lineRule="auto"/>
        <w:rPr>
          <w:sz w:val="20"/>
          <w:szCs w:val="20"/>
          <w:color w:val="auto"/>
        </w:rPr>
      </w:pPr>
      <w:r>
        <w:rPr>
          <w:rFonts w:ascii="Arial" w:cs="Arial" w:eastAsia="Arial" w:hAnsi="Arial"/>
          <w:sz w:val="17"/>
          <w:szCs w:val="17"/>
          <w:b w:val="1"/>
          <w:bCs w:val="1"/>
          <w:i w:val="1"/>
          <w:iCs w:val="1"/>
          <w:color w:val="auto"/>
        </w:rPr>
        <w:t xml:space="preserve">Awards. </w:t>
      </w:r>
      <w:r>
        <w:rPr>
          <w:rFonts w:ascii="Arial" w:cs="Arial" w:eastAsia="Arial" w:hAnsi="Arial"/>
          <w:sz w:val="17"/>
          <w:szCs w:val="17"/>
          <w:color w:val="auto"/>
        </w:rPr>
        <w:t>The 2016 Plan provides for the grant of ISOs, NSOs, stock appreciation rights, restricted stock, restricted stock units,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stock awards, or collectively, awards, to Xometry’s employees, directors, and consultants who provide services to Xometry. Xometry has granted ISOs and NSOs under the 2016 Plan. ISOs may only be granted to our employees, or employees of a parent corporation or subisidiary corporation of Xometry. Ten percent stockholders may not be granted ISOs unless the exercise price of the option is at least 110% of fair market value on the date of grant and the option is not exercisable after five years from the date of grant.</w:t>
      </w:r>
    </w:p>
    <w:p>
      <w:pPr>
        <w:spacing w:after="0" w:line="166" w:lineRule="exact"/>
        <w:rPr>
          <w:sz w:val="20"/>
          <w:szCs w:val="20"/>
          <w:color w:val="auto"/>
        </w:rPr>
      </w:pPr>
    </w:p>
    <w:p>
      <w:pPr>
        <w:ind w:left="160" w:right="60" w:firstLine="546"/>
        <w:spacing w:after="0" w:line="270" w:lineRule="auto"/>
        <w:rPr>
          <w:sz w:val="20"/>
          <w:szCs w:val="20"/>
          <w:color w:val="auto"/>
        </w:rPr>
      </w:pPr>
      <w:r>
        <w:rPr>
          <w:rFonts w:ascii="Arial" w:cs="Arial" w:eastAsia="Arial" w:hAnsi="Arial"/>
          <w:sz w:val="17"/>
          <w:szCs w:val="17"/>
          <w:b w:val="1"/>
          <w:bCs w:val="1"/>
          <w:i w:val="1"/>
          <w:iCs w:val="1"/>
          <w:color w:val="auto"/>
        </w:rPr>
        <w:t xml:space="preserve">Authorized Shares. </w:t>
      </w:r>
      <w:r>
        <w:rPr>
          <w:rFonts w:ascii="Arial" w:cs="Arial" w:eastAsia="Arial" w:hAnsi="Arial"/>
          <w:sz w:val="17"/>
          <w:szCs w:val="17"/>
          <w:color w:val="auto"/>
        </w:rPr>
        <w:t>Subject to certain capitalization adjustments, the aggregate number of shares of Xometry Class A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may be issued pursuant to stock awards under the 2016 Plan will not exceed 5,694,149 shares. The maximum number of shares of Xometry Class A common stock that may be issued pursuant to the exercise of ISOs under the 2016 Plan is 28,470,745 shares.</w:t>
      </w:r>
    </w:p>
    <w:p>
      <w:pPr>
        <w:spacing w:after="0" w:line="178"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Shares subject to awards granted under the 2016 Plan that expire or terminate without being exercised in full or that are settled in cash rather than in shares do not reduce the number of shares available for issuance under the 2016 Plan. Additionally, if any shares issued pursuant to a stock award are forfeited back to Xometry or repurchased because of the failure to meet a contingency 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condition required to vest, then the shares that are forfeited or repurchased will revert to and again become available for issuance under the 2016 Plan. Shares used to pay the exercise or purchase price of a stock award or reacquired by us in order to satisfy the tax withholding obligations related to a stock award will also become available for issuance under the 2016 Plan.</w:t>
      </w:r>
    </w:p>
    <w:p>
      <w:pPr>
        <w:spacing w:after="0" w:line="181"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2016 Plan is administered by Xometry’s board of directors, or a duly authorized committee of its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is referred to as the “plan administrator” herein. Subject to the provisions of the 2016 Plan, the plan administrator will determine in its discretion the persons to whom and the times at which Awards are granted, the sizes of such Awards and all of their terms and conditions. The plan administrator will have the authority to construe and interpret the terms of the 2016 Plan and Awards granted under it. The plan administrator may also delegate to one or more of Xometry’s officers the authority to (1) designate employees (other than officers) to receive specified awards and (2) determine the number of shares subject to such awards.</w:t>
      </w:r>
    </w:p>
    <w:p>
      <w:pPr>
        <w:spacing w:after="0" w:line="203" w:lineRule="exact"/>
        <w:rPr>
          <w:sz w:val="20"/>
          <w:szCs w:val="20"/>
          <w:color w:val="auto"/>
        </w:rPr>
      </w:pPr>
    </w:p>
    <w:p>
      <w:pPr>
        <w:ind w:left="160" w:right="280" w:firstLine="546"/>
        <w:spacing w:after="0" w:line="236"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2016 Plan, provided that the exercise price of a stock option generally cannot be less than 100% of the fair market value of Xometry common stock on the date of grant. Options granted under the 2016 Plan vest at the rate specified in the stock option agreement as determined by the plan administrator. The standard form of option award agreement under the 2016 Plan provides that options will vest 25% on the first anniversary of the vesting commencement date with the remainder vesting ratably over the next 36 months, subject to continued service through each applicable date. Under the 2016 Plan, the plan administrator has the authority to grant Awards with early exercise rights and to provide for accelerated vesting.</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10 years. If an optionholder’s service relationship with Xometry or any of its affiliates ceases for any reason other than disability, death or cause, the optionholder may generally exercise any vested options for a period of three months following the cessation of service. If an optionholder’s service relationship with Xometry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Xometry or any of its affiliates ceases due to disability, the optionholder may generally exercise any vested options for a period of 12 months following the cessation of service. In no event may an option be exercised beyond the expiration of its term. If an optionholder’s service relationship with Xometry or any of its affiliates ceases due to termination for Cause, the optionholder will be prohibited from exercising options from and after the date of termination.</w:t>
      </w:r>
    </w:p>
    <w:p>
      <w:pPr>
        <w:spacing w:after="0" w:line="203"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Xometry common stock previously owned by the optionholder, (4) a net exercise of the option if it is an NSO, (5) a deferred payment arrangement (including by promissory note) or (6) other legal consideration approved by the plan administrator.</w:t>
      </w:r>
    </w:p>
    <w:p>
      <w:pPr>
        <w:spacing w:after="0" w:line="192"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00"/>
        <w:spacing w:after="0" w:line="237" w:lineRule="auto"/>
        <w:rPr>
          <w:sz w:val="20"/>
          <w:szCs w:val="20"/>
          <w:color w:val="auto"/>
        </w:rPr>
      </w:pPr>
      <w:r>
        <w:rPr>
          <w:rFonts w:ascii="Arial" w:cs="Arial" w:eastAsia="Arial" w:hAnsi="Arial"/>
          <w:sz w:val="18"/>
          <w:szCs w:val="18"/>
          <w:color w:val="auto"/>
        </w:rPr>
        <w:t>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1"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Xometry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of Xometry’s stock plans may not exceed $100,000. Options or portions thereof that exceed such limit will generally be treated as NSOs. No ISO may be granted to any person who, at the time of the grant, owns or is deemed to own stock possessing more than 10% of Xometry’s total combined voting 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Restricted stock unit awards are granted under restricted stock unit award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administrator. Restricted stock unit awards may be granted in consideration for any form of legal consideration that may be acceptable to Xometry’s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1"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 restricted stock award may be awarded in consideration for cash, cash equivalents, past or future services to Xometry, or any other form of legal consideration that may be acceptable to Xometry’s board of directors and permissible under applicable law. The plan administrator determines the terms and conditions of restricted stock awards, including vesting and forfeiture terms. If a participant’s service relationship with Xometry ends for any reason, Xometry may receive any or all of the shares of common stock held by the participant that have not vested as of the date the participant terminates service with Xometry through a forfeiture condition and/or a repurchase or reacquisition right. The restricted stock award agreement may provide that any dividends paid on restricted stock awards will be subject to the same vesting and forfeiture restrictions as apply to the underlying shares of restricted stock.</w:t>
      </w:r>
    </w:p>
    <w:p>
      <w:pPr>
        <w:spacing w:after="0" w:line="184" w:lineRule="exact"/>
        <w:rPr>
          <w:sz w:val="20"/>
          <w:szCs w:val="20"/>
          <w:color w:val="auto"/>
        </w:rPr>
      </w:pPr>
    </w:p>
    <w:p>
      <w:pPr>
        <w:ind w:left="1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Xometry’s capital structure, such as a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reverse stock split or recapitalization, appropriate adjustments will be made to (1) the class and maximum number of shares reserved for issuance under the 2016 Plan, (2) the class and maximum number of shares that may be issued on the exercise of ISOs and (3) the class and number of shares and exercise price, strike price, or purchase price, if applicable, of all outstanding stock awards.</w:t>
      </w:r>
    </w:p>
    <w:p>
      <w:pPr>
        <w:spacing w:after="0" w:line="178"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2016 Plan provides that in the event of certain specified significant transactions (described below)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(defined below), unless otherwise provided in an award agreement or other written agreement between Xometry and the award holder, the plan administrator may take one or more of the following actions with respect to such stock awards:</w:t>
      </w:r>
    </w:p>
    <w:p>
      <w:pPr>
        <w:spacing w:after="0" w:line="100" w:lineRule="exact"/>
        <w:rPr>
          <w:sz w:val="20"/>
          <w:szCs w:val="20"/>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Xometry to the surviving or acquiring corporation;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transaction;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Xometry;</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a consideration, if any; and</w:t>
      </w:r>
    </w:p>
    <w:p>
      <w:pPr>
        <w:spacing w:after="0" w:line="109" w:lineRule="exact"/>
        <w:rPr>
          <w:rFonts w:ascii="Arial" w:cs="Arial" w:eastAsia="Arial" w:hAnsi="Arial"/>
          <w:sz w:val="18"/>
          <w:szCs w:val="18"/>
          <w:color w:val="auto"/>
        </w:rPr>
      </w:pPr>
    </w:p>
    <w:p>
      <w:pPr>
        <w:ind w:left="920" w:right="240" w:hanging="218"/>
        <w:spacing w:after="0" w:line="237"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Under the 2016 Plan, a transaction is generally the consummation of: (1) a sale of all or substantially all of Xometry’s assets, (2) the sale or disposition of at least 50% of Xometry’s outstanding securities, (3) a merger or consolidation in which Xometry is not the surviving corporation, or (4) a merger or consolidation in which Xometry is the surviving corporation but the shares of Xometry common stock outstanding immediately before such transaction are converted or exchanged into other property by virtue of the transaction.</w:t>
      </w:r>
    </w:p>
    <w:p>
      <w:pPr>
        <w:spacing w:after="0" w:line="180" w:lineRule="exact"/>
        <w:rPr>
          <w:sz w:val="20"/>
          <w:szCs w:val="20"/>
          <w:color w:val="auto"/>
        </w:rPr>
      </w:pPr>
    </w:p>
    <w:p>
      <w:pPr>
        <w:jc w:val="both"/>
        <w:ind w:left="160" w:right="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In addition to the above, the plan administrator may provide, in an individual award agreement that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subject to additional acceleration of vesting and exercisability in the event of a change in control, but in the absence of such a provision, no acceleration will occur upon a change in control.</w:t>
      </w:r>
    </w:p>
    <w:p>
      <w:pPr>
        <w:spacing w:after="0" w:line="19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Under the 2016 Plan, a change in control is generally (1) the acquisition by any person or company of more than 50% of the combined voting power of Xometry’s then outstanding stock, other than by virtue of a merger, consolidation or similar transaction (2) a merger, consolidation or similar transaction in which Xometry’s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 other disposition of all or substantially all of Xometry’s assets other than to an entity more than 50% of the combined voting power of which is owned by its stockholders in substantially the same proportions as their ownership of Xometry’s outstanding voting securities immediately prior to such transaction. Xometry’s initial public offering, any subsequent public offering or another capital raising event is not a change in control.</w:t>
      </w:r>
    </w:p>
    <w:p>
      <w:pPr>
        <w:spacing w:after="0" w:line="174" w:lineRule="exact"/>
        <w:rPr>
          <w:sz w:val="20"/>
          <w:szCs w:val="20"/>
          <w:color w:val="auto"/>
        </w:rPr>
      </w:pPr>
    </w:p>
    <w:p>
      <w:pPr>
        <w:jc w:val="both"/>
        <w:ind w:left="160" w:right="400" w:firstLine="546"/>
        <w:spacing w:after="0" w:line="262" w:lineRule="auto"/>
        <w:rPr>
          <w:sz w:val="20"/>
          <w:szCs w:val="20"/>
          <w:color w:val="auto"/>
        </w:rPr>
      </w:pPr>
      <w:r>
        <w:rPr>
          <w:rFonts w:ascii="Arial" w:cs="Arial" w:eastAsia="Arial" w:hAnsi="Arial"/>
          <w:sz w:val="17"/>
          <w:szCs w:val="17"/>
          <w:b w:val="1"/>
          <w:bCs w:val="1"/>
          <w:i w:val="1"/>
          <w:iCs w:val="1"/>
          <w:color w:val="auto"/>
        </w:rPr>
        <w:t xml:space="preserve">Plan Amendment or Termination. </w:t>
      </w:r>
      <w:r>
        <w:rPr>
          <w:rFonts w:ascii="Arial" w:cs="Arial" w:eastAsia="Arial" w:hAnsi="Arial"/>
          <w:sz w:val="17"/>
          <w:szCs w:val="17"/>
          <w:color w:val="auto"/>
        </w:rPr>
        <w:t>Xometry’s board of directors has the authority to amend, suspend, or terminate the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provided that such action does not impair the existing rights of any participant without such participant’s written consent. Certain material amendments also require the approval of Xometry’s stockholders. Unless terminated sooner, the 2016 Plan will automatically terminate on February 2, 2026. No stock awards may be granted under the 2016 Plan while it is suspended or after it is terminated.</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2014 Stock Option Plan</w:t>
      </w:r>
    </w:p>
    <w:p>
      <w:pPr>
        <w:spacing w:after="0" w:line="123" w:lineRule="exact"/>
        <w:rPr>
          <w:sz w:val="20"/>
          <w:szCs w:val="20"/>
          <w:color w:val="auto"/>
        </w:rPr>
      </w:pPr>
    </w:p>
    <w:p>
      <w:pPr>
        <w:ind w:left="160" w:right="320" w:firstLine="546"/>
        <w:spacing w:after="0" w:line="236" w:lineRule="auto"/>
        <w:rPr>
          <w:sz w:val="20"/>
          <w:szCs w:val="20"/>
          <w:color w:val="auto"/>
        </w:rPr>
      </w:pPr>
      <w:r>
        <w:rPr>
          <w:rFonts w:ascii="Arial" w:cs="Arial" w:eastAsia="Arial" w:hAnsi="Arial"/>
          <w:sz w:val="18"/>
          <w:szCs w:val="18"/>
          <w:color w:val="auto"/>
        </w:rPr>
        <w:t>The following summary describes the material terms of the Nextline Manufacturing Corp. 2014 Stock Option Plan, or 2014 Plan, which was adopted by Xometry’s board of directors and approved by our stockholders in August 2014 and subsequently terminated in February 2016. No additional awards may be granted under the 2014 Plan, however, outstanding awards continue in full effect in accordance with their existing terms.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00" w:firstLine="546"/>
        <w:spacing w:after="0" w:line="265"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2014 Plan provided for the grant of ISOs, NSOs stock purchase rights, restricted stock awards, and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collectively, Awards, to eligible employees, directors, and consultants.</w:t>
      </w:r>
    </w:p>
    <w:p>
      <w:pPr>
        <w:spacing w:after="0" w:line="158" w:lineRule="exact"/>
        <w:rPr>
          <w:sz w:val="20"/>
          <w:szCs w:val="20"/>
          <w:color w:val="auto"/>
        </w:rPr>
      </w:pPr>
    </w:p>
    <w:p>
      <w:pPr>
        <w:ind w:left="720"/>
        <w:spacing w:after="0"/>
        <w:tabs>
          <w:tab w:leader="none" w:pos="2560" w:val="left"/>
        </w:tabs>
        <w:rPr>
          <w:sz w:val="20"/>
          <w:szCs w:val="20"/>
          <w:color w:val="auto"/>
        </w:rPr>
      </w:pPr>
      <w:r>
        <w:rPr>
          <w:rFonts w:ascii="Arial" w:cs="Arial" w:eastAsia="Arial" w:hAnsi="Arial"/>
          <w:sz w:val="18"/>
          <w:szCs w:val="18"/>
          <w:b w:val="1"/>
          <w:bCs w:val="1"/>
          <w:i w:val="1"/>
          <w:iCs w:val="1"/>
          <w:color w:val="auto"/>
        </w:rPr>
        <w:t>Authorized Shares.</w:t>
      </w:r>
      <w:r>
        <w:rPr>
          <w:sz w:val="20"/>
          <w:szCs w:val="20"/>
          <w:color w:val="auto"/>
        </w:rPr>
        <w:tab/>
      </w:r>
      <w:r>
        <w:rPr>
          <w:rFonts w:ascii="Arial" w:cs="Arial" w:eastAsia="Arial" w:hAnsi="Arial"/>
          <w:sz w:val="17"/>
          <w:szCs w:val="17"/>
          <w:color w:val="auto"/>
        </w:rPr>
        <w:t>560,000 shares of common stock were reserved for issuance under our 2014 Plan.</w:t>
      </w:r>
    </w:p>
    <w:p>
      <w:pPr>
        <w:spacing w:after="0" w:line="208" w:lineRule="exact"/>
        <w:rPr>
          <w:sz w:val="20"/>
          <w:szCs w:val="20"/>
          <w:color w:val="auto"/>
        </w:rPr>
      </w:pPr>
    </w:p>
    <w:p>
      <w:pPr>
        <w:jc w:val="both"/>
        <w:ind w:left="160" w:right="320" w:firstLine="546"/>
        <w:spacing w:after="0" w:line="249"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2014 Plan is administered by our board of directors, or a duly authorized committee of its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is referred to as the “plan administrator” herein. Subject to the provisions of the 2014 Plan, the plan administrator has the authority to:</w:t>
      </w:r>
    </w:p>
    <w:p>
      <w:pPr>
        <w:spacing w:after="0" w:line="194" w:lineRule="exact"/>
        <w:rPr>
          <w:sz w:val="20"/>
          <w:szCs w:val="20"/>
          <w:color w:val="auto"/>
        </w:rPr>
      </w:pPr>
    </w:p>
    <w:p>
      <w:pPr>
        <w:ind w:left="980" w:hanging="26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 the fair market value in accordance with Section 409A;</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 the service providers or prospective service providers to whom awards may be granted;</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award;</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approve the forms of agreements for use under the 2014 Plan;</w:t>
      </w:r>
    </w:p>
    <w:p>
      <w:pPr>
        <w:spacing w:after="0" w:line="207" w:lineRule="exact"/>
        <w:rPr>
          <w:rFonts w:ascii="Arial" w:cs="Arial" w:eastAsia="Arial" w:hAnsi="Arial"/>
          <w:sz w:val="18"/>
          <w:szCs w:val="18"/>
          <w:color w:val="auto"/>
        </w:rPr>
      </w:pPr>
    </w:p>
    <w:p>
      <w:pPr>
        <w:ind w:left="160" w:right="100" w:firstLine="553"/>
        <w:spacing w:after="0" w:line="236" w:lineRule="auto"/>
        <w:tabs>
          <w:tab w:leader="none" w:pos="9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 the terms and conditions of awards, including, but not limited to, the exercise price, when options or stock purchase rights may be exercised or restricted stock awards vest (which may be based on performance criteria), any vesting acceleration or waiver of forfeiture restrictions, and any restrictions or limitations on awards or the common stock relating thereto based on factors as the plan administrator determines;</w:t>
      </w:r>
    </w:p>
    <w:p>
      <w:pPr>
        <w:spacing w:after="0" w:line="202" w:lineRule="exact"/>
        <w:rPr>
          <w:rFonts w:ascii="Arial" w:cs="Arial" w:eastAsia="Arial" w:hAnsi="Arial"/>
          <w:sz w:val="18"/>
          <w:szCs w:val="18"/>
          <w:color w:val="auto"/>
        </w:rPr>
      </w:pPr>
    </w:p>
    <w:p>
      <w:pPr>
        <w:ind w:left="160" w:right="340" w:firstLine="553"/>
        <w:spacing w:after="0" w:line="239" w:lineRule="auto"/>
        <w:tabs>
          <w:tab w:leader="none" w:pos="9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exercise price of any option to the then fair market value, if the fair market value of the common stock covered by such option has declined since the date the option was granted;</w:t>
      </w:r>
    </w:p>
    <w:p>
      <w:pPr>
        <w:spacing w:after="0" w:line="202" w:lineRule="exact"/>
        <w:rPr>
          <w:rFonts w:ascii="Arial" w:cs="Arial" w:eastAsia="Arial" w:hAnsi="Arial"/>
          <w:sz w:val="18"/>
          <w:szCs w:val="18"/>
          <w:color w:val="auto"/>
        </w:rPr>
      </w:pPr>
    </w:p>
    <w:p>
      <w:pPr>
        <w:ind w:left="980" w:hanging="26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initiate an option exchange program;</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2014 Plan;</w:t>
      </w:r>
    </w:p>
    <w:p>
      <w:pPr>
        <w:spacing w:after="0" w:line="207" w:lineRule="exact"/>
        <w:rPr>
          <w:rFonts w:ascii="Arial" w:cs="Arial" w:eastAsia="Arial" w:hAnsi="Arial"/>
          <w:sz w:val="18"/>
          <w:szCs w:val="18"/>
          <w:color w:val="auto"/>
        </w:rPr>
      </w:pPr>
    </w:p>
    <w:p>
      <w:pPr>
        <w:jc w:val="both"/>
        <w:ind w:left="160" w:right="80" w:firstLine="553"/>
        <w:spacing w:after="0" w:line="236" w:lineRule="auto"/>
        <w:tabs>
          <w:tab w:leader="none" w:pos="91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allow optionholders to elect, in such form and under such conditions as the plan administrator deems necessary or advisable, to satisfy withholding tax obligations by delivering to the company or by electing to have the company withhold from the shares to be issued upon exercise of an option or stock purchase right that number of shares having fair market value equal to the amount required to be withheld (but not in excess of such amount); and</w:t>
      </w:r>
    </w:p>
    <w:p>
      <w:pPr>
        <w:spacing w:after="0" w:line="202" w:lineRule="exact"/>
        <w:rPr>
          <w:rFonts w:ascii="Arial" w:cs="Arial" w:eastAsia="Arial" w:hAnsi="Arial"/>
          <w:sz w:val="18"/>
          <w:szCs w:val="18"/>
          <w:color w:val="auto"/>
        </w:rPr>
      </w:pPr>
    </w:p>
    <w:p>
      <w:pPr>
        <w:ind w:left="920" w:hanging="207"/>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construe and interpret the terms of the 2014 Plan and awards granted thereunder.</w:t>
      </w:r>
    </w:p>
    <w:p>
      <w:pPr>
        <w:spacing w:after="0" w:line="186"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were granted under option agreements adopted by the plan administrator.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determined the exercise price for stock options, within the terms and conditions of the 2014 Plan, provided that the exercise price of a stock option generally cannot be less than 100% of the fair market value of our common stock on the date of grant. The plan administrator determined the term of stock options granted under the 2014 Plan, up to a maximum of 10 years. If an optionholder’s service relationship with us or any of our affiliates ceases for any reason other than disability, death, cause, or voluntary termination, or the optionholder enters a post-termination relationship with a competing business, the optionholder may generally exercise any vested options for a period of three months following the cessation of service. If an optionholder’s service relationship with us or any of our affiliates ceases due to death the optionholder or a beneficiary may generally exercise any vested options for a period of 12 months following the date of death. If an optionholder’s service relationship with us or any of our affiliates ceases due to disability,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6"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optionholder may generally exercise any vested options for a period of 12 months following the cessation of service. In the event of a termination for cause, voluntary termination, or that an optionholder within the option term becomes an employee, consultant, or director of a competing business, any option held by the optionholder will terminate immediately. In addition, upon the occurrence of the events specified in the preceding sentence, optionholders automatically forfeit all shares underlying any exercised portion of an option for which the company has not yet delivered the share certificates, upon refund by the company of the exercise price paid by the optionholder. In no event may an option be exercised beyond the expiration of its term.</w:t>
      </w:r>
    </w:p>
    <w:p>
      <w:pPr>
        <w:spacing w:after="0" w:line="180" w:lineRule="exact"/>
        <w:rPr>
          <w:sz w:val="20"/>
          <w:szCs w:val="20"/>
          <w:color w:val="auto"/>
        </w:rPr>
      </w:pPr>
    </w:p>
    <w:p>
      <w:pPr>
        <w:jc w:val="both"/>
        <w:ind w:left="1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of a stock split, reverse stock split, stock dividend, combination or reclassification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or any other increase or decrease in the number of issued shares effected without receipt of consideration, the number of shares covered by outstanding options and the exercise price per share will be adjusted proportionately.</w:t>
      </w:r>
    </w:p>
    <w:p>
      <w:pPr>
        <w:spacing w:after="0" w:line="172" w:lineRule="exact"/>
        <w:rPr>
          <w:sz w:val="20"/>
          <w:szCs w:val="20"/>
          <w:color w:val="auto"/>
        </w:rPr>
      </w:pPr>
    </w:p>
    <w:p>
      <w:pPr>
        <w:ind w:left="1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2014 Plan provides that in the event of a qualifying consolidation, merger, or a sale or transfer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of our assets, all outstanding options shall become immediately exercisable, unless such options are assumed or replaced by the surviving corporation.</w:t>
      </w:r>
    </w:p>
    <w:p>
      <w:pPr>
        <w:spacing w:after="0" w:line="17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b w:val="1"/>
          <w:bCs w:val="1"/>
          <w:i w:val="1"/>
          <w:iCs w:val="1"/>
          <w:color w:val="auto"/>
        </w:rPr>
        <w:t xml:space="preserve">Dissolution or Liquidation. </w:t>
      </w:r>
      <w:r>
        <w:rPr>
          <w:rFonts w:ascii="Arial" w:cs="Arial" w:eastAsia="Arial" w:hAnsi="Arial"/>
          <w:sz w:val="18"/>
          <w:szCs w:val="18"/>
          <w:color w:val="auto"/>
        </w:rPr>
        <w:t>In the event of a proposed dissolution or liquidation of the company, the plan administrator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notice to each optionholder and may in its discretion provide the right to exercise options or stock purchase rights that would not otherwise be exercisable until fifteen days prior to such transaction. The plan administrator may also provide that any company repurchase option applicable to shares purchased upon exercise of an option will lapse, provided that the dissolution or liquidation takes place at the time and in the manner contemplated. Unexercised options will terminate immediately prior to the consummation of the dissolution or liquidation.</w:t>
      </w:r>
    </w:p>
    <w:p>
      <w:pPr>
        <w:spacing w:after="0" w:line="181" w:lineRule="exact"/>
        <w:rPr>
          <w:sz w:val="20"/>
          <w:szCs w:val="20"/>
          <w:color w:val="auto"/>
        </w:rPr>
      </w:pPr>
    </w:p>
    <w:p>
      <w:pPr>
        <w:ind w:left="160" w:right="140" w:firstLine="546"/>
        <w:spacing w:after="0" w:line="243"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Our board of directors has the authority to amend, alter, suspend, or terminate the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provided that such action does not impair the existing rights of any participant without such participant’s written consent. The board must obtain stockholder approval of any amendments to the extent necessary to comply with applicable laws. The 2014 Plan was terminated in February 2016.</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0"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9" w:lineRule="exact"/>
        <w:rPr>
          <w:sz w:val="20"/>
          <w:szCs w:val="20"/>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8"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203" w:lineRule="exact"/>
        <w:rPr>
          <w:sz w:val="20"/>
          <w:szCs w:val="20"/>
          <w:color w:val="auto"/>
        </w:rPr>
      </w:pPr>
    </w:p>
    <w:p>
      <w:pPr>
        <w:ind w:left="160" w:right="420" w:firstLine="546"/>
        <w:spacing w:after="0" w:line="239"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authorize us to indemnify our directors, officers, employees and other agents to the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21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4"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10b5-1 Sales Plans</w:t>
      </w:r>
    </w:p>
    <w:p>
      <w:pPr>
        <w:spacing w:after="0" w:line="230"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109" w:lineRule="exact"/>
        <w:rPr>
          <w:sz w:val="20"/>
          <w:szCs w:val="20"/>
          <w:color w:val="auto"/>
        </w:rPr>
      </w:pPr>
    </w:p>
    <w:p>
      <w:pPr>
        <w:ind w:left="920" w:hanging="218"/>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3"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Third Party Tender Offer</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In August, 2020, the Company entered into an agreement with certain investors, including T. Rowe Price Associates, Highland Capital Partners, Foundry Group, BMW i Ventures SCS, SICAV RAIF and Greenspring Associates, LLC (together with their respective affiliates), pursuant to which we agreed to waive certain transfer restrictions in connection with, and assist in the administration of, a tender offer that such investors proposed to commence. In August 2020, these investors commenced a tender offer to purchase shares of our capital stock from certain of our stockholders at a price of $8.00 per share, pursuant to an offer to purchase to which we were not a party.</w:t>
      </w:r>
    </w:p>
    <w:p>
      <w:pPr>
        <w:spacing w:after="0" w:line="195"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Each of Laurence Zuriff, our co-founder and Chief Strategy Officer and a member of our board of directors, and his affiliated entity, ZFI Capital, and George Hornig, the Chairman of our board of directors, sold shares of Series Seed-1 and Series Seed-2 Preferred Stock in the tender offer.</w:t>
      </w:r>
    </w:p>
    <w:p>
      <w:pPr>
        <w:spacing w:after="0" w:line="203" w:lineRule="exact"/>
        <w:rPr>
          <w:sz w:val="20"/>
          <w:szCs w:val="20"/>
          <w:color w:val="auto"/>
        </w:rPr>
      </w:pPr>
    </w:p>
    <w:p>
      <w:pPr>
        <w:ind w:left="160" w:right="480" w:firstLine="546"/>
        <w:spacing w:after="0" w:line="237" w:lineRule="auto"/>
        <w:rPr>
          <w:sz w:val="20"/>
          <w:szCs w:val="20"/>
          <w:color w:val="auto"/>
        </w:rPr>
      </w:pPr>
      <w:r>
        <w:rPr>
          <w:rFonts w:ascii="Arial" w:cs="Arial" w:eastAsia="Arial" w:hAnsi="Arial"/>
          <w:sz w:val="18"/>
          <w:szCs w:val="18"/>
          <w:color w:val="auto"/>
        </w:rPr>
        <w:t>Each of Randolph Altschuler, Laurence Zuriff, T. Rowe Price Associates, Highland Capital Partners, Foundry Group, BMW i Ventures SCS, SICAV RAIF, and Greenspring Associates and their respective affiliates are beneficial holders of more than 5% of our outstanding capital stock.</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 Financing</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Shares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Series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Series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A-2</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B</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2820" w:type="dxa"/>
            <w:vAlign w:val="bottom"/>
            <w:vMerge w:val="restart"/>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Preferred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7"/>
        </w:trPr>
        <w:tc>
          <w:tcPr>
            <w:tcW w:w="42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89,985</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30,888</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32,100</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24,912</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180,170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4,168,550.53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42,521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14,592</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15,161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11,761</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85,137</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1,969,577.50</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41,667</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14,303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14,864</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11,536</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83,425</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1,930,213.85</w:t>
            </w: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Foundry Group</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59,633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20,470</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21,273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16,510</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119,399</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2,762,518.76</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 Rowe Price Associates, Inc.</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654,011</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224,493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233,298</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181,056</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1,309,467</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30,296,809.69</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D Preferred Stock Financing</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$54,999,975.96.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740" w:type="dxa"/>
            <w:vAlign w:val="bottom"/>
            <w:vMerge w:val="restart"/>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7"/>
        </w:trPr>
        <w:tc>
          <w:tcPr>
            <w:tcW w:w="81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399,573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4,000,045.40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372,548</w:t>
            </w:r>
          </w:p>
        </w:tc>
        <w:tc>
          <w:tcPr>
            <w:tcW w:w="32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3,729,503.52</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2,497,300</w:t>
            </w:r>
          </w:p>
        </w:tc>
        <w:tc>
          <w:tcPr>
            <w:tcW w:w="320" w:type="dxa"/>
            <w:vAlign w:val="bottom"/>
            <w:gridSpan w:val="2"/>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24,999,970.85</w:t>
            </w:r>
          </w:p>
        </w:tc>
        <w:tc>
          <w:tcPr>
            <w:tcW w:w="0" w:type="dxa"/>
            <w:vAlign w:val="bottom"/>
          </w:tcPr>
          <w:p>
            <w:pPr>
              <w:spacing w:after="0"/>
              <w:rPr>
                <w:sz w:val="1"/>
                <w:szCs w:val="1"/>
                <w:color w:val="auto"/>
              </w:rPr>
            </w:pPr>
          </w:p>
        </w:tc>
      </w:tr>
      <w:tr>
        <w:trPr>
          <w:trHeight w:val="213"/>
        </w:trPr>
        <w:tc>
          <w:tcPr>
            <w:tcW w:w="818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787,238</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7,880,882.18</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Consulting Contract with Peter Goguen</w:t>
      </w:r>
    </w:p>
    <w:p>
      <w:pPr>
        <w:spacing w:after="0" w:line="230"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 Agreements</w:t>
      </w:r>
    </w:p>
    <w:p>
      <w:pPr>
        <w:spacing w:after="0" w:line="230"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connection with our preferred stock financings, we entered into certain stockholder agreements, including an investors’ rights agreement, a voting agreement and a right of first refusal and co-sale agreement, which contain, among other things, registration rights, information rights, voting rights with respect to the election of directors, co-sale rights and rights of first refusal, with certain holders of our capital stock. The parties to these stockholder agreements include: Randolph Altschuler and entities affiliated with Randolph Altschuler, Laurence Zuriff and entities affiliated with Laurence Zuriff, George Hornig, entities affiliated with Highland Capital Partners, where our director, Craig Driscoll, is a general partner; entities affiliated with Foundry Group, entities affiliated with BMW i Ventures SCS, SICAV RAIF and entities affiliated with Greenspring Associates.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investors’ rights agreement, voting agreement, and right of first refusal and co-sale agreement will terminate upon the completion of this offering, except with respect to registration rights, as more fully described in the section titled “Description of Capital Stock—Stockholder Registration Rights.” See also the section titled “Principal Stockholders” for additional information regarding beneficial ownership of our capital stock.</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Transaction</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connection with this offering, we will enter into an exchange agreement with our co-founders, Randolph Altschuler and Laurence Zuriff, pursuant to which an aggregate of 1,475,311 shares of Class A common stock held by Mr. Altschuler and 1,200,843 shares of Class A common stock held by Mr. Zuriff will be exchanged into an equivalent number of shares of Class B common stock immediately prior to the completion of this offering.</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230"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“Management—Non-Employee Director Compensation” and “Executive Compensation.”</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ind w:left="160" w:right="200" w:firstLine="546"/>
        <w:spacing w:after="0" w:line="268" w:lineRule="auto"/>
        <w:rPr>
          <w:sz w:val="20"/>
          <w:szCs w:val="20"/>
          <w:color w:val="auto"/>
        </w:rPr>
      </w:pPr>
      <w:r>
        <w:rPr>
          <w:rFonts w:ascii="Arial" w:cs="Arial" w:eastAsia="Arial" w:hAnsi="Arial"/>
          <w:sz w:val="17"/>
          <w:szCs w:val="17"/>
          <w:color w:val="auto"/>
        </w:rPr>
        <w:t>We have entered into employment agreements with certain of our executive officers. For more information regarding employment agreements with our named executive officers, see the section titled “Executive Compensation—Employment Arrangements.”</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Agreements</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Class A common stock or any member of the immediate family of any of the foregoing</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6"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6"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May 30, 2021 by:</w:t>
      </w:r>
    </w:p>
    <w:p>
      <w:pPr>
        <w:spacing w:after="0" w:line="114" w:lineRule="exact"/>
        <w:rPr>
          <w:sz w:val="20"/>
          <w:szCs w:val="20"/>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directors and director nominee;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directors, director nominee and executive officers as a group; and</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Class A common stock and Class B common stock (by number or by voting power).</w:t>
      </w:r>
    </w:p>
    <w:p>
      <w:pPr>
        <w:spacing w:after="0" w:line="203" w:lineRule="exact"/>
        <w:rPr>
          <w:sz w:val="20"/>
          <w:szCs w:val="20"/>
          <w:color w:val="auto"/>
        </w:rPr>
      </w:pPr>
    </w:p>
    <w:p>
      <w:pPr>
        <w:ind w:left="160" w:right="340" w:firstLine="546"/>
        <w:spacing w:after="0" w:line="236"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2"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Applicable percentage ownership before the offering is based on 33,474,275 shares of Class A common stock and 2,676,154 shares of Class B common stock outstanding as of May 30, 2021, assuming (i) the reclassification of our outstanding common stock into Class A common stock, (ii) the automatic conversion of all outstanding shares of preferred stock into shares of Class A common stock and</w:t>
      </w:r>
    </w:p>
    <w:p>
      <w:pPr>
        <w:spacing w:after="0" w:line="1" w:lineRule="exact"/>
        <w:rPr>
          <w:sz w:val="20"/>
          <w:szCs w:val="20"/>
          <w:color w:val="auto"/>
        </w:rPr>
      </w:pPr>
    </w:p>
    <w:p>
      <w:pPr>
        <w:ind w:left="160" w:right="20" w:firstLine="7"/>
        <w:spacing w:after="0" w:line="234" w:lineRule="auto"/>
        <w:tabs>
          <w:tab w:leader="none" w:pos="4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exchange of an aggregate of 2,676,154 shares of Class A common stock held by our co-founders for an equivalent number of shares of our Class B common stock pursuant to the terms of an exchange agreement to be entered into with us. Applicable percentage ownership after the offering is based on shares of Class A common stock and shares of Class B common stock outstanding immediately after the completion of this offering, assuming no exercise by the underwriters of their option to purchase additional shares of Class A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May 30, 2021. However, except as described above, we did not deem such shares outstanding for the purpose of computing the percentage ownership of any other person.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40"/>
          </w:cols>
          <w:pgMar w:left="320" w:top="456" w:right="5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Unless otherwise indicated, the address for each beneficial owner listed in the table below is c/o Xometry, Inc., 7529 Standish Place, Suite 200, Derwood, MD 20855.</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Beneficial Ownership</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Beneficial Ownership</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rPr>
              <w:t>Before the Offering</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After the Offering</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Class B</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Voting</w:t>
            </w:r>
          </w:p>
        </w:tc>
        <w:tc>
          <w:tcPr>
            <w:tcW w:w="94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Class B</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Voting</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Power</w:t>
            </w:r>
          </w:p>
        </w:tc>
        <w:tc>
          <w:tcPr>
            <w:tcW w:w="94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Power</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w w:val="99"/>
              </w:rPr>
              <w:t>Stock</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99"/>
              </w:rPr>
              <w:t>Stock</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Before</w:t>
            </w:r>
          </w:p>
        </w:tc>
        <w:tc>
          <w:tcPr>
            <w:tcW w:w="94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99"/>
              </w:rPr>
              <w:t>Stock</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5"/>
              </w:rPr>
              <w:t>the</w:t>
            </w: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restart"/>
          </w:tcPr>
          <w:p>
            <w:pPr>
              <w:jc w:val="center"/>
              <w:ind w:right="180"/>
              <w:spacing w:after="0" w:line="157" w:lineRule="exact"/>
              <w:rPr>
                <w:sz w:val="20"/>
                <w:szCs w:val="20"/>
                <w:color w:val="auto"/>
              </w:rPr>
            </w:pPr>
            <w:r>
              <w:rPr>
                <w:rFonts w:ascii="Arial" w:cs="Arial" w:eastAsia="Arial" w:hAnsi="Arial"/>
                <w:sz w:val="14"/>
                <w:szCs w:val="14"/>
                <w:b w:val="1"/>
                <w:bCs w:val="1"/>
                <w:color w:val="auto"/>
              </w:rPr>
              <w:t>the</w:t>
            </w:r>
          </w:p>
        </w:tc>
        <w:tc>
          <w:tcPr>
            <w:tcW w:w="0" w:type="dxa"/>
            <w:vAlign w:val="bottom"/>
          </w:tcPr>
          <w:p>
            <w:pPr>
              <w:spacing w:after="0"/>
              <w:rPr>
                <w:sz w:val="1"/>
                <w:szCs w:val="1"/>
                <w:color w:val="auto"/>
              </w:rPr>
            </w:pPr>
          </w:p>
        </w:tc>
      </w:tr>
      <w:tr>
        <w:trPr>
          <w:trHeight w:val="110"/>
        </w:trPr>
        <w:tc>
          <w:tcPr>
            <w:tcW w:w="17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78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980" w:type="dxa"/>
            <w:vAlign w:val="bottom"/>
            <w:gridSpan w:val="2"/>
          </w:tcPr>
          <w:p>
            <w:pPr>
              <w:jc w:val="center"/>
              <w:ind w:right="260"/>
              <w:spacing w:after="0" w:line="164"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8"/>
                <w:szCs w:val="18"/>
                <w:b w:val="1"/>
                <w:bCs w:val="1"/>
                <w:color w:val="auto"/>
                <w:vertAlign w:val="superscript"/>
              </w:rPr>
              <w:t>(1)</w:t>
            </w: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80" w:type="dxa"/>
            <w:vAlign w:val="bottom"/>
            <w:gridSpan w:val="2"/>
          </w:tcPr>
          <w:p>
            <w:pPr>
              <w:jc w:val="center"/>
              <w:ind w:right="180"/>
              <w:spacing w:after="0" w:line="164"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7"/>
        </w:trPr>
        <w:tc>
          <w:tcPr>
            <w:tcW w:w="3260" w:type="dxa"/>
            <w:vAlign w:val="bottom"/>
            <w:tcBorders>
              <w:top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5% Stockholders:</w:t>
            </w: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60" w:type="dxa"/>
            <w:vAlign w:val="bottom"/>
            <w:gridSpan w:val="2"/>
          </w:tcPr>
          <w:p>
            <w:pPr>
              <w:spacing w:after="0" w:line="158" w:lineRule="exact"/>
              <w:rPr>
                <w:sz w:val="20"/>
                <w:szCs w:val="20"/>
                <w:color w:val="auto"/>
              </w:rPr>
            </w:pPr>
            <w:r>
              <w:rPr>
                <w:rFonts w:ascii="Arial" w:cs="Arial" w:eastAsia="Arial" w:hAnsi="Arial"/>
                <w:sz w:val="14"/>
                <w:szCs w:val="14"/>
                <w:color w:val="auto"/>
              </w:rPr>
              <w:t>Entities associated with Highland Capital</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tcPr>
          <w:p>
            <w:pPr>
              <w:ind w:left="160"/>
              <w:spacing w:after="0" w:line="164" w:lineRule="exact"/>
              <w:rPr>
                <w:sz w:val="20"/>
                <w:szCs w:val="20"/>
                <w:color w:val="auto"/>
              </w:rPr>
            </w:pPr>
            <w:r>
              <w:rPr>
                <w:rFonts w:ascii="Arial" w:cs="Arial" w:eastAsia="Arial" w:hAnsi="Arial"/>
                <w:sz w:val="11"/>
                <w:szCs w:val="11"/>
                <w:color w:val="auto"/>
              </w:rPr>
              <w:t>Partners</w:t>
            </w:r>
            <w:r>
              <w:rPr>
                <w:rFonts w:ascii="Arial" w:cs="Arial" w:eastAsia="Arial" w:hAnsi="Arial"/>
                <w:sz w:val="18"/>
                <w:szCs w:val="18"/>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4"/>
                <w:szCs w:val="14"/>
                <w:color w:val="auto"/>
              </w:rPr>
              <w:t>5,978,793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17.9%</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5,978,793</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14.8%</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Entities associated with T. Rowe Price</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shd w:val="clear" w:color="auto" w:fill="CCEEFF"/>
          </w:tcPr>
          <w:p>
            <w:pPr>
              <w:ind w:left="160"/>
              <w:spacing w:after="0" w:line="164" w:lineRule="exact"/>
              <w:rPr>
                <w:sz w:val="20"/>
                <w:szCs w:val="20"/>
                <w:color w:val="auto"/>
              </w:rPr>
            </w:pPr>
            <w:r>
              <w:rPr>
                <w:rFonts w:ascii="Arial" w:cs="Arial" w:eastAsia="Arial" w:hAnsi="Arial"/>
                <w:sz w:val="11"/>
                <w:szCs w:val="11"/>
                <w:color w:val="auto"/>
              </w:rPr>
              <w:t>Associates, Inc.</w:t>
            </w:r>
            <w:r>
              <w:rPr>
                <w:rFonts w:ascii="Arial" w:cs="Arial" w:eastAsia="Arial" w:hAnsi="Arial"/>
                <w:sz w:val="18"/>
                <w:szCs w:val="18"/>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4,254,083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4,254,083</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10.5</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Entities associated with Foundry Group</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3,962,107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11.8</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3,962,107</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BMW i Ventures SCS, SICAV RAIF</w:t>
            </w:r>
            <w:r>
              <w:rPr>
                <w:rFonts w:ascii="Arial" w:cs="Arial" w:eastAsia="Arial" w:hAnsi="Arial"/>
                <w:sz w:val="18"/>
                <w:szCs w:val="18"/>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2,825,254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8.4</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2,825,254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2"/>
          </w:tcPr>
          <w:p>
            <w:pPr>
              <w:spacing w:after="0" w:line="158" w:lineRule="exact"/>
              <w:rPr>
                <w:sz w:val="20"/>
                <w:szCs w:val="20"/>
                <w:color w:val="auto"/>
              </w:rPr>
            </w:pPr>
            <w:r>
              <w:rPr>
                <w:rFonts w:ascii="Arial" w:cs="Arial" w:eastAsia="Arial" w:hAnsi="Arial"/>
                <w:sz w:val="14"/>
                <w:szCs w:val="14"/>
                <w:color w:val="auto"/>
              </w:rPr>
              <w:t>Entities associated with Greenspring Associates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tcPr>
          <w:p>
            <w:pPr>
              <w:ind w:left="160"/>
              <w:spacing w:after="0" w:line="164" w:lineRule="exact"/>
              <w:rPr>
                <w:sz w:val="20"/>
                <w:szCs w:val="20"/>
                <w:color w:val="auto"/>
              </w:rPr>
            </w:pPr>
            <w:r>
              <w:rPr>
                <w:rFonts w:ascii="Arial" w:cs="Arial" w:eastAsia="Arial" w:hAnsi="Arial"/>
                <w:sz w:val="11"/>
                <w:szCs w:val="11"/>
                <w:color w:val="auto"/>
              </w:rPr>
              <w:t>LLC</w:t>
            </w:r>
            <w:r>
              <w:rPr>
                <w:rFonts w:ascii="Arial" w:cs="Arial" w:eastAsia="Arial" w:hAnsi="Arial"/>
                <w:sz w:val="18"/>
                <w:szCs w:val="18"/>
                <w:color w:val="auto"/>
                <w:vertAlign w:val="superscript"/>
              </w:rPr>
              <w:t>(6)</w:t>
            </w:r>
          </w:p>
        </w:tc>
        <w:tc>
          <w:tcPr>
            <w:tcW w:w="760" w:type="dxa"/>
            <w:vAlign w:val="bottom"/>
          </w:tcPr>
          <w:p>
            <w:pPr>
              <w:jc w:val="right"/>
              <w:spacing w:after="0"/>
              <w:rPr>
                <w:sz w:val="20"/>
                <w:szCs w:val="20"/>
                <w:color w:val="auto"/>
              </w:rPr>
            </w:pPr>
            <w:r>
              <w:rPr>
                <w:rFonts w:ascii="Arial" w:cs="Arial" w:eastAsia="Arial" w:hAnsi="Arial"/>
                <w:sz w:val="14"/>
                <w:szCs w:val="14"/>
                <w:color w:val="auto"/>
              </w:rPr>
              <w:t>2,768,466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8.3</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2,768,466</w:t>
            </w:r>
          </w:p>
        </w:tc>
        <w:tc>
          <w:tcPr>
            <w:tcW w:w="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Randolph Altschuler</w:t>
            </w:r>
            <w:r>
              <w:rPr>
                <w:rFonts w:ascii="Arial" w:cs="Arial" w:eastAsia="Arial" w:hAnsi="Arial"/>
                <w:sz w:val="18"/>
                <w:szCs w:val="18"/>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2,566,318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7.6</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1,475,311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2,566,318</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1,475,311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Laurence Zuriff</w:t>
            </w:r>
            <w:r>
              <w:rPr>
                <w:rFonts w:ascii="Arial" w:cs="Arial" w:eastAsia="Arial" w:hAnsi="Arial"/>
                <w:sz w:val="18"/>
                <w:szCs w:val="18"/>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4"/>
                <w:szCs w:val="14"/>
                <w:color w:val="auto"/>
              </w:rPr>
              <w:t>2,132,903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6.4</w:t>
            </w:r>
          </w:p>
        </w:tc>
        <w:tc>
          <w:tcPr>
            <w:tcW w:w="680" w:type="dxa"/>
            <w:vAlign w:val="bottom"/>
          </w:tcPr>
          <w:p>
            <w:pPr>
              <w:jc w:val="center"/>
              <w:spacing w:after="0"/>
              <w:rPr>
                <w:sz w:val="20"/>
                <w:szCs w:val="20"/>
                <w:color w:val="auto"/>
              </w:rPr>
            </w:pPr>
            <w:r>
              <w:rPr>
                <w:rFonts w:ascii="Arial" w:cs="Arial" w:eastAsia="Arial" w:hAnsi="Arial"/>
                <w:sz w:val="14"/>
                <w:szCs w:val="14"/>
                <w:color w:val="auto"/>
              </w:rPr>
              <w:t>1,200,843</w:t>
            </w: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44.9</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30.0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2,132,903</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1,200,843</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44.9</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4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Directors, Director Nominee and Named Executive Officers:</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Randolph Altschuler</w:t>
            </w:r>
            <w:r>
              <w:rPr>
                <w:rFonts w:ascii="Arial" w:cs="Arial" w:eastAsia="Arial" w:hAnsi="Arial"/>
                <w:sz w:val="18"/>
                <w:szCs w:val="18"/>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2,566,318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7.6</w:t>
            </w:r>
          </w:p>
        </w:tc>
        <w:tc>
          <w:tcPr>
            <w:tcW w:w="680" w:type="dxa"/>
            <w:vAlign w:val="bottom"/>
          </w:tcPr>
          <w:p>
            <w:pPr>
              <w:jc w:val="center"/>
              <w:spacing w:after="0"/>
              <w:rPr>
                <w:sz w:val="20"/>
                <w:szCs w:val="20"/>
                <w:color w:val="auto"/>
              </w:rPr>
            </w:pPr>
            <w:r>
              <w:rPr>
                <w:rFonts w:ascii="Arial" w:cs="Arial" w:eastAsia="Arial" w:hAnsi="Arial"/>
                <w:sz w:val="14"/>
                <w:szCs w:val="14"/>
                <w:color w:val="auto"/>
              </w:rPr>
              <w:t>1,475,311</w:t>
            </w: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55.1</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36.8</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2,566,318</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1,475,311</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James Rallo</w:t>
            </w:r>
            <w:r>
              <w:rPr>
                <w:rFonts w:ascii="Arial" w:cs="Arial" w:eastAsia="Arial" w:hAnsi="Arial"/>
                <w:sz w:val="18"/>
                <w:szCs w:val="18"/>
                <w:color w:val="auto"/>
                <w:vertAlign w:val="superscript"/>
              </w:rPr>
              <w:t>(9)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143,381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143,381</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Peter Goguen</w:t>
            </w:r>
            <w:r>
              <w:rPr>
                <w:rFonts w:ascii="Arial" w:cs="Arial" w:eastAsia="Arial" w:hAnsi="Arial"/>
                <w:sz w:val="18"/>
                <w:szCs w:val="18"/>
                <w:color w:val="auto"/>
                <w:vertAlign w:val="superscript"/>
              </w:rPr>
              <w:t>(10)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93,750</w:t>
            </w: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93,750</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Laurence Zuriff</w:t>
            </w:r>
            <w:r>
              <w:rPr>
                <w:rFonts w:ascii="Arial" w:cs="Arial" w:eastAsia="Arial" w:hAnsi="Arial"/>
                <w:sz w:val="18"/>
                <w:szCs w:val="18"/>
                <w:color w:val="auto"/>
                <w:vertAlign w:val="superscript"/>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2,132,903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6.4</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1,200,843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44.9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2,132,903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1,200,843</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George Hornig</w:t>
            </w:r>
            <w:r>
              <w:rPr>
                <w:rFonts w:ascii="Arial" w:cs="Arial" w:eastAsia="Arial" w:hAnsi="Arial"/>
                <w:sz w:val="18"/>
                <w:szCs w:val="18"/>
                <w:color w:val="auto"/>
                <w:vertAlign w:val="superscript"/>
              </w:rPr>
              <w:t>(11)</w:t>
            </w:r>
          </w:p>
        </w:tc>
        <w:tc>
          <w:tcPr>
            <w:tcW w:w="760" w:type="dxa"/>
            <w:vAlign w:val="bottom"/>
          </w:tcPr>
          <w:p>
            <w:pPr>
              <w:jc w:val="right"/>
              <w:spacing w:after="0"/>
              <w:rPr>
                <w:sz w:val="20"/>
                <w:szCs w:val="20"/>
                <w:color w:val="auto"/>
              </w:rPr>
            </w:pPr>
            <w:r>
              <w:rPr>
                <w:rFonts w:ascii="Arial" w:cs="Arial" w:eastAsia="Arial" w:hAnsi="Arial"/>
                <w:sz w:val="14"/>
                <w:szCs w:val="14"/>
                <w:color w:val="auto"/>
              </w:rPr>
              <w:t>127,925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127,925</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Emily Rollins</w:t>
            </w:r>
            <w:r>
              <w:rPr>
                <w:rFonts w:ascii="Arial" w:cs="Arial" w:eastAsia="Arial" w:hAnsi="Arial"/>
                <w:sz w:val="18"/>
                <w:szCs w:val="18"/>
                <w:color w:val="auto"/>
                <w:vertAlign w:val="superscript"/>
              </w:rPr>
              <w:t>(12)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5,833</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5,833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Deborah Bial</w:t>
            </w:r>
            <w:r>
              <w:rPr>
                <w:rFonts w:ascii="Arial" w:cs="Arial" w:eastAsia="Arial" w:hAnsi="Arial"/>
                <w:sz w:val="18"/>
                <w:szCs w:val="18"/>
                <w:color w:val="auto"/>
                <w:vertAlign w:val="superscript"/>
              </w:rPr>
              <w:t>(13)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14,583</w:t>
            </w: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14,583</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Craig Driscoll</w:t>
            </w:r>
            <w:r>
              <w:rPr>
                <w:rFonts w:ascii="Arial" w:cs="Arial" w:eastAsia="Arial" w:hAnsi="Arial"/>
                <w:sz w:val="18"/>
                <w:szCs w:val="18"/>
                <w:color w:val="auto"/>
                <w:vertAlign w:val="superscript"/>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5,978,793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17.9</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5,978,793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14.8</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Fabio Rosati</w:t>
            </w:r>
            <w:r>
              <w:rPr>
                <w:rFonts w:ascii="Arial" w:cs="Arial" w:eastAsia="Arial" w:hAnsi="Arial"/>
                <w:sz w:val="18"/>
                <w:szCs w:val="18"/>
                <w:color w:val="auto"/>
                <w:vertAlign w:val="superscript"/>
              </w:rPr>
              <w:t>(14)</w:t>
            </w:r>
          </w:p>
        </w:tc>
        <w:tc>
          <w:tcPr>
            <w:tcW w:w="760" w:type="dxa"/>
            <w:vAlign w:val="bottom"/>
          </w:tcPr>
          <w:p>
            <w:pPr>
              <w:jc w:val="right"/>
              <w:spacing w:after="0"/>
              <w:rPr>
                <w:sz w:val="20"/>
                <w:szCs w:val="20"/>
                <w:color w:val="auto"/>
              </w:rPr>
            </w:pPr>
            <w:r>
              <w:rPr>
                <w:rFonts w:ascii="Arial" w:cs="Arial" w:eastAsia="Arial" w:hAnsi="Arial"/>
                <w:sz w:val="14"/>
                <w:szCs w:val="14"/>
                <w:color w:val="auto"/>
              </w:rPr>
              <w:t>106,508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106,508</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Katharine Weymouth</w:t>
            </w:r>
            <w:r>
              <w:rPr>
                <w:rFonts w:ascii="Arial" w:cs="Arial" w:eastAsia="Arial" w:hAnsi="Arial"/>
                <w:sz w:val="18"/>
                <w:szCs w:val="18"/>
                <w:color w:val="auto"/>
                <w:vertAlign w:val="superscript"/>
              </w:rPr>
              <w:t>(15)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14,583</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14,583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Ranjana Clark</w:t>
            </w:r>
            <w:r>
              <w:rPr>
                <w:rFonts w:ascii="Arial" w:cs="Arial" w:eastAsia="Arial" w:hAnsi="Arial"/>
                <w:sz w:val="18"/>
                <w:szCs w:val="18"/>
                <w:color w:val="auto"/>
                <w:vertAlign w:val="superscript"/>
              </w:rPr>
              <w:t>(16)</w:t>
            </w:r>
          </w:p>
        </w:tc>
        <w:tc>
          <w:tcPr>
            <w:tcW w:w="920" w:type="dxa"/>
            <w:vAlign w:val="bottom"/>
            <w:gridSpan w:val="3"/>
          </w:tcPr>
          <w:p>
            <w:pPr>
              <w:jc w:val="center"/>
              <w:ind w:left="229"/>
              <w:spacing w:after="0"/>
              <w:rPr>
                <w:sz w:val="20"/>
                <w:szCs w:val="20"/>
                <w:color w:val="auto"/>
              </w:rPr>
            </w:pPr>
            <w:r>
              <w:rPr>
                <w:rFonts w:ascii="Arial" w:cs="Arial" w:eastAsia="Arial" w:hAnsi="Arial"/>
                <w:sz w:val="14"/>
                <w:szCs w:val="14"/>
                <w:color w:val="auto"/>
                <w:w w:val="99"/>
              </w:rPr>
              <w:t>—</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center"/>
              <w:ind w:left="209"/>
              <w:spacing w:after="0"/>
              <w:rPr>
                <w:sz w:val="20"/>
                <w:szCs w:val="20"/>
                <w:color w:val="auto"/>
              </w:rPr>
            </w:pPr>
            <w:r>
              <w:rPr>
                <w:rFonts w:ascii="Arial" w:cs="Arial" w:eastAsia="Arial" w:hAnsi="Arial"/>
                <w:sz w:val="14"/>
                <w:szCs w:val="14"/>
                <w:color w:val="auto"/>
                <w:w w:val="99"/>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All directors and executive officers as a group</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shd w:val="clear" w:color="auto" w:fill="CCEEFF"/>
          </w:tcPr>
          <w:p>
            <w:pPr>
              <w:ind w:left="160"/>
              <w:spacing w:after="0" w:line="163" w:lineRule="exact"/>
              <w:rPr>
                <w:sz w:val="20"/>
                <w:szCs w:val="20"/>
                <w:color w:val="auto"/>
              </w:rPr>
            </w:pPr>
            <w:r>
              <w:rPr>
                <w:rFonts w:ascii="Arial" w:cs="Arial" w:eastAsia="Arial" w:hAnsi="Arial"/>
                <w:sz w:val="11"/>
                <w:szCs w:val="11"/>
                <w:color w:val="auto"/>
              </w:rPr>
              <w:t>(13 persons)</w:t>
            </w:r>
            <w:r>
              <w:rPr>
                <w:rFonts w:ascii="Arial" w:cs="Arial" w:eastAsia="Arial" w:hAnsi="Arial"/>
                <w:sz w:val="18"/>
                <w:szCs w:val="18"/>
                <w:color w:val="auto"/>
                <w:vertAlign w:val="superscript"/>
              </w:rPr>
              <w:t>(17)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11,525,795</w:t>
            </w:r>
          </w:p>
        </w:tc>
        <w:tc>
          <w:tcPr>
            <w:tcW w:w="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2,676,154</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11,525,795</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28.2</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2,676,154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00" w:right="220" w:hanging="433"/>
        <w:spacing w:after="0" w:line="239" w:lineRule="auto"/>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ind w:left="600" w:right="60" w:hanging="433"/>
        <w:spacing w:after="0" w:line="241" w:lineRule="auto"/>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(a) 3,621,393 shares of Class A common stock held by Highland Capital Partners 9 Limited Partnership, or HCP 9, (b) 1,559,876 shares of Class A common stock held by Highland Capital Partners 9-B Limited Partnership, or HCP 9-B, (c) 316,096 shares of Class A common stock held by Highland Entrepreneurs Fund 9 Limited Partnership, or HEF 9, and (d) 481,428 shares of Class A common stock held by Highland Leaders Fund I, Limited Partnership, or HLF I. Highland Management Partners 9 Limited Partnership, or HMP 9 L.P., is the general partner of HCP 9, HCP 9-B and HEF 9, which we collectively refer to as the Highland Capital 9 Investing Entities. Highland Management Partners 9, LLC, or HMP 9 LLC, is the general partner of HMP 9 L.P. Robert Davis, Dan Nova, Paul Maeder and Corey Malloy are the managing members of HMP 9 LLC and have shared voting and investment power over investment decisions of HMP 9 LLC, and as such, may be deemed to have beneficial ownership of the shares held by the Highland Capital 9 Investing Entities by virtue of their status as controlling persons of HMP 9 LLC. Each managing member of HMP 9 LLC disclaims beneficial ownership of the shares held by the Highland 9 Investing Entities, except to the extent of each such Managing Member’s pecuniary interest therein.</w:t>
      </w:r>
    </w:p>
    <w:p>
      <w:pPr>
        <w:spacing w:after="0" w:line="109" w:lineRule="exact"/>
        <w:rPr>
          <w:rFonts w:ascii="Arial" w:cs="Arial" w:eastAsia="Arial" w:hAnsi="Arial"/>
          <w:sz w:val="14"/>
          <w:szCs w:val="14"/>
          <w:color w:val="auto"/>
        </w:rPr>
      </w:pPr>
    </w:p>
    <w:p>
      <w:pPr>
        <w:ind w:left="600" w:right="180"/>
        <w:spacing w:after="0" w:line="241" w:lineRule="auto"/>
        <w:rPr>
          <w:rFonts w:ascii="Arial" w:cs="Arial" w:eastAsia="Arial" w:hAnsi="Arial"/>
          <w:sz w:val="14"/>
          <w:szCs w:val="14"/>
          <w:color w:val="auto"/>
        </w:rPr>
      </w:pPr>
      <w:r>
        <w:rPr>
          <w:rFonts w:ascii="Arial" w:cs="Arial" w:eastAsia="Arial" w:hAnsi="Arial"/>
          <w:sz w:val="14"/>
          <w:szCs w:val="14"/>
          <w:color w:val="auto"/>
        </w:rPr>
        <w:t>Highland Leaders Fund I GP, Limited Partnership, or Highland Leaders L.P., is the general partner of the HLF I. Highland Leaders Fund I GP, LLC, or Highland Leaders LLC, is the general partner of Highland Leaders L.P. Robert Davis, Craig Driscoll, Dan Nova, Paul Maeder and Corey Malloy are the managing members of Highland Leaders LLC and have shared voting and investment power over investment decisions of Highland Leaders LLC, and as such, may be deemed to have beneficial ownership of the shares held by the HLF I by virtue of their status as controlling persons of Highland Leaders LLC. Each managing member of Highland Leaders LLC disclaims beneficial ownership of the shares held by the HLF I, except to the extent of each such individual’s pecuniary interest therein. As a general partner of Highland Capital Partners, Craig Driscoll, a member of our board of directors, may also be deemed to have beneficial ownership of the shares held by Highland Capital 9 Investing</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60"/>
        <w:spacing w:after="0" w:line="239" w:lineRule="auto"/>
        <w:rPr>
          <w:sz w:val="20"/>
          <w:szCs w:val="20"/>
          <w:color w:val="auto"/>
        </w:rPr>
      </w:pPr>
      <w:r>
        <w:rPr>
          <w:rFonts w:ascii="Arial" w:cs="Arial" w:eastAsia="Arial" w:hAnsi="Arial"/>
          <w:sz w:val="14"/>
          <w:szCs w:val="14"/>
          <w:color w:val="auto"/>
        </w:rPr>
        <w:t>Entities and HLF I. Craig Driscoll disclaims beneficial ownership of the shares held by such entities, except to the extent of his pecuniary interest therein. The address of each of these entities is One Broadway, 16th Floor, Cambridge, Massachusetts 02142.</w:t>
      </w:r>
    </w:p>
    <w:p>
      <w:pPr>
        <w:ind w:left="600" w:right="10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28,133 shares of Class A common stock held by Costco 401(k) Retirement Plan, (b) 23,060 shares of Class A common stock held by MassMutual Select Funds - MassMutual Select T. Rowe Price Small and Mid Cap Blend Fund, (c) 6,728 shares of Class A common stock held by Minnesota Life Insurance Company,</w:t>
      </w:r>
    </w:p>
    <w:p>
      <w:pPr>
        <w:jc w:val="both"/>
        <w:ind w:left="600" w:right="320" w:hanging="5"/>
        <w:spacing w:after="0" w:line="239" w:lineRule="auto"/>
        <w:tabs>
          <w:tab w:leader="none" w:pos="814" w:val="left"/>
        </w:tabs>
        <w:numPr>
          <w:ilvl w:val="1"/>
          <w:numId w:val="71"/>
        </w:numPr>
        <w:rPr>
          <w:rFonts w:ascii="Arial" w:cs="Arial" w:eastAsia="Arial" w:hAnsi="Arial"/>
          <w:sz w:val="14"/>
          <w:szCs w:val="14"/>
          <w:color w:val="auto"/>
        </w:rPr>
      </w:pPr>
      <w:r>
        <w:rPr>
          <w:rFonts w:ascii="Arial" w:cs="Arial" w:eastAsia="Arial" w:hAnsi="Arial"/>
          <w:sz w:val="14"/>
          <w:szCs w:val="14"/>
          <w:color w:val="auto"/>
        </w:rPr>
        <w:t>307,867 shares of Class A common stock held by T. Rowe Price Institutional Small-Cap Stock Fund, (b) 624 shares of Class A common stock held by T. Rowe Price Moderate Allocation Portfolio, (e) 2,115,564 shares of Class A common stock held by T. Rowe Price New Horizons Fund, Inc., (f) 180,584 shares of Class A common stock held by T. Rowe Price New Horizons Trust, (g) 584,987 shares of Class A common stock held by T. Rowe Price Small-Cap Stock Fund, Inc.,</w:t>
      </w:r>
    </w:p>
    <w:p>
      <w:pPr>
        <w:ind w:left="600" w:right="40" w:hanging="5"/>
        <w:spacing w:after="0" w:line="239" w:lineRule="auto"/>
        <w:tabs>
          <w:tab w:leader="none" w:pos="814" w:val="left"/>
        </w:tabs>
        <w:numPr>
          <w:ilvl w:val="1"/>
          <w:numId w:val="72"/>
        </w:numPr>
        <w:rPr>
          <w:rFonts w:ascii="Arial" w:cs="Arial" w:eastAsia="Arial" w:hAnsi="Arial"/>
          <w:sz w:val="14"/>
          <w:szCs w:val="14"/>
          <w:color w:val="auto"/>
        </w:rPr>
      </w:pPr>
      <w:r>
        <w:rPr>
          <w:rFonts w:ascii="Arial" w:cs="Arial" w:eastAsia="Arial" w:hAnsi="Arial"/>
          <w:sz w:val="14"/>
          <w:szCs w:val="14"/>
          <w:color w:val="auto"/>
        </w:rPr>
        <w:t>561,828 shares of Class A common stock held by T. Rowe Price Small-Cap Value Fund, Inc., (i) 5,224 shares of Class A common stock held by T. Rowe Price Spectrum Conservative Allocation Fund, (j) 8,213 shares of Class A common stock held by T. Rowe Price Spectrum Moderate Allocation Fund, (k) 13,856 shares of Class A common stock held by T. Rowe Price Spectrum Moderate Growth Allocation Fund, (l) 28,062 shares of Class A common stock held by T. Rowe Price U.S. Equities Trust, (m) 150,968 shares of Class A common stock held by T. Rowe Price Small-Cap Core Equity Trust, (n) 178,239 shares of Class A common stock held by T. Rowe Price Small-Cap Value Equity Trust, (o) 24,899 shares of Class A common stock held by TD Mutual Funds - TD U.S. Small-Cap Equity Fund, (p) 28,797 shares of Class A common stock held by U.S. Small-Cap Stock Trust and (q) 6,450 shares of Class A common stock held by VALIC Company I - Small Cap Fund. T. Rowe Price Associates, Inc., or TRPA, serves as investment advisor with power to direct investments and/or sole power to vote the shares held by the funds and accounts listed above. TRPA is the wholly owned subsidiary of T. Rowe Price Group, Inc., which is a publicly traded financial services holding company. T. Rowe Price Investment Services, Inc., or TRPIS, a registered broker-dealer and FINRA member, is a subsidiary of TRPA. TRPIS was formed primarily for the limited purpose of acting as the principal underwriter and distributor of shares of the funds in the TRPG fund family. TRPIS does not engage in underwriting or market-making activities involving individual securities. TRPG provides brokerage services through TRPIS primarily to complement the other services provided to shareholders of the TRPG funds. The address of each of these entities is 100 East Pratt Street, Baltimore, Maryland 21202.</w:t>
      </w:r>
    </w:p>
    <w:p>
      <w:pPr>
        <w:spacing w:after="0" w:line="1" w:lineRule="exact"/>
        <w:rPr>
          <w:rFonts w:ascii="Arial" w:cs="Arial" w:eastAsia="Arial" w:hAnsi="Arial"/>
          <w:sz w:val="14"/>
          <w:szCs w:val="14"/>
          <w:color w:val="auto"/>
        </w:rPr>
      </w:pPr>
    </w:p>
    <w:p>
      <w:pPr>
        <w:ind w:left="600" w:hanging="433"/>
        <w:spacing w:after="0" w:line="239"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(a) 3,427,779 shares of Class A common stock held by Foundry Group Next 2018, L.P. and (b) 534,328 shares of Class A common stock held by Foundry Venture Capital 2016, L.P. FG Next FGP 2018, LLC, or FG Next LLC, is the general partner of Foundry Group Next 2018, L.P. Brad Feld, Seth Levine, Ryan McIntyre, Lindel Eakman and Chris Moody are the managing members of FG Next GP 2018, LLC, FG Next LLC, and as such, may be deemed to share voting and investment power over the shares held by Foundry Group Next 2018, L.P. Foundry Venture 2016 LLC, or Foundry Venture LLC, is the general partner of Foundry Venture Capital 2016, L.P. Brad Feld, Seth Levine and Ryan McIntyre are managing members of Foundry Venture 2016, LLC, and as such, may be deemed to share voting and investment power over the shares held by Foundry Venture Capital 2016, L.P. The address of each of these entities is 700 Front Street, Suite 104, Louisville, Colorado 80027.</w:t>
      </w:r>
    </w:p>
    <w:p>
      <w:pPr>
        <w:spacing w:after="0" w:line="1" w:lineRule="exact"/>
        <w:rPr>
          <w:rFonts w:ascii="Arial" w:cs="Arial" w:eastAsia="Arial" w:hAnsi="Arial"/>
          <w:sz w:val="14"/>
          <w:szCs w:val="14"/>
          <w:color w:val="auto"/>
        </w:rPr>
      </w:pPr>
    </w:p>
    <w:p>
      <w:pPr>
        <w:ind w:left="600" w:right="160" w:hanging="433"/>
        <w:spacing w:after="0" w:line="239"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2,825,254 shares of Class A common stock held by BMW i Ventures SCS, SICAV RAIF. BMW i Ventures, Inc. has power to direct investments and/or vote the shares held by BMW i Ventures SCS, SICAV RAIF. BMW i Ventures, Inc. is the corporate venture capital investment arm of BMW Group. The address of each of these entities is 2606 Bayshore Pkwy, Mountain View, California 94043.</w:t>
      </w:r>
    </w:p>
    <w:p>
      <w:pPr>
        <w:ind w:left="600" w:right="140" w:hanging="433"/>
        <w:spacing w:after="0" w:line="239"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(a) 1,071,727 shares of Class A common stock held by Greenspring Global Partners IX-A, L.P., or GGPIX-A, (b) 35,058 shares of Class A common stock held by Greenspring Global Partners IX-C, L.P., or GGPIX-C, (c) 1,526,951 shares of Class A common stock held by Greenspring Opportunities V, L.P., or GOV, and</w:t>
      </w:r>
    </w:p>
    <w:p>
      <w:pPr>
        <w:ind w:left="600" w:right="100" w:hanging="5"/>
        <w:spacing w:after="0" w:line="239" w:lineRule="auto"/>
        <w:tabs>
          <w:tab w:leader="none" w:pos="814" w:val="left"/>
        </w:tabs>
        <w:numPr>
          <w:ilvl w:val="1"/>
          <w:numId w:val="73"/>
        </w:numPr>
        <w:rPr>
          <w:rFonts w:ascii="Arial" w:cs="Arial" w:eastAsia="Arial" w:hAnsi="Arial"/>
          <w:sz w:val="14"/>
          <w:szCs w:val="14"/>
          <w:color w:val="auto"/>
        </w:rPr>
      </w:pPr>
      <w:r>
        <w:rPr>
          <w:rFonts w:ascii="Arial" w:cs="Arial" w:eastAsia="Arial" w:hAnsi="Arial"/>
          <w:sz w:val="14"/>
          <w:szCs w:val="14"/>
          <w:color w:val="auto"/>
        </w:rPr>
        <w:t>134,730 shares of Class A common stock held by Greenspring Opportunities V-D, L.P., or GOV-D. GGPIX-A, GGPIX-C, GOV and GOV-D are collectively referred to as the Greenspring Funds. Greenspring Associates, LLC is the investment manager of the Greenspring Funds. Ashton Newhall and James Lim are managing general partners of Greenspring Associates, LLC. The address of each of these entities is 100 Painters Mill Rd. Owings Mills, Maryland 21117.</w:t>
      </w:r>
    </w:p>
    <w:p>
      <w:pPr>
        <w:ind w:left="600" w:right="40" w:hanging="433"/>
        <w:spacing w:after="0" w:line="239"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(a) 1,475,311 shares of Class B common stock held directly by Mr. Altschuler, (b)(i) 188,509 shares of Class A common stock underlying outstanding options held by Mr. Altschuler that are immediately exercisable or will be immediately exercisable within 60 days of May 30, 2021, (ii) 105,000 shares of Class A common stock held by the 2021 Tigers Trust, over which Mr. Altschuler may be deemed to exercise voting control, (iii) 347,222 shares of Class A common stock held by the Matthew Sladkin Altschuler 2012 Trust, over which Mr. Altschuler may be deemed to exercise voting control, (iv) 347,222 shares of Class A common stock held by the Noah Sladkin Altschuler 2012 Trust, over which Mr. Altschuler may be deemed to exercise voting control, (v) 347,222 shares of Class A common stock held by the Sasha Sladkin Altschuler 2012 Trust, over which Mr. Altschuler may be deemed to exercise voting control, (vi) 500,000 shares of Class A common stock held by The Altschuler Family Trust (2020), over which Mr. Altschuler may be deemed to exercise voting control, and (vii) 731,143 shares of Class A common stock held by Cheryl Altschuler, Mr. Altschuler’s spouse.</w:t>
      </w:r>
    </w:p>
    <w:p>
      <w:pPr>
        <w:spacing w:after="0" w:line="1" w:lineRule="exact"/>
        <w:rPr>
          <w:rFonts w:ascii="Arial" w:cs="Arial" w:eastAsia="Arial" w:hAnsi="Arial"/>
          <w:sz w:val="14"/>
          <w:szCs w:val="14"/>
          <w:color w:val="auto"/>
        </w:rPr>
      </w:pPr>
    </w:p>
    <w:p>
      <w:pPr>
        <w:jc w:val="both"/>
        <w:ind w:left="600" w:hanging="433"/>
        <w:spacing w:after="0" w:line="239"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(a) 1,200,843 shares of Class B common stock held directly by Mr. Zuriff, (b)(i) 955,407 shares of Class A common stock held directly by Mr. Zuriff, (ii) 76,320 shares of Class A common stock underlying outstanding options held by Mr. Zuriff that are immediately exercisable or will be immediately exercisable within 60 days of May 30, 2021, (iii) 300,000 shares of Class A common stock held by the Jason Eric Zuriff Trust, over which Mr. Zuriff may be deemed to exercise voting control, (iv)</w:t>
      </w:r>
    </w:p>
    <w:p>
      <w:pPr>
        <w:ind w:left="600" w:right="80"/>
        <w:spacing w:after="0" w:line="246" w:lineRule="auto"/>
        <w:rPr>
          <w:rFonts w:ascii="Arial" w:cs="Arial" w:eastAsia="Arial" w:hAnsi="Arial"/>
          <w:sz w:val="14"/>
          <w:szCs w:val="14"/>
          <w:color w:val="auto"/>
        </w:rPr>
      </w:pPr>
      <w:r>
        <w:rPr>
          <w:rFonts w:ascii="Arial" w:cs="Arial" w:eastAsia="Arial" w:hAnsi="Arial"/>
          <w:sz w:val="14"/>
          <w:szCs w:val="14"/>
          <w:color w:val="auto"/>
        </w:rPr>
        <w:t>300,000 shares of Class A common stock held by the Sophie Anna Zuriff Trust, over which Mr. Zuriff may be deemed to exercise voting control, (v) 300,000 shares of Class A common stock held by the Zuriff Family 2020 Trust, over which Mr. Zuriff may be deemed to exercise voting control and (vi) 201,176 shares of Class A common stock held by ZFI Capital, LP, over which Mr. Zuriff may be deemed to exercise voting and dispositive control.</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74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143,381 shares of Class A common stock underlying outstanding options held by Mr. Rallo that are immediately exercisable or will be immediately exercisable within 60 days of May 30, 2021.</w:t>
      </w:r>
    </w:p>
    <w:p>
      <w:pPr>
        <w:ind w:left="600" w:right="42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89,999 shares of Class A common stock held by Mr. Goguen and (b) 3,751 shares of Class A common stock underlying outstanding options held by Mr. Goguen that are immediately exercisable or will be immediately exercisable within 60 days of May 30, 2021.</w:t>
      </w:r>
    </w:p>
    <w:p>
      <w:pPr>
        <w:ind w:left="600" w:hanging="433"/>
        <w:spacing w:after="0"/>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127,925 shares of Class A common stock held by Mr. Hornig.</w:t>
      </w:r>
    </w:p>
    <w:p>
      <w:pPr>
        <w:ind w:left="600" w:right="76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5,833 shares of Class A common stock underlying outstanding options held by Ms. Rollins that are immediately exercisable or will be immediately exercisable within 60 days of May 30, 2021.</w:t>
      </w:r>
    </w:p>
    <w:p>
      <w:pPr>
        <w:ind w:left="600" w:right="10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14,583 shares of Class A common stock underlying outstanding options held by Ms. Bial that are immediately exercisable or will be immediately exercisable within 60 days of May 30, 2021.</w:t>
      </w:r>
    </w:p>
    <w:p>
      <w:pPr>
        <w:ind w:left="600" w:right="52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96,825 shares of Class A common stock held by Mr. Rosati and (b) 9,683 shares of Class A common stock underlying outstanding options held by Mr. Rosati that are immediately exercisable or will be immediately exercisable within 60 days of May 30, 2021.</w:t>
      </w:r>
    </w:p>
    <w:p>
      <w:pPr>
        <w:ind w:left="600" w:right="42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14,583 shares of Class A common stock held by Ms. Weymouth underlying outstanding options that are immediately exercisable or will be immediately exercisable within 60 days of May 30, 2021.</w:t>
      </w:r>
    </w:p>
    <w:p>
      <w:pPr>
        <w:ind w:left="60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amount does not include RSUs awarded to Ms. Clark in June 2021, representing a contingent right to receive shares of our Class A common stock with an aggregate value of $100,000, with the number of shares to be determined using the initial public offering price, effective upon the consummation of this offering. Based on the initial public offering price of $44.00 per share, the RSUs to be granted to Ms. Clark will represent a contingent right to receive 2,272 shares of our Class A common stock. See “Management—Non-Employee Director Compensation” for more information.</w:t>
      </w:r>
    </w:p>
    <w:p>
      <w:pPr>
        <w:ind w:left="600" w:right="140" w:hanging="433"/>
        <w:spacing w:after="0" w:line="246"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2,676,154 shares of Class B common stock held by our directors and executive officers, (b)(i) 11,051,024 shares of Class A common stock held by our directors and executive officers and (ii) 474,771 shares of Class A common stock underlying outstanding options held by our directors and executive officers that are immediately exercisable or will be immediately exercisable within 60 days of May 30, 2021.</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204"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two classes of common stock: Class A common stock and Class B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pacing w:after="0" w:line="202" w:lineRule="exact"/>
        <w:rPr>
          <w:sz w:val="20"/>
          <w:szCs w:val="20"/>
          <w:color w:val="auto"/>
        </w:rPr>
      </w:pPr>
    </w:p>
    <w:p>
      <w:pPr>
        <w:ind w:left="160" w:right="780" w:firstLine="546"/>
        <w:spacing w:after="0" w:line="239" w:lineRule="auto"/>
        <w:rPr>
          <w:sz w:val="20"/>
          <w:szCs w:val="20"/>
          <w:color w:val="auto"/>
        </w:rPr>
      </w:pPr>
      <w:r>
        <w:rPr>
          <w:rFonts w:ascii="Arial" w:cs="Arial" w:eastAsia="Arial" w:hAnsi="Arial"/>
          <w:sz w:val="18"/>
          <w:szCs w:val="18"/>
          <w:color w:val="auto"/>
        </w:rPr>
        <w:t>Upon the completion of this offering, our authorized capital stock will consist of 805,000,000 shares, all with a par value of $0.000001 per share, of which:</w:t>
      </w:r>
    </w:p>
    <w:p>
      <w:pPr>
        <w:spacing w:after="0" w:line="109" w:lineRule="exact"/>
        <w:rPr>
          <w:sz w:val="20"/>
          <w:szCs w:val="20"/>
          <w:color w:val="auto"/>
        </w:rPr>
      </w:pPr>
    </w:p>
    <w:p>
      <w:pPr>
        <w:ind w:left="920" w:hanging="218"/>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750,000,000 shares are designated Class A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5,000,000 shares are designated Class B common stock;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50,000,000 shares are designated preferred stock.</w:t>
      </w:r>
    </w:p>
    <w:p>
      <w:pPr>
        <w:spacing w:after="0" w:line="20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As of March 31, 2021, assuming (i) the reclassification of our outstanding common stock into an aggregate of shares of Class A common stock, (ii) the conversion of all of our outstanding shares of preferred stock into an aggregate of 27,758,941 shares of Class A common stock and (iii) the exchange of an aggregate of 2,676,154 shares of Class A common stock held by our co-founders for an equivalent number of shares of our Class B common stock pursuant to the terms of an exchange agreement to be entered into with us, we had outstanding:</w:t>
      </w:r>
    </w:p>
    <w:p>
      <w:pPr>
        <w:spacing w:after="0" w:line="110" w:lineRule="exact"/>
        <w:rPr>
          <w:sz w:val="20"/>
          <w:szCs w:val="20"/>
          <w:color w:val="auto"/>
        </w:rPr>
      </w:pPr>
    </w:p>
    <w:p>
      <w:pPr>
        <w:ind w:left="920" w:hanging="218"/>
        <w:spacing w:after="0"/>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33,322,281 shares of Class A common stock;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2,676,154 shares of Class B common stock.</w:t>
      </w:r>
    </w:p>
    <w:p>
      <w:pPr>
        <w:spacing w:after="0" w:line="208"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Our outstanding capital stock was held by 177 stockholders of record as of March 31, 2021. Our board of directors will be authorized, without stockholder approval except as required by the listing standards of Nasdaq, to issue additional shares of our capital stock.</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123" w:lineRule="exact"/>
        <w:rPr>
          <w:sz w:val="20"/>
          <w:szCs w:val="20"/>
          <w:color w:val="auto"/>
        </w:rPr>
      </w:pPr>
    </w:p>
    <w:p>
      <w:pPr>
        <w:ind w:left="160" w:right="280" w:firstLine="546"/>
        <w:spacing w:after="0" w:line="234" w:lineRule="auto"/>
        <w:rPr>
          <w:sz w:val="20"/>
          <w:szCs w:val="20"/>
          <w:color w:val="auto"/>
        </w:rPr>
      </w:pPr>
      <w:r>
        <w:rPr>
          <w:rFonts w:ascii="Arial" w:cs="Arial" w:eastAsia="Arial" w:hAnsi="Arial"/>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will vote together as a single class on all matters (including the election of directors) submitted to a vote of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80" w:firstLine="546"/>
        <w:spacing w:after="0" w:line="239"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23" w:lineRule="exact"/>
        <w:rPr>
          <w:sz w:val="20"/>
          <w:szCs w:val="20"/>
          <w:color w:val="auto"/>
        </w:rPr>
      </w:pPr>
    </w:p>
    <w:p>
      <w:pPr>
        <w:ind w:left="160" w:right="140" w:firstLine="546"/>
        <w:spacing w:after="0" w:line="257" w:lineRule="auto"/>
        <w:rPr>
          <w:sz w:val="20"/>
          <w:szCs w:val="20"/>
          <w:color w:val="auto"/>
        </w:rPr>
      </w:pPr>
      <w:r>
        <w:rPr>
          <w:rFonts w:ascii="Arial" w:cs="Arial" w:eastAsia="Arial" w:hAnsi="Arial"/>
          <w:sz w:val="17"/>
          <w:szCs w:val="17"/>
          <w:color w:val="auto"/>
        </w:rPr>
        <w:t>Except as otherwise will be expressly provided in our amended and restated certificate of incorporation that will be in effect on the completion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66" w:lineRule="exact"/>
        <w:rPr>
          <w:sz w:val="20"/>
          <w:szCs w:val="20"/>
          <w:color w:val="auto"/>
        </w:rPr>
      </w:pPr>
    </w:p>
    <w:p>
      <w:pPr>
        <w:ind w:left="160" w:firstLine="546"/>
        <w:spacing w:after="0"/>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preferred stock outstanding at the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82" w:lineRule="exact"/>
        <w:rPr>
          <w:sz w:val="20"/>
          <w:szCs w:val="20"/>
          <w:color w:val="auto"/>
        </w:rPr>
      </w:pPr>
    </w:p>
    <w:p>
      <w:pPr>
        <w:ind w:left="160" w:right="320" w:firstLine="546"/>
        <w:spacing w:after="0"/>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liquidation, dissolution or winding-up, the holders of Class A common stock and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2"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b w:val="1"/>
          <w:bCs w:val="1"/>
          <w:i w:val="1"/>
          <w:iCs w:val="1"/>
          <w:color w:val="auto"/>
        </w:rPr>
        <w:t>Change of Control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Class A common stock and Class B common stock will be treated equally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identically 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w:t>
      </w:r>
    </w:p>
    <w:p>
      <w:pPr>
        <w:spacing w:after="0" w:line="3" w:lineRule="exact"/>
        <w:rPr>
          <w:sz w:val="20"/>
          <w:szCs w:val="20"/>
          <w:color w:val="auto"/>
        </w:rPr>
      </w:pPr>
    </w:p>
    <w:p>
      <w:pPr>
        <w:ind w:left="160" w:right="80" w:firstLine="7"/>
        <w:spacing w:after="0" w:line="234" w:lineRule="auto"/>
        <w:tabs>
          <w:tab w:leader="none" w:pos="4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1" w:lineRule="exact"/>
        <w:rPr>
          <w:sz w:val="20"/>
          <w:szCs w:val="20"/>
          <w:color w:val="auto"/>
        </w:rPr>
      </w:pPr>
    </w:p>
    <w:p>
      <w:pPr>
        <w:ind w:left="160" w:right="240" w:firstLine="546"/>
        <w:spacing w:after="0" w:line="265" w:lineRule="auto"/>
        <w:rPr>
          <w:sz w:val="20"/>
          <w:szCs w:val="20"/>
          <w:color w:val="auto"/>
        </w:rPr>
      </w:pPr>
      <w:r>
        <w:rPr>
          <w:rFonts w:ascii="Arial" w:cs="Arial" w:eastAsia="Arial" w:hAnsi="Arial"/>
          <w:sz w:val="18"/>
          <w:szCs w:val="18"/>
          <w:b w:val="1"/>
          <w:bCs w:val="1"/>
          <w:i w:val="1"/>
          <w:iCs w:val="1"/>
          <w:color w:val="auto"/>
        </w:rPr>
        <w:t>Subdivisions and Combinations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subdivide or combine in any manner outstanding shares of Class A common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common stock, the outstanding shares of the other classes will be subdivided or combined in the same manner.</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3" w:lineRule="exact"/>
        <w:rPr>
          <w:sz w:val="20"/>
          <w:szCs w:val="20"/>
          <w:color w:val="auto"/>
        </w:rPr>
      </w:pPr>
    </w:p>
    <w:p>
      <w:pPr>
        <w:ind w:left="160" w:right="140" w:firstLine="546"/>
        <w:spacing w:after="0" w:line="268" w:lineRule="auto"/>
        <w:rPr>
          <w:sz w:val="20"/>
          <w:szCs w:val="20"/>
          <w:color w:val="auto"/>
        </w:rPr>
      </w:pPr>
      <w:r>
        <w:rPr>
          <w:rFonts w:ascii="Arial" w:cs="Arial" w:eastAsia="Arial" w:hAnsi="Arial"/>
          <w:sz w:val="17"/>
          <w:szCs w:val="17"/>
          <w:color w:val="auto"/>
        </w:rPr>
        <w:t>Our Class A common stock and Class B common stock will not be entitled to preemptive rights, and are not subject to conversion, redemption or sinking fund provisions, except for the conversion provisions with respect to the Class B common stock described below.</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6"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After the completion of this offering, on any transfer of shares of Class B common stock, whether or not for value, each such transferred share will automatically convert into one share of Class A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w:t>
      </w:r>
    </w:p>
    <w:p>
      <w:pPr>
        <w:spacing w:after="0" w:line="195" w:lineRule="exact"/>
        <w:rPr>
          <w:sz w:val="20"/>
          <w:szCs w:val="20"/>
          <w:color w:val="auto"/>
        </w:rPr>
      </w:pPr>
    </w:p>
    <w:p>
      <w:pPr>
        <w:ind w:left="160" w:right="100" w:firstLine="546"/>
        <w:spacing w:after="0" w:line="246" w:lineRule="auto"/>
        <w:rPr>
          <w:sz w:val="20"/>
          <w:szCs w:val="20"/>
          <w:color w:val="auto"/>
        </w:rPr>
      </w:pPr>
      <w:r>
        <w:rPr>
          <w:rFonts w:ascii="Arial" w:cs="Arial" w:eastAsia="Arial" w:hAnsi="Arial"/>
          <w:sz w:val="17"/>
          <w:szCs w:val="17"/>
          <w:color w:val="auto"/>
        </w:rPr>
        <w:t>Any holder’s shares of Class B common stock will convert automatically into Class A common stock, on a one-to-one basis, upon the following: (1) sale or transfer of such share of Class B common stock; (2) the death or incapacity of the Class B common stockholder;</w:t>
      </w:r>
    </w:p>
    <w:p>
      <w:pPr>
        <w:ind w:left="160" w:right="420" w:firstLine="7"/>
        <w:spacing w:after="0" w:line="237" w:lineRule="auto"/>
        <w:tabs>
          <w:tab w:leader="none" w:pos="4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holder’s departure from our board of directors; and (4) on the final conversion date, defined as the earlier of (a) the seventh anniversary of this offering; or (b) the date specified by vote of the holders of a majority of the outstanding shares of Class B common stock.</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Once transferred and converted into Class A common stock, the Class B common stock may not be reissued.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3"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As of March 31, 2021 there were 27,758,941 shares of our preferred stock outstanding. In connection with this offering, each outstanding share of our preferred stock will convert into one share of our Class A common stock and an aggregate of 2,676,154 shares of Class A common stock held by our co-founders will be exchanged for an equivalent number of shares of our Class B common stock pursuant to the terms of an exchange agreement to be entered into with us.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On the completion of this offering and under our amended and restated certificate of incorporation that will be in effect on the completion of this offering,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Options</w:t>
      </w:r>
    </w:p>
    <w:p>
      <w:pPr>
        <w:spacing w:after="0" w:line="230"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As of March 31, 2021, we had outstanding options to purchase 2,742,441 shares of our Class A common stock, with a weighted-average exercise price of approximately $3.43 per share, under our 2016 Plan and 2014 Plan.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60"/>
          </w:cols>
          <w:pgMar w:left="320" w:top="456"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230"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As of March 31, 2021, we had outstanding warrants to purchase 112,026 shares of our Class A common stock, with a weighted-average exercise price of approximately $4.37 per share.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July 17, 2020.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202"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holders of an aggregate of 27,738,301 shares of our Class A common stock and 1,475,311 shares of our Class B common stock will be entitled to certain demand registration rights. At any time beginning 180 days after the completion of this offering, the holders of at least 40% of these shares may, on not more than one occasion, request that we register all or a portion of their shares. Such request for registration must cover shares with an anticipated aggregate offering price, net of underwriting discounts and commissions, of at least $5 million.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3"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connection with this offering, the holders of an aggregate of 27,738,301 shares of our Class A common stock and 1,475,311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3"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holders of an aggregate of 27,738,301 shares of our Class A common stock and 1,475,311 shares of our Class B common stock will be entitled to certain Form S-3 registration rights. The holders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40"/>
          </w:cols>
          <w:pgMar w:left="320" w:top="456"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40"/>
        <w:spacing w:after="0" w:line="237" w:lineRule="auto"/>
        <w:rPr>
          <w:sz w:val="20"/>
          <w:szCs w:val="20"/>
          <w:color w:val="auto"/>
        </w:rPr>
      </w:pPr>
      <w:r>
        <w:rPr>
          <w:rFonts w:ascii="Arial" w:cs="Arial" w:eastAsia="Arial" w:hAnsi="Arial"/>
          <w:sz w:val="18"/>
          <w:szCs w:val="18"/>
          <w:color w:val="auto"/>
        </w:rPr>
        <w:t>of at least 30% of these shares can make a request that we register their shares on Form S-3 if we are qualified to file a registration statement on Form S-3 and if the reasonably anticipated aggregate gross proceeds of the shares offered would equal or exceed $3 million. We will not be required to effect more than two registrations on Form S-3 within any 12-month period.</w:t>
      </w:r>
    </w:p>
    <w:p>
      <w:pPr>
        <w:spacing w:after="0" w:line="39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Anti-Takeover Provisions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amended and restated certificate of incorporation to be effective on the completion of this offering will further provide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202" w:lineRule="exact"/>
        <w:rPr>
          <w:sz w:val="20"/>
          <w:szCs w:val="20"/>
          <w:color w:val="auto"/>
        </w:rPr>
      </w:pPr>
    </w:p>
    <w:p>
      <w:pPr>
        <w:ind w:left="160" w:right="800" w:firstLine="546"/>
        <w:spacing w:after="0" w:line="268" w:lineRule="auto"/>
        <w:rPr>
          <w:sz w:val="20"/>
          <w:szCs w:val="20"/>
          <w:color w:val="auto"/>
        </w:rPr>
      </w:pPr>
      <w:r>
        <w:rPr>
          <w:rFonts w:ascii="Arial" w:cs="Arial" w:eastAsia="Arial" w:hAnsi="Arial"/>
          <w:sz w:val="17"/>
          <w:szCs w:val="17"/>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9"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720"/>
        <w:spacing w:after="0" w:line="237" w:lineRule="auto"/>
        <w:rPr>
          <w:sz w:val="20"/>
          <w:szCs w:val="20"/>
          <w:color w:val="auto"/>
        </w:rPr>
      </w:pPr>
      <w:r>
        <w:rPr>
          <w:rFonts w:ascii="Arial" w:cs="Arial" w:eastAsia="Arial" w:hAnsi="Arial"/>
          <w:sz w:val="18"/>
          <w:szCs w:val="18"/>
          <w:color w:val="auto"/>
        </w:rPr>
        <w:t>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Choice of Forum</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amended and restated certificate of incorporation to be effective on the completion of this offering will provide that the Court of</w:t>
      </w:r>
    </w:p>
    <w:p>
      <w:pPr>
        <w:ind w:left="160"/>
        <w:spacing w:after="0" w:line="238" w:lineRule="auto"/>
        <w:rPr>
          <w:sz w:val="20"/>
          <w:szCs w:val="20"/>
          <w:color w:val="auto"/>
        </w:rPr>
      </w:pPr>
      <w:r>
        <w:rPr>
          <w:rFonts w:ascii="Arial" w:cs="Arial" w:eastAsia="Arial" w:hAnsi="Arial"/>
          <w:sz w:val="18"/>
          <w:szCs w:val="18"/>
          <w:color w:val="auto"/>
        </w:rPr>
        <w:t>Chancery of the State of Delaware be the exclusive forum for actions or proceedings brought under Delaware statutory or common law:</w:t>
      </w:r>
    </w:p>
    <w:p>
      <w:pPr>
        <w:ind w:left="160" w:right="20" w:firstLine="7"/>
        <w:spacing w:after="0" w:line="234" w:lineRule="auto"/>
        <w:tabs>
          <w:tab w:leader="none" w:pos="4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2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Our Class A common stock is currently not listed on any securities exchange. Our Class A common stock has been approved for listing on The Nasdaq Global Select Market under the symbol “XMTR”.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On the completion of this offering, the transfer agent and registrar for our Class A common stock and Class B common stock will be Computershare Trust Company, N.A. The transfer agent’s address is 150 Royall Street, Canton, Massachusetts 02021.</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60"/>
          </w:cols>
          <w:pgMar w:left="320" w:top="456"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our Class A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202"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Based on our shares outstanding as of March 31, 2021, on the completion of this offering, a total of 40,197,281 shares of Class A common stock and 2,676,154 shares of Class B common stock will be outstanding, assuming (i) the reclassification of our outstanding common stock into an aggregate of shares of Class A common stock, (ii) the conversion of all of our outstanding shares of preferred stock into an aggregate of 27,758,941 shares of Class A common stock and (iii) the exchange of an aggregate of 2,676,154 shares of Class A common stock held by our co-founders for an equivalent number of shares of our Class B common stock.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w:t>
      </w:r>
    </w:p>
    <w:p>
      <w:pPr>
        <w:spacing w:after="0" w:line="20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The remaining shares of Class A common stock and all shares of Class B common stock will be, and shares of Class A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204"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Subject to the lock-up and market stand-off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203"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As a result of the lock-up and market stand-off agreements referred to below and the provisions of Rule 144 and Rule 701, based on the number of shares of our common stock outstanding (calculated as of March 31, 2021 on the basis of the assumptions described above), the shares of our common stock (excluding the shares sold in this offering) that will be available for sale in the public market are as follows:</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Approximate Number of Shares</w:t>
      </w:r>
    </w:p>
    <w:p>
      <w:pPr>
        <w:spacing w:after="0" w:line="25" w:lineRule="exact"/>
        <w:rPr>
          <w:sz w:val="20"/>
          <w:szCs w:val="20"/>
          <w:color w:val="auto"/>
        </w:rPr>
      </w:pPr>
    </w:p>
    <w:p>
      <w:pPr>
        <w:jc w:val="both"/>
        <w:ind w:left="160" w:right="680"/>
        <w:spacing w:after="0" w:line="237" w:lineRule="auto"/>
        <w:rPr>
          <w:sz w:val="20"/>
          <w:szCs w:val="20"/>
          <w:color w:val="auto"/>
        </w:rPr>
      </w:pPr>
      <w:r>
        <w:rPr>
          <w:rFonts w:ascii="Arial" w:cs="Arial" w:eastAsia="Arial" w:hAnsi="Arial"/>
          <w:sz w:val="18"/>
          <w:szCs w:val="18"/>
          <w:color w:val="auto"/>
        </w:rPr>
        <w:t>Up to 0.2 million shares held by Company Employees (as defined in the section titled “Underwriting”)</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All remaining shares not previously eligible for sale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726"/>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2208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19" w:lineRule="exact"/>
        <w:rPr>
          <w:sz w:val="20"/>
          <w:szCs w:val="20"/>
          <w:color w:val="auto"/>
        </w:rPr>
      </w:pPr>
    </w:p>
    <w:p>
      <w:pPr>
        <w:ind w:left="6" w:right="420"/>
        <w:spacing w:after="0" w:line="239" w:lineRule="auto"/>
        <w:rPr>
          <w:sz w:val="20"/>
          <w:szCs w:val="20"/>
          <w:color w:val="auto"/>
        </w:rPr>
      </w:pPr>
      <w:r>
        <w:rPr>
          <w:rFonts w:ascii="Arial" w:cs="Arial" w:eastAsia="Arial" w:hAnsi="Arial"/>
          <w:sz w:val="18"/>
          <w:szCs w:val="18"/>
          <w:color w:val="auto"/>
        </w:rPr>
        <w:t>The 30-day anniversary of this prospectus, subject in some cases to limitations under Rule 144 and Rule 701.</w:t>
      </w:r>
    </w:p>
    <w:p>
      <w:pPr>
        <w:spacing w:after="0" w:line="283" w:lineRule="exact"/>
        <w:rPr>
          <w:sz w:val="20"/>
          <w:szCs w:val="20"/>
          <w:color w:val="auto"/>
        </w:rPr>
      </w:pPr>
    </w:p>
    <w:p>
      <w:pPr>
        <w:ind w:left="6" w:right="420"/>
        <w:spacing w:after="0" w:line="246" w:lineRule="auto"/>
        <w:rPr>
          <w:sz w:val="20"/>
          <w:szCs w:val="20"/>
          <w:color w:val="auto"/>
        </w:rPr>
      </w:pPr>
      <w:r>
        <w:rPr>
          <w:rFonts w:ascii="Arial" w:cs="Arial" w:eastAsia="Arial" w:hAnsi="Arial"/>
          <w:sz w:val="17"/>
          <w:szCs w:val="17"/>
          <w:color w:val="auto"/>
        </w:rPr>
        <w:t>The earlier of (i) 181 days after the date of this prospectus, upon expiration of the lock-up agreements referred to below and (ii) if (a) at least 120 days have elapsed since the date of this prospectus, (b) the Company has released its earnings results for the quarterly period during which this offering occurred and</w:t>
      </w:r>
    </w:p>
    <w:p>
      <w:pPr>
        <w:spacing w:after="0" w:line="1" w:lineRule="exact"/>
        <w:rPr>
          <w:sz w:val="20"/>
          <w:szCs w:val="20"/>
          <w:color w:val="auto"/>
        </w:rPr>
      </w:pPr>
    </w:p>
    <w:p>
      <w:pPr>
        <w:ind w:left="6" w:right="340" w:hanging="6"/>
        <w:spacing w:after="0" w:line="237" w:lineRule="auto"/>
        <w:tabs>
          <w:tab w:leader="none" w:pos="2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lock-up period is scheduled to end during the last “open trading window period” under the Company’s insider trading policy that is regularly scheduled to begin prior to the date 180 days after the date of this prospectus, then the</w:t>
      </w:r>
    </w:p>
    <w:p>
      <w:pPr>
        <w:spacing w:after="0" w:line="136"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163</w:t>
      </w:r>
    </w:p>
    <w:p>
      <w:pPr>
        <w:sectPr>
          <w:pgSz w:w="11900" w:h="16838" w:orient="portrait"/>
          <w:cols w:equalWidth="0" w:num="2">
            <w:col w:w="4180" w:space="254"/>
            <w:col w:w="6626"/>
          </w:cols>
          <w:pgMar w:left="320" w:top="456" w:right="51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16510</wp:posOffset>
            </wp:positionV>
            <wp:extent cx="42208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19" w:lineRule="exact"/>
        <w:rPr>
          <w:sz w:val="20"/>
          <w:szCs w:val="20"/>
          <w:color w:val="auto"/>
        </w:rPr>
      </w:pPr>
    </w:p>
    <w:p>
      <w:pPr>
        <w:jc w:val="both"/>
        <w:ind w:left="4440" w:right="40"/>
        <w:spacing w:after="0" w:line="236" w:lineRule="auto"/>
        <w:rPr>
          <w:sz w:val="20"/>
          <w:szCs w:val="20"/>
          <w:color w:val="auto"/>
        </w:rPr>
      </w:pPr>
      <w:r>
        <w:rPr>
          <w:rFonts w:ascii="Arial" w:cs="Arial" w:eastAsia="Arial" w:hAnsi="Arial"/>
          <w:sz w:val="18"/>
          <w:szCs w:val="18"/>
          <w:color w:val="auto"/>
        </w:rPr>
        <w:t>later of (A) the date of the regularly scheduled commencement of the “open trading window period” described above and (B) 120 days after the date of this prospectus; in each case subject in some cases to applicable volume, manner of sale and other limitations under Rule 144 and Rule 701.</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0"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and market stand-off agreements described below.</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and market stand-off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09" w:lineRule="exact"/>
        <w:rPr>
          <w:sz w:val="20"/>
          <w:szCs w:val="20"/>
          <w:color w:val="auto"/>
        </w:rPr>
      </w:pPr>
    </w:p>
    <w:p>
      <w:pPr>
        <w:jc w:val="both"/>
        <w:ind w:left="920" w:right="100" w:hanging="218"/>
        <w:spacing w:after="0" w:line="237"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of the number of Class A common stock then outstanding, which will equal approximately 402,000 shares immediately after this offering, assuming no exercise of the underwriters’ option to purchase additional shares of Class A common stock from us; or</w:t>
      </w:r>
    </w:p>
    <w:p>
      <w:pPr>
        <w:spacing w:after="0" w:line="108" w:lineRule="exact"/>
        <w:rPr>
          <w:rFonts w:ascii="Arial" w:cs="Arial" w:eastAsia="Arial" w:hAnsi="Arial"/>
          <w:sz w:val="18"/>
          <w:szCs w:val="18"/>
          <w:color w:val="auto"/>
        </w:rPr>
      </w:pPr>
    </w:p>
    <w:p>
      <w:pPr>
        <w:ind w:left="920" w:right="100" w:hanging="218"/>
        <w:spacing w:after="0" w:line="23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Global Select Market during the four calendar weeks preceding the filing of a notice on Form 144 with respect to such sale.</w:t>
      </w:r>
    </w:p>
    <w:p>
      <w:pPr>
        <w:spacing w:after="0" w:line="203"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6"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701</w:t>
      </w:r>
    </w:p>
    <w:p>
      <w:pPr>
        <w:spacing w:after="0" w:line="230"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and market stand-off agreements described below.</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S-8 Registration Statements</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intend to file one or more registration statements on Form S-8 under the Securities Act with the SEC to register the offer and sale of shares of our Class A common stock that are issuable under our 2016 Plan and 2021 Plan. These registration statements will become effective immediately on filing. Shares covered by these registration statements will then be eligible for sale in the public markets, subject to vesting restrictions, any applicable lock-up and market stand-off agreements described below, and Rule 144 limitations applicable to affiliates.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Lock-up and Market Stand-off Arrangements</w:t>
      </w:r>
    </w:p>
    <w:p>
      <w:pPr>
        <w:spacing w:after="0" w:line="230" w:lineRule="exact"/>
        <w:rPr>
          <w:sz w:val="20"/>
          <w:szCs w:val="20"/>
          <w:color w:val="auto"/>
        </w:rPr>
      </w:pPr>
    </w:p>
    <w:p>
      <w:pPr>
        <w:ind w:left="160" w:right="120" w:firstLine="546"/>
        <w:spacing w:after="0" w:line="249" w:lineRule="auto"/>
        <w:rPr>
          <w:sz w:val="20"/>
          <w:szCs w:val="20"/>
          <w:color w:val="auto"/>
        </w:rPr>
      </w:pPr>
      <w:r>
        <w:rPr>
          <w:rFonts w:ascii="Arial" w:cs="Arial" w:eastAsia="Arial" w:hAnsi="Arial"/>
          <w:sz w:val="17"/>
          <w:szCs w:val="17"/>
          <w:color w:val="auto"/>
        </w:rPr>
        <w:t>We, and all of our directors, executive officers and the holders of substantially all of our common stock and securities exercisable for or convertible into our Class A common stock outstanding immediately on the completion of this offering, have agreed, or will agree, with the underwriters that, until 180 days after the date of this prospectus, we and they will not, without the prior written consent of Goldman Sachs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Goldman Sachs &amp; Co. LLC and J.P. Morgan Securities LLC may, in its sole discretion, release any of the securities subject to these lock-up and market stand-off agreements at any time.</w:t>
      </w:r>
    </w:p>
    <w:p>
      <w:pPr>
        <w:spacing w:after="0" w:line="19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 We have agreed to enforce all such market stand-off restrictions on behalf of the underwriters and not to amend or waive any such market stand-off provisions during the restricted period without the prior consent of Goldman Sachs &amp; Co. LLC and J.P. Morgan Securities LLC, provided that we may release shares from such restrictions to the extent such shares would be entitled to release under the form of lock-up agreement with the underwriters.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Upon the completion of this offering, the holders of 27,738,301 shares of our Class A common stock and 1,475,311 shares of our Class B common stock,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 Registration Rights” for additional information.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60"/>
          </w:cols>
          <w:pgMar w:left="320" w:top="456"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CLASS A COMMON STOCK</w:t>
      </w:r>
    </w:p>
    <w:p>
      <w:pPr>
        <w:spacing w:after="0" w:line="20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Class A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Class A common stock under the constructive sale provisions of the Code.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Class A common stock as a “capital asset” within the meaning of Section 1221 of the Code (generally, property held for investment).</w:t>
      </w:r>
    </w:p>
    <w:p>
      <w:pPr>
        <w:spacing w:after="0" w:line="206"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Class A common stock pursuant to this offering should consult their own tax advisors concerning the U.S. federal income, gift, estate, and other tax consequences of acquiring, owning, and disposing of our Class A common stock in light of their particular situations as well as any consequences arising under the laws of any other taxing jurisdiction, including any state, local, or non-U.S. tax consequences, or under any applicable income tax treaty.</w:t>
      </w:r>
    </w:p>
    <w:p>
      <w:pPr>
        <w:spacing w:after="0" w:line="204"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109" w:lineRule="exact"/>
        <w:rPr>
          <w:sz w:val="20"/>
          <w:szCs w:val="20"/>
          <w:color w:val="auto"/>
        </w:rPr>
      </w:pPr>
    </w:p>
    <w:p>
      <w:pPr>
        <w:ind w:left="920" w:hanging="21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6" w:right="5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3" w:lineRule="exact"/>
        <w:rPr>
          <w:rFonts w:ascii="Arial" w:cs="Arial" w:eastAsia="Arial" w:hAnsi="Arial"/>
          <w:sz w:val="18"/>
          <w:szCs w:val="18"/>
          <w:color w:val="auto"/>
        </w:rPr>
      </w:pPr>
    </w:p>
    <w:p>
      <w:pPr>
        <w:ind w:left="920" w:right="320" w:hanging="218"/>
        <w:spacing w:after="0" w:line="246"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ind w:left="92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As described in the section titled “Dividend Policy,” we do not anticipate declaring or paying dividends to holders of our Class A common stock in the foreseeable future. However, if we do make distributions of cash or property on our Class A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205"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03" w:lineRule="exact"/>
        <w:rPr>
          <w:sz w:val="20"/>
          <w:szCs w:val="20"/>
          <w:color w:val="auto"/>
        </w:rPr>
      </w:pPr>
    </w:p>
    <w:p>
      <w:pPr>
        <w:jc w:val="both"/>
        <w:ind w:left="160" w:right="40" w:firstLine="546"/>
        <w:spacing w:after="0" w:line="236" w:lineRule="auto"/>
        <w:rPr>
          <w:sz w:val="20"/>
          <w:szCs w:val="20"/>
          <w:color w:val="auto"/>
        </w:rPr>
      </w:pPr>
      <w:r>
        <w:rPr>
          <w:rFonts w:ascii="Arial" w:cs="Arial" w:eastAsia="Arial" w:hAnsi="Arial"/>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6"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Gain on Disposition of Our Class A Common Stock</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Subject to the discussions below regarding backup withholding and foreign accounts, a Non-U.S. Holder generally will not be subject to U.S. federal income tax with respect to gain realized on a sale or other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in our Class A common stock and (2) our Class A common stock is “regularly traded,” as defined by applicable Treasury Regulations, on an established securities market. There can be no assurance that our Class A common stock will qualify as regularly traded on an established securities market. If any gain on your disposition is taxable because we are a United States real property holding corporation and your ownership of our Class A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203"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2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Information returns are required to be filed with the IRS in connection with payments of distributions on our Class A common stock. Unless you comply with certification procedures to establish that you are not a U.S. person, information returns may also be filed with the IRS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202"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204"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CLASS A COMMON STOCK, INCLUDING THE CONSEQUENCES OF ANY RECENT OR PROPOSED CHANGE IN APPLICABLE LAW.</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30"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of Class A common stock indicated in the following table. Goldman Sachs &amp; Co. LLC and J.P. Morgan Securities LLC are the representatives of the underwriters.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Underwriters</w:t>
            </w:r>
          </w:p>
        </w:tc>
        <w:tc>
          <w:tcPr>
            <w:tcW w:w="88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Number of Shares</w:t>
            </w:r>
          </w:p>
        </w:tc>
      </w:tr>
      <w:tr>
        <w:trPr>
          <w:trHeight w:val="187"/>
        </w:trPr>
        <w:tc>
          <w:tcPr>
            <w:tcW w:w="97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Goldman Sachs &amp; Co. LLC</w:t>
            </w:r>
          </w:p>
        </w:tc>
        <w:tc>
          <w:tcPr>
            <w:tcW w:w="11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2,363,066</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1"/>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rPr>
              <w:t>J.P. Morgan Securities LLC</w:t>
            </w: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1,939,830</w:t>
            </w:r>
          </w:p>
        </w:tc>
        <w:tc>
          <w:tcPr>
            <w:tcW w:w="40" w:type="dxa"/>
            <w:vAlign w:val="bottom"/>
          </w:tcPr>
          <w:p>
            <w:pPr>
              <w:spacing w:after="0"/>
              <w:rPr>
                <w:sz w:val="17"/>
                <w:szCs w:val="17"/>
                <w:color w:val="auto"/>
              </w:rPr>
            </w:pPr>
          </w:p>
        </w:tc>
      </w:tr>
      <w:tr>
        <w:trPr>
          <w:trHeight w:val="201"/>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UBS Securities LLC</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917,011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rPr>
              <w:t>Citigroup Global Markets Inc.</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509,259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BofA Securities, Inc.</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445,602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4"/>
        </w:trPr>
        <w:tc>
          <w:tcPr>
            <w:tcW w:w="970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160" w:type="dxa"/>
            <w:vAlign w:val="bottom"/>
          </w:tcPr>
          <w:p>
            <w:pPr>
              <w:jc w:val="right"/>
              <w:spacing w:after="0"/>
              <w:rPr>
                <w:sz w:val="20"/>
                <w:szCs w:val="20"/>
                <w:color w:val="auto"/>
              </w:rPr>
            </w:pPr>
            <w:r>
              <w:rPr>
                <w:rFonts w:ascii="Arial" w:cs="Arial" w:eastAsia="Arial" w:hAnsi="Arial"/>
                <w:sz w:val="18"/>
                <w:szCs w:val="18"/>
                <w:color w:val="auto"/>
              </w:rPr>
              <w:t>318,287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1"/>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rPr>
              <w:t>C.L. King &amp; Associates, Inc.</w:t>
            </w: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31,829</w:t>
            </w:r>
          </w:p>
        </w:tc>
        <w:tc>
          <w:tcPr>
            <w:tcW w:w="40" w:type="dxa"/>
            <w:vAlign w:val="bottom"/>
          </w:tcPr>
          <w:p>
            <w:pPr>
              <w:spacing w:after="0"/>
              <w:rPr>
                <w:sz w:val="17"/>
                <w:szCs w:val="17"/>
                <w:color w:val="auto"/>
              </w:rPr>
            </w:pPr>
          </w:p>
        </w:tc>
      </w:tr>
      <w:tr>
        <w:trPr>
          <w:trHeight w:val="201"/>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Loop Capital Markets LLC</w:t>
            </w:r>
          </w:p>
        </w:tc>
        <w:tc>
          <w:tcPr>
            <w:tcW w:w="11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31,829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7"/>
        </w:trPr>
        <w:tc>
          <w:tcPr>
            <w:tcW w:w="9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6,875,000</w:t>
            </w:r>
          </w:p>
        </w:tc>
        <w:tc>
          <w:tcPr>
            <w:tcW w:w="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The underwriters will receive the same discount on any shares of Class A common stock purchased by such funds and accounts advised or sub-advised by T. Rowe Price Associates, Inc. and one or more funds advised by Capital World Investors as they will on any other shares of Class A common stock sold to the public in this offering.</w:t>
      </w:r>
    </w:p>
    <w:p>
      <w:pPr>
        <w:spacing w:after="0" w:line="210" w:lineRule="exact"/>
        <w:rPr>
          <w:sz w:val="20"/>
          <w:szCs w:val="20"/>
          <w:color w:val="auto"/>
        </w:rPr>
      </w:pPr>
    </w:p>
    <w:p>
      <w:pPr>
        <w:jc w:val="both"/>
        <w:ind w:left="160" w:right="80" w:firstLine="546"/>
        <w:spacing w:after="0" w:line="236" w:lineRule="auto"/>
        <w:rPr>
          <w:sz w:val="20"/>
          <w:szCs w:val="20"/>
          <w:color w:val="auto"/>
        </w:rPr>
      </w:pPr>
      <w:r>
        <w:rPr>
          <w:rFonts w:ascii="Arial" w:cs="Arial" w:eastAsia="Arial" w:hAnsi="Arial"/>
          <w:sz w:val="18"/>
          <w:szCs w:val="18"/>
          <w:color w:val="auto"/>
        </w:rPr>
        <w:t>The underwriters have an option to buy up to an additional 1,031,250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202" w:lineRule="exact"/>
        <w:rPr>
          <w:sz w:val="20"/>
          <w:szCs w:val="20"/>
          <w:color w:val="auto"/>
        </w:rPr>
      </w:pPr>
    </w:p>
    <w:p>
      <w:pPr>
        <w:ind w:left="160" w:right="340" w:firstLine="546"/>
        <w:spacing w:after="0" w:line="237"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 Company. Such amounts are shown assuming both no exercise and full exercise of the underwriters’ option to purchase 1,031,250 additional shares.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Paid by the Company</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194"/>
        </w:trPr>
        <w:tc>
          <w:tcPr>
            <w:tcW w:w="45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Per Share</w:t>
            </w:r>
          </w:p>
        </w:tc>
        <w:tc>
          <w:tcPr>
            <w:tcW w:w="37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2.97</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2.97</w:t>
            </w:r>
          </w:p>
        </w:tc>
        <w:tc>
          <w:tcPr>
            <w:tcW w:w="60" w:type="dxa"/>
            <w:vAlign w:val="bottom"/>
            <w:tcBorders>
              <w:top w:val="single" w:sz="8" w:color="CCEEFF"/>
            </w:tcBorders>
            <w:shd w:val="clear" w:color="auto" w:fill="CCEEFF"/>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20,418,750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23,481,562</w:t>
            </w:r>
          </w:p>
        </w:tc>
        <w:tc>
          <w:tcPr>
            <w:tcW w:w="60" w:type="dxa"/>
            <w:vAlign w:val="bottom"/>
          </w:tcPr>
          <w:p>
            <w:pPr>
              <w:spacing w:after="0"/>
              <w:rPr>
                <w:sz w:val="18"/>
                <w:szCs w:val="18"/>
                <w:color w:val="auto"/>
              </w:rPr>
            </w:pPr>
          </w:p>
        </w:tc>
      </w:tr>
    </w:tbl>
    <w:p>
      <w:pPr>
        <w:spacing w:after="0" w:line="20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 $1.782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4"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our Class A common stock during the period from the date of this prospectus continuing through the date that is 180 days after the date of this prospectus, except with the prior written consent of the representatives, subject to certain exceptions.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Notwithstanding the foregoing,</w:t>
      </w:r>
    </w:p>
    <w:p>
      <w:pPr>
        <w:spacing w:after="0" w:line="114" w:lineRule="exact"/>
        <w:rPr>
          <w:sz w:val="20"/>
          <w:szCs w:val="20"/>
          <w:color w:val="auto"/>
        </w:rPr>
      </w:pPr>
    </w:p>
    <w:p>
      <w:pPr>
        <w:ind w:left="1900" w:right="20" w:hanging="542"/>
        <w:spacing w:after="0" w:line="235" w:lineRule="auto"/>
        <w:tabs>
          <w:tab w:leader="none" w:pos="1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 at least 120 days have elapsed since the date of this prospectus, (b) the Company has released its earnings results for the quarterly period during which this offering occurred and (c) the lock-up period is scheduled to end during the last “open trading window period” under the Company’s insider trading policy that is regularly scheduled to begin prior to the date 180 days after the date of this prospectus, then the last day of the lock-up period will be the later of (A) the trading day immediately prior to the regularly scheduled commencement of the “open trading window period” described above and (B) 120 days after the date of this prospectus; and</w:t>
      </w:r>
    </w:p>
    <w:p>
      <w:pPr>
        <w:spacing w:after="0" w:line="107" w:lineRule="exact"/>
        <w:rPr>
          <w:rFonts w:ascii="Arial" w:cs="Arial" w:eastAsia="Arial" w:hAnsi="Arial"/>
          <w:sz w:val="18"/>
          <w:szCs w:val="18"/>
          <w:color w:val="auto"/>
        </w:rPr>
      </w:pPr>
    </w:p>
    <w:p>
      <w:pPr>
        <w:ind w:left="1900" w:right="80" w:hanging="542"/>
        <w:spacing w:after="0" w:line="236" w:lineRule="auto"/>
        <w:tabs>
          <w:tab w:leader="none" w:pos="1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beginning on the first trading day following the 30-day anniversary of the date of this prospectus, 20% of the aggregate number of shares and vested options held by employees (including former employees, but excluding any current or former directors or officers) of the Company, who we collectively refer to as the Company Employees, will be released from the lock-up restrictions described above.</w:t>
      </w:r>
    </w:p>
    <w:p>
      <w:pPr>
        <w:spacing w:after="0" w:line="202"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lock-up and market stand-off agreements applicable to the Company’s officers, directors and security holders include other exceptions to the restrictions on transfer, including:</w:t>
      </w:r>
    </w:p>
    <w:p>
      <w:pPr>
        <w:spacing w:after="0" w:line="109" w:lineRule="exact"/>
        <w:rPr>
          <w:sz w:val="20"/>
          <w:szCs w:val="20"/>
          <w:color w:val="auto"/>
        </w:rPr>
      </w:pPr>
    </w:p>
    <w:p>
      <w:pPr>
        <w:ind w:left="2020" w:right="20" w:hanging="435"/>
        <w:spacing w:after="0" w:line="235"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as a bona fide gift or gifts or for bona fide estate planning purposes, provided that the donee or donees thereof agree to be bound in writing by the lock-up restrictions,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10" w:lineRule="exact"/>
        <w:rPr>
          <w:rFonts w:ascii="Arial" w:cs="Arial" w:eastAsia="Arial" w:hAnsi="Arial"/>
          <w:sz w:val="18"/>
          <w:szCs w:val="18"/>
          <w:color w:val="auto"/>
        </w:rPr>
      </w:pPr>
    </w:p>
    <w:p>
      <w:pPr>
        <w:ind w:left="2020" w:right="20" w:hanging="435"/>
        <w:spacing w:after="0" w:line="235"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to any trust for the direct or indirect benefit of the lock-up party or an immediate family member, provided that the trustee of the trust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07" w:lineRule="exact"/>
        <w:rPr>
          <w:rFonts w:ascii="Arial" w:cs="Arial" w:eastAsia="Arial" w:hAnsi="Arial"/>
          <w:sz w:val="18"/>
          <w:szCs w:val="18"/>
          <w:color w:val="auto"/>
        </w:rPr>
      </w:pPr>
    </w:p>
    <w:p>
      <w:pPr>
        <w:ind w:left="2020" w:right="440" w:hanging="435"/>
        <w:spacing w:after="0" w:line="239"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upon death or by will, testamentary document or intestate succession, provided that the transferee agrees to be bound in writing by the lock-up</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900" w:right="40"/>
        <w:spacing w:after="0" w:line="235" w:lineRule="auto"/>
        <w:rPr>
          <w:sz w:val="20"/>
          <w:szCs w:val="20"/>
          <w:color w:val="auto"/>
        </w:rPr>
      </w:pPr>
      <w:r>
        <w:rPr>
          <w:rFonts w:ascii="Arial" w:cs="Arial" w:eastAsia="Arial" w:hAnsi="Arial"/>
          <w:sz w:val="18"/>
          <w:szCs w:val="18"/>
          <w:color w:val="auto"/>
        </w:rPr>
        <w:t>restrictions, provided further that any such transfer shall not involve a disposition for value, and provided further that no filing under Section 16(a) of the Exchange Act, reporting such transfer shall be voluntarily made during the lock-up period and if a report under Section 16(a) of the Exchange Act is required to be filed during the lock-up period, such report shall include a statement to the effect that (A) such transfer relates to the circumstances described in this bullet, and (B) the shares received are subject to a lock-up agreement with the underwriters;</w:t>
      </w:r>
    </w:p>
    <w:p>
      <w:pPr>
        <w:spacing w:after="0" w:line="110" w:lineRule="exact"/>
        <w:rPr>
          <w:sz w:val="20"/>
          <w:szCs w:val="20"/>
          <w:color w:val="auto"/>
        </w:rPr>
      </w:pPr>
    </w:p>
    <w:p>
      <w:pPr>
        <w:ind w:left="2020" w:hanging="435"/>
        <w:spacing w:after="0" w:line="236"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transfer of shares in connection with a sale of shares acquired (A) from the underwriters in this offering or (B) in open market transactions after the date of this prospectus, provided that it shall be a condition to the transfer that no filing under Section 16(a) of the Exchange Act, reporting such transfer, shall be required or shall be voluntarily made during the lock-up period;</w:t>
      </w:r>
    </w:p>
    <w:p>
      <w:pPr>
        <w:spacing w:after="0" w:line="108" w:lineRule="exact"/>
        <w:rPr>
          <w:rFonts w:ascii="Arial" w:cs="Arial" w:eastAsia="Arial" w:hAnsi="Arial"/>
          <w:sz w:val="18"/>
          <w:szCs w:val="18"/>
          <w:color w:val="auto"/>
        </w:rPr>
      </w:pPr>
    </w:p>
    <w:p>
      <w:pPr>
        <w:ind w:left="2020" w:hanging="435"/>
        <w:spacing w:after="0" w:line="233"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transfer of shares to the Company in connection with the exercise of options or the vesting or settlement of restricted stock units or other equity awards, including in connection with “net” or “cashless” exercises, or the vesting or settlement of restricted stock units or other rights to purchase shares of common stock, for the payment of tax withholdings or remittance payments due as a result of the exercise of any such options or vesting or settlement of such restricted stock units or other rights to purchase shares of common stock, in all such cases, (A) pursuant to equity awards granted under a stock incentive plan or other equity award plan that is described herein and (B) provided that any shares of common stock received upon such exercise, vesting or settlement, in each case, that are not transferred to cover any such tax obligations shall be subject to the lock-up restrictions described above, provided further, (1) that no filing under Section 16(a) of the Exchange Act shall be required or shall be voluntarily made during the first 90 days after the date of this prospectus in connection with an option exercise described in this bullet unless such option would otherwise expire pursuant to its terms during such time and (2) that any filing under Section 16(a) of the Exchange Act that occurs 90 days after the date of this prospectus, or any other public filing or disclosure of such transfer shall clearly indicate in the footnotes thereto that such transfer relates to the circumstances described in this bullet;</w:t>
      </w:r>
    </w:p>
    <w:p>
      <w:pPr>
        <w:spacing w:after="0" w:line="109" w:lineRule="exact"/>
        <w:rPr>
          <w:rFonts w:ascii="Arial" w:cs="Arial" w:eastAsia="Arial" w:hAnsi="Arial"/>
          <w:sz w:val="18"/>
          <w:szCs w:val="18"/>
          <w:color w:val="auto"/>
        </w:rPr>
      </w:pPr>
    </w:p>
    <w:p>
      <w:pPr>
        <w:ind w:left="2020" w:hanging="435"/>
        <w:spacing w:after="0"/>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lock-up party is a partnership, limited liability company, corporation, trust or other business entity, transfers</w:t>
      </w:r>
    </w:p>
    <w:p>
      <w:pPr>
        <w:ind w:left="2020" w:right="40"/>
        <w:spacing w:after="0" w:line="233" w:lineRule="auto"/>
        <w:rPr>
          <w:rFonts w:ascii="Arial" w:cs="Arial" w:eastAsia="Arial" w:hAnsi="Arial"/>
          <w:sz w:val="18"/>
          <w:szCs w:val="18"/>
          <w:color w:val="auto"/>
        </w:rPr>
      </w:pPr>
      <w:r>
        <w:rPr>
          <w:rFonts w:ascii="Arial" w:cs="Arial" w:eastAsia="Arial" w:hAnsi="Arial"/>
          <w:sz w:val="18"/>
          <w:szCs w:val="18"/>
          <w:color w:val="auto"/>
        </w:rPr>
        <w:t>(A) to another corporation, partnership, limited liability company, trust or other business entity that is an affiliate (within the meaning set forth in Rule 405 as promulgated by the SEC under the Securities Act and including such party’s subsidiaries) of the lock-up party, (B) to any investment fund or other entity controlling, controlled by, managing or managed by or under common control with the locked-up party or affiliates thereof (including, for the avoidance of doubt, where the locked-up party is a partnership, to its general partner or a successor partnership or fund, or any other funds managed by such partnership) or (C) as part of a distribution, transfer or disposition to the locked-up party’s stockholders, limited partners, general partners, limited liability company members or other equityholders or to the estate of any such stockholders, limited partners, general partners, limited liability company members or equityholders; provided that the transferee or distributee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w:t>
      </w:r>
    </w:p>
    <w:p>
      <w:pPr>
        <w:spacing w:after="0" w:line="116" w:lineRule="exact"/>
        <w:rPr>
          <w:rFonts w:ascii="Arial" w:cs="Arial" w:eastAsia="Arial" w:hAnsi="Arial"/>
          <w:sz w:val="18"/>
          <w:szCs w:val="18"/>
          <w:color w:val="auto"/>
        </w:rPr>
      </w:pPr>
    </w:p>
    <w:p>
      <w:pPr>
        <w:ind w:left="2020" w:right="620" w:hanging="435"/>
        <w:spacing w:after="0" w:line="239"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or in connection with a divorce settlement; provided that the transferee agrees to be bound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6"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900"/>
        <w:spacing w:after="0" w:line="237" w:lineRule="auto"/>
        <w:rPr>
          <w:sz w:val="20"/>
          <w:szCs w:val="20"/>
          <w:color w:val="auto"/>
        </w:rPr>
      </w:pPr>
      <w:r>
        <w:rPr>
          <w:rFonts w:ascii="Arial" w:cs="Arial" w:eastAsia="Arial" w:hAnsi="Arial"/>
          <w:sz w:val="18"/>
          <w:szCs w:val="18"/>
          <w:color w:val="auto"/>
        </w:rPr>
        <w:t>in writing by the lock-up restrictions; and provided further that any filings under Section 16(a) of the Exchange Act, or any other public filing or disclosure of such transfer shall clearly indicate in the footnotes thereto that such transfer relates to the circumstances described in this bullet;</w:t>
      </w:r>
    </w:p>
    <w:p>
      <w:pPr>
        <w:spacing w:after="0" w:line="109" w:lineRule="exact"/>
        <w:rPr>
          <w:sz w:val="20"/>
          <w:szCs w:val="20"/>
          <w:color w:val="auto"/>
        </w:rPr>
      </w:pPr>
    </w:p>
    <w:p>
      <w:pPr>
        <w:ind w:left="2020" w:right="40" w:hanging="435"/>
        <w:spacing w:after="0" w:line="235" w:lineRule="auto"/>
        <w:tabs>
          <w:tab w:leader="none" w:pos="2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shares of Common Stock issued pursuant to an employee benefit plan or stock plan disclosed herein or pursuant to the agreements pursuant to which such shares were issued as disclosed herein, in each case, upon termination of the locked-up party’s relationship with the Company; provided that any filings under Section 16(a) of the Exchange Act, or any other public filing or disclosure of such transfer shall clearly indicate in the footnotes thereto that such transfer relates to the circumstances described in this bullet;</w:t>
      </w:r>
    </w:p>
    <w:p>
      <w:pPr>
        <w:spacing w:after="0" w:line="107" w:lineRule="exact"/>
        <w:rPr>
          <w:rFonts w:ascii="Arial" w:cs="Arial" w:eastAsia="Arial" w:hAnsi="Arial"/>
          <w:sz w:val="18"/>
          <w:szCs w:val="18"/>
          <w:color w:val="auto"/>
        </w:rPr>
      </w:pPr>
    </w:p>
    <w:p>
      <w:pPr>
        <w:ind w:left="2020" w:hanging="435"/>
        <w:spacing w:after="0" w:line="234" w:lineRule="auto"/>
        <w:tabs>
          <w:tab w:leader="none" w:pos="2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the Company’s capital stock and approved by the board of directors of the Company, and the result of which is that any person or group of persons becomes the beneficial owner of at least 50% of total voting power of the voting stock of the Company or the surviving entity (a “Change of Control Transaction”); provided that in the event that the Change of Control Transaction is not completed, the locked-up party’s shares shall remain subject to the lock-up provisions; provided, further that so long as the locked-up party’s shares are not transferred, sold or tendered, such shares shall remain subject to the lock-up provisions;</w:t>
      </w:r>
    </w:p>
    <w:p>
      <w:pPr>
        <w:spacing w:after="0" w:line="111" w:lineRule="exact"/>
        <w:rPr>
          <w:rFonts w:ascii="Arial" w:cs="Arial" w:eastAsia="Arial" w:hAnsi="Arial"/>
          <w:sz w:val="18"/>
          <w:szCs w:val="18"/>
          <w:color w:val="auto"/>
        </w:rPr>
      </w:pPr>
    </w:p>
    <w:p>
      <w:pPr>
        <w:ind w:left="2020" w:right="140" w:hanging="435"/>
        <w:spacing w:after="0" w:line="239" w:lineRule="auto"/>
        <w:tabs>
          <w:tab w:leader="none" w:pos="2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transfers with the prior written consent of Goldman Sachs &amp; Co. LLC and J.P. Morgan Securities LLC on behalf of the underwriters; and</w:t>
      </w:r>
    </w:p>
    <w:p>
      <w:pPr>
        <w:spacing w:after="0" w:line="109" w:lineRule="exact"/>
        <w:rPr>
          <w:rFonts w:ascii="Arial" w:cs="Arial" w:eastAsia="Arial" w:hAnsi="Arial"/>
          <w:sz w:val="18"/>
          <w:szCs w:val="18"/>
          <w:color w:val="auto"/>
        </w:rPr>
      </w:pPr>
    </w:p>
    <w:p>
      <w:pPr>
        <w:ind w:left="2020" w:right="100" w:hanging="435"/>
        <w:spacing w:after="0" w:line="236" w:lineRule="auto"/>
        <w:tabs>
          <w:tab w:leader="none" w:pos="2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entry into a written plan meeting the requirements of Rule 10b5-1 under the Exchange Act relating to the transfer, sale or other disposition of securities, if then permitted by the Company, provided that the securities subject to the plan may not be sold during the lock-up period (except to the extent otherwise allowed as described above).</w:t>
      </w:r>
    </w:p>
    <w:p>
      <w:pPr>
        <w:spacing w:after="0" w:line="202"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In addition, Goldman Sachs &amp; Co. LLC and J.P. Morgan Securities LLC may, in their sole discretion, release all or some portion of the shares subject to lock-up and market stand-off agreements prior to the expiration of the lock-up period. See “Shares Available for Future Sale” for a discussion of certain other transfer restrictions.</w:t>
      </w:r>
    </w:p>
    <w:p>
      <w:pPr>
        <w:spacing w:after="0" w:line="20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 We have agreed to enforce all such market stand-off restrictions on behalf of the underwriters and not to amend or waive any such market stand-off provisions during the restricted period without the prior consent of Goldman Sachs &amp; Co. LLC and J.P. Morgan Securities LLC, provided that we may release shares from such restrictions to the extent such shares would be entitled to release under the form of lock-up agreement with the underwriters.</w:t>
      </w:r>
    </w:p>
    <w:p>
      <w:pPr>
        <w:spacing w:after="0" w:line="206"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the Company and the representatives of the underwriters.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20" w:firstLine="546"/>
        <w:spacing w:after="0" w:line="239" w:lineRule="auto"/>
        <w:rPr>
          <w:sz w:val="20"/>
          <w:szCs w:val="20"/>
          <w:color w:val="auto"/>
        </w:rPr>
      </w:pPr>
      <w:r>
        <w:rPr>
          <w:rFonts w:ascii="Arial" w:cs="Arial" w:eastAsia="Arial" w:hAnsi="Arial"/>
          <w:sz w:val="18"/>
          <w:szCs w:val="18"/>
          <w:color w:val="auto"/>
        </w:rPr>
        <w:t>Our Class A common stock has been approved for listing for trading on The Nasdaq Global Select Market under the symbol “XMTR”.</w:t>
      </w:r>
    </w:p>
    <w:p>
      <w:pPr>
        <w:spacing w:after="0" w:line="203" w:lineRule="exact"/>
        <w:rPr>
          <w:sz w:val="20"/>
          <w:szCs w:val="20"/>
          <w:color w:val="auto"/>
        </w:rPr>
      </w:pPr>
    </w:p>
    <w:p>
      <w:pPr>
        <w:ind w:left="160" w:right="140" w:firstLine="546"/>
        <w:spacing w:after="0" w:line="233"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9"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02"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$4.0 million. We have agreed to reimburse the underwriters for expenses relating to clearance of this offering with the Financial Industry Regulatory Authority up to $40,000. In addition, the underwriters have agreed to reimburse us for certain out-of-pocket expenses incurred in connection with this offering.</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of 1933.</w:t>
      </w:r>
    </w:p>
    <w:p>
      <w:pPr>
        <w:spacing w:after="0" w:line="219"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European Economic Area</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0" w:lineRule="exact"/>
        <w:rPr>
          <w:sz w:val="20"/>
          <w:szCs w:val="20"/>
          <w:color w:val="auto"/>
        </w:rPr>
      </w:pPr>
    </w:p>
    <w:p>
      <w:pPr>
        <w:ind w:left="1340" w:hanging="638"/>
        <w:spacing w:after="0"/>
        <w:tabs>
          <w:tab w:leader="none" w:pos="1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3" w:lineRule="exact"/>
        <w:rPr>
          <w:rFonts w:ascii="Arial" w:cs="Arial" w:eastAsia="Arial" w:hAnsi="Arial"/>
          <w:sz w:val="18"/>
          <w:szCs w:val="18"/>
          <w:color w:val="auto"/>
        </w:rPr>
      </w:pPr>
    </w:p>
    <w:p>
      <w:pPr>
        <w:ind w:left="1340" w:right="400" w:hanging="638"/>
        <w:spacing w:after="0" w:line="239" w:lineRule="auto"/>
        <w:tabs>
          <w:tab w:leader="none" w:pos="1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09" w:lineRule="exact"/>
        <w:rPr>
          <w:rFonts w:ascii="Arial" w:cs="Arial" w:eastAsia="Arial" w:hAnsi="Arial"/>
          <w:sz w:val="18"/>
          <w:szCs w:val="18"/>
          <w:color w:val="auto"/>
        </w:rPr>
      </w:pPr>
    </w:p>
    <w:p>
      <w:pPr>
        <w:jc w:val="both"/>
        <w:ind w:left="1340" w:right="20" w:hanging="638"/>
        <w:spacing w:after="0" w:line="237" w:lineRule="auto"/>
        <w:tabs>
          <w:tab w:leader="none" w:pos="1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shares of shares shall require the us or any underwriter to publish a prospectus pursuant to Article 3 of the Prospectus Regulation or supplement a prospectus pursuant to Article 23 of the Prospectus Regulation.</w:t>
      </w:r>
    </w:p>
    <w:p>
      <w:pPr>
        <w:spacing w:after="0" w:line="20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02" w:lineRule="exact"/>
        <w:rPr>
          <w:sz w:val="20"/>
          <w:szCs w:val="20"/>
          <w:color w:val="auto"/>
        </w:rPr>
      </w:pPr>
    </w:p>
    <w:p>
      <w:pPr>
        <w:ind w:left="160" w:right="80" w:firstLine="546"/>
        <w:spacing w:after="0" w:line="257"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40"/>
          </w:cols>
          <w:pgMar w:left="320" w:top="456"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230" w:lineRule="exact"/>
        <w:rPr>
          <w:sz w:val="20"/>
          <w:szCs w:val="20"/>
          <w:color w:val="auto"/>
        </w:rPr>
      </w:pPr>
    </w:p>
    <w:p>
      <w:pPr>
        <w:ind w:left="160" w:right="200" w:firstLine="546"/>
        <w:spacing w:after="0" w:line="251" w:lineRule="auto"/>
        <w:rPr>
          <w:sz w:val="20"/>
          <w:szCs w:val="20"/>
          <w:color w:val="auto"/>
        </w:rPr>
      </w:pPr>
      <w:r>
        <w:rPr>
          <w:rFonts w:ascii="Arial" w:cs="Arial" w:eastAsia="Arial" w:hAnsi="Arial"/>
          <w:sz w:val="17"/>
          <w:szCs w:val="17"/>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01" w:lineRule="exact"/>
        <w:rPr>
          <w:sz w:val="20"/>
          <w:szCs w:val="20"/>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13" w:lineRule="exact"/>
        <w:rPr>
          <w:rFonts w:ascii="Arial" w:cs="Arial" w:eastAsia="Arial" w:hAnsi="Arial"/>
          <w:sz w:val="18"/>
          <w:szCs w:val="18"/>
          <w:color w:val="auto"/>
        </w:rPr>
      </w:pPr>
    </w:p>
    <w:p>
      <w:pPr>
        <w:ind w:left="920" w:right="980" w:hanging="218"/>
        <w:spacing w:after="0" w:line="239"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provided that no such offer of shares shall require the Issuer or any representative to publish a prospectus pursuant to section 85 of the FSMA or supplement a prospectus pursuant to Article 23 of the UK Prospectus Regulation.</w:t>
      </w:r>
    </w:p>
    <w:p>
      <w:pPr>
        <w:spacing w:after="0" w:line="203"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6"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Canada</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6"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57" w:lineRule="auto"/>
        <w:rPr>
          <w:sz w:val="20"/>
          <w:szCs w:val="20"/>
          <w:color w:val="auto"/>
        </w:rPr>
      </w:pPr>
      <w:r>
        <w:rPr>
          <w:rFonts w:ascii="Arial" w:cs="Arial" w:eastAsia="Arial" w:hAnsi="Arial"/>
          <w:sz w:val="17"/>
          <w:szCs w:val="17"/>
          <w:color w:val="auto"/>
        </w:rPr>
        <w:t>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8"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4"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Hong Kong</w:t>
      </w:r>
    </w:p>
    <w:p>
      <w:pPr>
        <w:spacing w:after="0" w:line="23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Singapore</w:t>
      </w:r>
    </w:p>
    <w:p>
      <w:pPr>
        <w:spacing w:after="0" w:line="33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w:t>
      </w:r>
    </w:p>
    <w:p>
      <w:pPr>
        <w:spacing w:after="0" w:line="204"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a corporation (which is not an accredited investor (as defined in Section 4A of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6"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8" w:lineRule="exact"/>
        <w:rPr>
          <w:sz w:val="20"/>
          <w:szCs w:val="20"/>
          <w:color w:val="auto"/>
        </w:rPr>
      </w:pPr>
    </w:p>
    <w:p>
      <w:pPr>
        <w:ind w:left="920" w:right="680" w:hanging="218"/>
        <w:spacing w:after="0" w:line="239"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03" w:lineRule="exact"/>
        <w:rPr>
          <w:sz w:val="20"/>
          <w:szCs w:val="20"/>
          <w:color w:val="auto"/>
        </w:rPr>
      </w:pPr>
    </w:p>
    <w:p>
      <w:pPr>
        <w:ind w:left="160" w:right="160" w:firstLine="546"/>
        <w:spacing w:after="0" w:line="257" w:lineRule="auto"/>
        <w:rPr>
          <w:sz w:val="20"/>
          <w:szCs w:val="20"/>
          <w:color w:val="auto"/>
        </w:rPr>
      </w:pPr>
      <w:r>
        <w:rPr>
          <w:rFonts w:ascii="Arial" w:cs="Arial" w:eastAsia="Arial" w:hAnsi="Arial"/>
          <w:sz w:val="17"/>
          <w:szCs w:val="17"/>
          <w:color w:val="auto"/>
        </w:rPr>
        <w:t>Notification under Section 309B(1) of the SFA—The shares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Japan</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6"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Cooley LLP, Washington, D.C., which has acted as our counsel in connection with this offering, will pass on certain legal matters with respect to U.S. federal law in connection with this offering. Davis Polk &amp; Wardwell LLP, Menlo Park, California has acted as counsel to the underwriters in connection with this offering.</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The consolidated financial statements of Xometry, Inc. as of and for the years ended December 31, 2020 and 2019, have been included herein and in the registration statement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0" w:lineRule="exact"/>
        <w:rPr>
          <w:sz w:val="20"/>
          <w:szCs w:val="20"/>
          <w:color w:val="auto"/>
        </w:rPr>
      </w:pPr>
    </w:p>
    <w:p>
      <w:pPr>
        <w:ind w:left="160" w:firstLine="546"/>
        <w:spacing w:after="0" w:line="24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94"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also maintain a website at www.xometry.com. Information contained in, or accessible through, our website is not a part of this prospectus, and the inclusion of our website address in this prospectus is only as an inactive textual reference.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6"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Consolidated Financial Statements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Page(s)</w:t>
            </w:r>
          </w:p>
        </w:tc>
      </w:tr>
      <w:tr>
        <w:trPr>
          <w:trHeight w:val="261"/>
        </w:trPr>
        <w:tc>
          <w:tcPr>
            <w:tcW w:w="1036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Report of Independent Registered Public Accounting Firm</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6"/>
        </w:trPr>
        <w:tc>
          <w:tcPr>
            <w:tcW w:w="45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58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10000" w:type="dxa"/>
            <w:vAlign w:val="bottom"/>
            <w:gridSpan w:val="7"/>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Balance Sheets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Consolidated Statements of Operations and Comprehensive Loss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Changes in Convertible Preferred Stock and Stockholders’ Deficit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88"/>
        </w:trPr>
        <w:tc>
          <w:tcPr>
            <w:tcW w:w="36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93">
              <w:r>
                <w:rPr>
                  <w:rFonts w:ascii="Arial" w:cs="Arial" w:eastAsia="Arial" w:hAnsi="Arial"/>
                  <w:sz w:val="18"/>
                  <w:szCs w:val="18"/>
                  <w:color w:val="0000EE"/>
                  <w:w w:val="98"/>
                </w:rPr>
                <w:t>Consolidated Statements of Cash Flows</w:t>
              </w:r>
            </w:hyperlink>
          </w:p>
        </w:tc>
        <w:tc>
          <w:tcPr>
            <w:tcW w:w="4200" w:type="dxa"/>
            <w:vAlign w:val="bottom"/>
            <w:tcBorders>
              <w:top w:val="single" w:sz="8" w:color="0000EE"/>
            </w:tcBorders>
            <w:gridSpan w:val="3"/>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88"/>
        </w:trPr>
        <w:tc>
          <w:tcPr>
            <w:tcW w:w="34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94">
              <w:r>
                <w:rPr>
                  <w:rFonts w:ascii="Arial" w:cs="Arial" w:eastAsia="Arial" w:hAnsi="Arial"/>
                  <w:sz w:val="18"/>
                  <w:szCs w:val="18"/>
                  <w:color w:val="0000EE"/>
                  <w:w w:val="98"/>
                </w:rPr>
                <w:t>Notes to Consolidated Financial Statements</w:t>
              </w:r>
            </w:hyperlink>
          </w:p>
        </w:tc>
        <w:tc>
          <w:tcPr>
            <w:tcW w:w="68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020"/>
          </w:cols>
          <w:pgMar w:left="320" w:top="456"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Stockholders and Board of Directors</w:t>
      </w:r>
    </w:p>
    <w:p>
      <w:pPr>
        <w:ind w:left="160"/>
        <w:spacing w:after="0"/>
        <w:rPr>
          <w:sz w:val="20"/>
          <w:szCs w:val="20"/>
          <w:color w:val="auto"/>
        </w:rPr>
      </w:pPr>
      <w:r>
        <w:rPr>
          <w:rFonts w:ascii="Arial" w:cs="Arial" w:eastAsia="Arial" w:hAnsi="Arial"/>
          <w:sz w:val="18"/>
          <w:szCs w:val="18"/>
          <w:color w:val="auto"/>
        </w:rPr>
        <w:t>Xometry, Inc.:</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We have audited the accompanying consolidated balance sheets of Xometry, Inc. and subsidiaries (the Company) as of December 31, 2020 and 2019, the related consolidated statements of operations and comprehensive loss, changes in convertible preferred stock and stockholders’ deficit, and cash flows for each of the years then ended, and the related notes and financial statement schedule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U.S. generally accepted accounting principles.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for Opinion</w:t>
      </w:r>
    </w:p>
    <w:p>
      <w:pPr>
        <w:spacing w:after="0" w:line="11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KPMG LLP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McLean, Virginia</w:t>
      </w:r>
    </w:p>
    <w:p>
      <w:pPr>
        <w:ind w:left="160"/>
        <w:spacing w:after="0"/>
        <w:rPr>
          <w:sz w:val="20"/>
          <w:szCs w:val="20"/>
          <w:color w:val="auto"/>
        </w:rPr>
      </w:pPr>
      <w:r>
        <w:rPr>
          <w:rFonts w:ascii="Arial" w:cs="Arial" w:eastAsia="Arial" w:hAnsi="Arial"/>
          <w:sz w:val="18"/>
          <w:szCs w:val="18"/>
          <w:color w:val="auto"/>
        </w:rPr>
        <w:t>April 13, 2021</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6"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9"/>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9"/>
              <w:spacing w:after="0" w:line="154"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auto"/>
                <w:w w:val="99"/>
              </w:rPr>
              <w:t>(unaudited)</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59,874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40,122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49,512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49,512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10,860</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less allowance for doubtful accounts of $0.6 million in 2020 and $0.4 million</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in 2019; and $0.6 million as of March 31, 2021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w w:val="97"/>
              </w:rPr>
              <w:t>14,574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line="156" w:lineRule="exact"/>
              <w:rPr>
                <w:sz w:val="20"/>
                <w:szCs w:val="20"/>
                <w:color w:val="auto"/>
              </w:rPr>
            </w:pPr>
            <w:r>
              <w:rPr>
                <w:rFonts w:ascii="Arial" w:cs="Arial" w:eastAsia="Arial" w:hAnsi="Arial"/>
                <w:sz w:val="14"/>
                <w:szCs w:val="14"/>
                <w:color w:val="auto"/>
                <w:w w:val="97"/>
              </w:rPr>
              <w:t>12,405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20,065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20,065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2,294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1,492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3"/>
                <w:szCs w:val="13"/>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current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77,655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65,408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73,598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73,598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6,113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4,216</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6,671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6,671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 lease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2,863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833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833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88,963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77,411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84,612</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5,640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7,935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7,460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13,606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5,010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15,196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2,355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1,821</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3,927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current portion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Finance lease liabilities, current portion</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15,753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15,809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current liabilities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38,381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15,855</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43,279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43,279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11,433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Operating lease liabilities, net of current portion</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1,118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lease liabilities, net of current portion</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39,499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29,352</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44,268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44,268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13)</w:t>
            </w: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Stock</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Seed-1, $0.000001 par value. 4,200,000 shares authorized, issued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Convertible preferred stock- Seed-2, $0.000001 par value. 2,188,322 shares authorized, issued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2,998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2,998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2,998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A-1, $0.000001 par value. 4,211,094 shares authorized, issued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8,704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Convertible preferred stock- Series A-2, $0.000001 par value. 1,591,230 shares authorized, issued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12,839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12,839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B, $0.000001 par value. 4,132,055 shares authorized and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4,044,271 issued and outstanding as of December 31, 2020 and 2019; and March 31, 2021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20,347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18,612</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20,347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Convertible preferred stock- Series C, $0.000001 par value. 3,754,201 shares authorized, issued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00" w:type="dxa"/>
            <w:vAlign w:val="bottom"/>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26,004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24,756</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26,004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9"/>
              <w:spacing w:after="0" w:line="154"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Convertible preferred stock- Series D, $0.000001 par value. 5,494,064 and 5,600,000 shares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authorized and 5,494,064 shares issued and outstanding as of December 31, 2020 and 2019; and</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5,494,064 shares authorized, issued and outstanding as of March 31, 2021 (unaudited)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54,864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$ 54,929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54,864</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Convertible preferred stock- Series E, $0.000001 par value. 2,400,000 shares authorized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2,275,759 shares issued and outstanding as of December 31, 2020; and March 31, 2021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30,757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30,757</w:t>
            </w:r>
          </w:p>
        </w:tc>
        <w:tc>
          <w:tcPr>
            <w:tcW w:w="1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deficit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Common stock, $0.000001 par value. Authorized 42,000,000 and 39,600,000 shares; 7,755,782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shares and 7,289,571 shares issued and outstanding as of December 31, 2020 and 2019;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Authorized 42,000,000 shares; 8,239,494 issued and outstanding as of March 31, 2021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Class A Common stock, $0.000001 par value. Authorized 750,000,000 shares (pro forma);</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32,964,905 issued and outstanding as of December 31, 2020 (pro forma) (unaudited); 33,322,281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shares issued and outstanding as of March 31, 2021 pro forma (unaudited)</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Class B Common stock, $0.000001 par value. Authorized 5,000,000 shares (pro forma); 2,549,818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issued and outstanding as of December 31, 2020 (pro forma) (unaudited); 2,676,154 shares issued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420"/>
              <w:spacing w:after="0" w:line="156" w:lineRule="exact"/>
              <w:rPr>
                <w:sz w:val="20"/>
                <w:szCs w:val="20"/>
                <w:color w:val="auto"/>
              </w:rPr>
            </w:pPr>
            <w:r>
              <w:rPr>
                <w:rFonts w:ascii="Arial" w:cs="Arial" w:eastAsia="Arial" w:hAnsi="Arial"/>
                <w:sz w:val="14"/>
                <w:szCs w:val="14"/>
                <w:color w:val="auto"/>
              </w:rPr>
              <w:t>and outstanding as of March 31, 2021 pro forma (unaudited)</w:t>
            </w:r>
          </w:p>
        </w:tc>
        <w:tc>
          <w:tcPr>
            <w:tcW w:w="80" w:type="dxa"/>
            <w:vAlign w:val="bottom"/>
          </w:tcPr>
          <w:p>
            <w:pPr>
              <w:spacing w:after="0"/>
              <w:rPr>
                <w:sz w:val="13"/>
                <w:szCs w:val="13"/>
                <w:color w:val="auto"/>
              </w:rPr>
            </w:pPr>
          </w:p>
        </w:tc>
        <w:tc>
          <w:tcPr>
            <w:tcW w:w="980" w:type="dxa"/>
            <w:vAlign w:val="bottom"/>
            <w:gridSpan w:val="2"/>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1,854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162,567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210</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(111,962)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(77,609)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(122,463)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stockholders’ equity (deficit)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(111,249)</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(73,097)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(120,369)</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40,344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88,963</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$ 77,411</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84,612</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54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3"/>
              <w:spacing w:after="0" w:line="154"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4"/>
          </w:tcPr>
          <w:p>
            <w:pPr>
              <w:jc w:val="center"/>
              <w:ind w:right="12"/>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141,406</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80,228</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43,922</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108,120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65,492</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34,087</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33,286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14,736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22,567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14,599</w:t>
            </w:r>
          </w:p>
        </w:tc>
        <w:tc>
          <w:tcPr>
            <w:tcW w:w="120" w:type="dxa"/>
            <w:vAlign w:val="bottom"/>
          </w:tcPr>
          <w:p>
            <w:pPr>
              <w:spacing w:after="0"/>
              <w:rPr>
                <w:sz w:val="17"/>
                <w:szCs w:val="17"/>
                <w:color w:val="auto"/>
              </w:rPr>
            </w:pP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7,563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14,111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10,314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7"/>
                <w:szCs w:val="17"/>
                <w:color w:val="auto"/>
              </w:rPr>
            </w:pP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12,186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10,637</w:t>
            </w:r>
          </w:p>
        </w:tc>
        <w:tc>
          <w:tcPr>
            <w:tcW w:w="120" w:type="dxa"/>
            <w:vAlign w:val="bottom"/>
          </w:tcPr>
          <w:p>
            <w:pPr>
              <w:spacing w:after="0"/>
              <w:rPr>
                <w:sz w:val="17"/>
                <w:szCs w:val="17"/>
                <w:color w:val="auto"/>
              </w:rPr>
            </w:pP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3,664</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12,046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8,016</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Impairment of goodwill and intangible assets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1,719</w:t>
            </w: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2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62,502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45,285</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19,884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(29,216)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(30,549)</w:t>
            </w:r>
          </w:p>
        </w:tc>
        <w:tc>
          <w:tcPr>
            <w:tcW w:w="120" w:type="dxa"/>
            <w:vAlign w:val="bottom"/>
          </w:tcPr>
          <w:p>
            <w:pPr>
              <w:spacing w:after="0"/>
              <w:rPr>
                <w:sz w:val="17"/>
                <w:szCs w:val="17"/>
                <w:color w:val="auto"/>
              </w:rPr>
            </w:pP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(10,049)</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(1,089)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(780)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Deemed dividend to preferred stockholders</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(8,801)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(39,886)</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(5.32)</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(4.88)</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(1.33)</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Weighted-average number of shares outstanding used to</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compute net loss per share attributable to common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7,492,876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w w:val="97"/>
              </w:rPr>
              <w:t>6,345,498</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7,924,848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7,354,673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Class A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rPr>
              <w:t>Class B common stockholders, basic and diluted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rPr>
              <w:t>(unaudited)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(1.17)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(0.29)</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Pro Forma weighted-average number of Class A and Class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 shares outstanding used to compute net loss per share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7"/>
              </w:rPr>
              <w:t>33,998,591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w w:val="95"/>
              </w:rPr>
              <w:t>35,683,789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32,837,855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(30,994)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980" w:type="dxa"/>
            <w:vAlign w:val="bottom"/>
            <w:gridSpan w:val="5"/>
            <w:vMerge w:val="restart"/>
          </w:tcPr>
          <w:p>
            <w:pPr>
              <w:jc w:val="right"/>
              <w:ind w:right="260"/>
              <w:spacing w:after="0"/>
              <w:rPr>
                <w:sz w:val="20"/>
                <w:szCs w:val="20"/>
                <w:color w:val="auto"/>
              </w:rPr>
            </w:pPr>
            <w:r>
              <w:rPr>
                <w:rFonts w:ascii="Arial" w:cs="Arial" w:eastAsia="Arial" w:hAnsi="Arial"/>
                <w:sz w:val="7"/>
                <w:szCs w:val="7"/>
                <w:b w:val="1"/>
                <w:bCs w:val="1"/>
                <w:color w:val="auto"/>
              </w:rPr>
              <w:t>Preferred Stock</w:t>
            </w:r>
          </w:p>
        </w:tc>
        <w:tc>
          <w:tcPr>
            <w:tcW w:w="94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60" w:type="dxa"/>
            <w:vAlign w:val="bottom"/>
            <w:gridSpan w:val="5"/>
            <w:vMerge w:val="restart"/>
          </w:tcPr>
          <w:p>
            <w:pPr>
              <w:ind w:left="180"/>
              <w:spacing w:after="0"/>
              <w:rPr>
                <w:sz w:val="20"/>
                <w:szCs w:val="20"/>
                <w:color w:val="auto"/>
              </w:rPr>
            </w:pPr>
            <w:r>
              <w:rPr>
                <w:rFonts w:ascii="Arial" w:cs="Arial" w:eastAsia="Arial" w:hAnsi="Arial"/>
                <w:sz w:val="7"/>
                <w:szCs w:val="7"/>
                <w:b w:val="1"/>
                <w:bCs w:val="1"/>
                <w:color w:val="auto"/>
              </w:rPr>
              <w:t>Preferred stock</w:t>
            </w:r>
          </w:p>
        </w:tc>
        <w:tc>
          <w:tcPr>
            <w:tcW w:w="94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tcBorders>
              <w:right w:val="single" w:sz="8" w:color="auto"/>
            </w:tcBorders>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9"/>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940" w:type="dxa"/>
            <w:vAlign w:val="bottom"/>
            <w:gridSpan w:val="5"/>
            <w:vMerge w:val="continue"/>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940" w:type="dxa"/>
            <w:vAlign w:val="bottom"/>
            <w:gridSpan w:val="5"/>
            <w:vMerge w:val="continue"/>
          </w:tcPr>
          <w:p>
            <w:pPr>
              <w:spacing w:after="0"/>
              <w:rPr>
                <w:sz w:val="2"/>
                <w:szCs w:val="2"/>
                <w:color w:val="auto"/>
              </w:rPr>
            </w:pPr>
          </w:p>
        </w:tc>
        <w:tc>
          <w:tcPr>
            <w:tcW w:w="880" w:type="dxa"/>
            <w:vAlign w:val="bottom"/>
            <w:tcBorders>
              <w:right w:val="single" w:sz="8" w:color="auto"/>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Additional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gridSpan w:val="4"/>
            <w:vMerge w:val="restart"/>
          </w:tcPr>
          <w:p>
            <w:pPr>
              <w:ind w:left="260"/>
              <w:spacing w:after="0"/>
              <w:rPr>
                <w:sz w:val="20"/>
                <w:szCs w:val="20"/>
                <w:color w:val="auto"/>
              </w:rPr>
            </w:pPr>
            <w:r>
              <w:rPr>
                <w:rFonts w:ascii="Arial" w:cs="Arial" w:eastAsia="Arial" w:hAnsi="Arial"/>
                <w:sz w:val="7"/>
                <w:szCs w:val="7"/>
                <w:b w:val="1"/>
                <w:bCs w:val="1"/>
                <w:color w:val="auto"/>
              </w:rPr>
              <w:t>Seed-1</w:t>
            </w:r>
          </w:p>
        </w:tc>
        <w:tc>
          <w:tcPr>
            <w:tcW w:w="800" w:type="dxa"/>
            <w:vAlign w:val="bottom"/>
            <w:gridSpan w:val="5"/>
            <w:vMerge w:val="restart"/>
          </w:tcPr>
          <w:p>
            <w:pPr>
              <w:ind w:left="260"/>
              <w:spacing w:after="0"/>
              <w:rPr>
                <w:sz w:val="20"/>
                <w:szCs w:val="20"/>
                <w:color w:val="auto"/>
              </w:rPr>
            </w:pPr>
            <w:r>
              <w:rPr>
                <w:rFonts w:ascii="Arial" w:cs="Arial" w:eastAsia="Arial" w:hAnsi="Arial"/>
                <w:sz w:val="7"/>
                <w:szCs w:val="7"/>
                <w:b w:val="1"/>
                <w:bCs w:val="1"/>
                <w:color w:val="auto"/>
              </w:rPr>
              <w:t>Seed-2</w:t>
            </w:r>
          </w:p>
        </w:tc>
        <w:tc>
          <w:tcPr>
            <w:tcW w:w="820" w:type="dxa"/>
            <w:vAlign w:val="bottom"/>
            <w:gridSpan w:val="5"/>
            <w:vMerge w:val="restart"/>
          </w:tcPr>
          <w:p>
            <w:pPr>
              <w:ind w:left="220"/>
              <w:spacing w:after="0"/>
              <w:rPr>
                <w:sz w:val="20"/>
                <w:szCs w:val="20"/>
                <w:color w:val="auto"/>
              </w:rPr>
            </w:pPr>
            <w:r>
              <w:rPr>
                <w:rFonts w:ascii="Arial" w:cs="Arial" w:eastAsia="Arial" w:hAnsi="Arial"/>
                <w:sz w:val="7"/>
                <w:szCs w:val="7"/>
                <w:b w:val="1"/>
                <w:bCs w:val="1"/>
                <w:color w:val="auto"/>
              </w:rPr>
              <w:t>Series A-1</w:t>
            </w:r>
          </w:p>
        </w:tc>
        <w:tc>
          <w:tcPr>
            <w:tcW w:w="980" w:type="dxa"/>
            <w:vAlign w:val="bottom"/>
            <w:gridSpan w:val="5"/>
            <w:vMerge w:val="restart"/>
          </w:tcPr>
          <w:p>
            <w:pPr>
              <w:jc w:val="right"/>
              <w:ind w:right="360"/>
              <w:spacing w:after="0"/>
              <w:rPr>
                <w:sz w:val="20"/>
                <w:szCs w:val="20"/>
                <w:color w:val="auto"/>
              </w:rPr>
            </w:pPr>
            <w:r>
              <w:rPr>
                <w:rFonts w:ascii="Arial" w:cs="Arial" w:eastAsia="Arial" w:hAnsi="Arial"/>
                <w:sz w:val="7"/>
                <w:szCs w:val="7"/>
                <w:b w:val="1"/>
                <w:bCs w:val="1"/>
                <w:color w:val="auto"/>
              </w:rPr>
              <w:t>Series A-2</w:t>
            </w:r>
          </w:p>
        </w:tc>
        <w:tc>
          <w:tcPr>
            <w:tcW w:w="940" w:type="dxa"/>
            <w:vAlign w:val="bottom"/>
            <w:gridSpan w:val="5"/>
            <w:vMerge w:val="restart"/>
          </w:tcPr>
          <w:p>
            <w:pPr>
              <w:ind w:left="280"/>
              <w:spacing w:after="0"/>
              <w:rPr>
                <w:sz w:val="20"/>
                <w:szCs w:val="20"/>
                <w:color w:val="auto"/>
              </w:rPr>
            </w:pPr>
            <w:r>
              <w:rPr>
                <w:rFonts w:ascii="Arial" w:cs="Arial" w:eastAsia="Arial" w:hAnsi="Arial"/>
                <w:sz w:val="7"/>
                <w:szCs w:val="7"/>
                <w:b w:val="1"/>
                <w:bCs w:val="1"/>
                <w:color w:val="auto"/>
              </w:rPr>
              <w:t>Series B</w:t>
            </w:r>
          </w:p>
        </w:tc>
        <w:tc>
          <w:tcPr>
            <w:tcW w:w="960" w:type="dxa"/>
            <w:vAlign w:val="bottom"/>
            <w:gridSpan w:val="5"/>
            <w:vMerge w:val="restart"/>
          </w:tcPr>
          <w:p>
            <w:pPr>
              <w:ind w:left="300"/>
              <w:spacing w:after="0"/>
              <w:rPr>
                <w:sz w:val="20"/>
                <w:szCs w:val="20"/>
                <w:color w:val="auto"/>
              </w:rPr>
            </w:pPr>
            <w:r>
              <w:rPr>
                <w:rFonts w:ascii="Arial" w:cs="Arial" w:eastAsia="Arial" w:hAnsi="Arial"/>
                <w:sz w:val="7"/>
                <w:szCs w:val="7"/>
                <w:b w:val="1"/>
                <w:bCs w:val="1"/>
                <w:color w:val="auto"/>
              </w:rPr>
              <w:t>Series C</w:t>
            </w:r>
          </w:p>
        </w:tc>
        <w:tc>
          <w:tcPr>
            <w:tcW w:w="580" w:type="dxa"/>
            <w:vAlign w:val="bottom"/>
            <w:gridSpan w:val="3"/>
            <w:vMerge w:val="restart"/>
          </w:tcPr>
          <w:p>
            <w:pPr>
              <w:ind w:left="280"/>
              <w:spacing w:after="0"/>
              <w:rPr>
                <w:sz w:val="20"/>
                <w:szCs w:val="20"/>
                <w:color w:val="auto"/>
              </w:rPr>
            </w:pPr>
            <w:r>
              <w:rPr>
                <w:rFonts w:ascii="Arial" w:cs="Arial" w:eastAsia="Arial" w:hAnsi="Arial"/>
                <w:sz w:val="7"/>
                <w:szCs w:val="7"/>
                <w:b w:val="1"/>
                <w:bCs w:val="1"/>
                <w:color w:val="auto"/>
                <w:w w:val="99"/>
              </w:rPr>
              <w:t>Series D</w:t>
            </w: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right w:val="single" w:sz="8" w:color="auto"/>
            </w:tcBorders>
            <w:gridSpan w:val="4"/>
            <w:vMerge w:val="restart"/>
          </w:tcPr>
          <w:p>
            <w:pPr>
              <w:ind w:left="280"/>
              <w:spacing w:after="0"/>
              <w:rPr>
                <w:sz w:val="20"/>
                <w:szCs w:val="20"/>
                <w:color w:val="auto"/>
              </w:rPr>
            </w:pPr>
            <w:r>
              <w:rPr>
                <w:rFonts w:ascii="Arial" w:cs="Arial" w:eastAsia="Arial" w:hAnsi="Arial"/>
                <w:sz w:val="7"/>
                <w:szCs w:val="7"/>
                <w:b w:val="1"/>
                <w:bCs w:val="1"/>
                <w:color w:val="auto"/>
              </w:rPr>
              <w:t>Series E</w:t>
            </w:r>
          </w:p>
        </w:tc>
        <w:tc>
          <w:tcPr>
            <w:tcW w:w="20" w:type="dxa"/>
            <w:vAlign w:val="bottom"/>
          </w:tcPr>
          <w:p>
            <w:pPr>
              <w:spacing w:after="0"/>
              <w:rPr>
                <w:sz w:val="4"/>
                <w:szCs w:val="4"/>
                <w:color w:val="auto"/>
              </w:rPr>
            </w:pPr>
          </w:p>
        </w:tc>
        <w:tc>
          <w:tcPr>
            <w:tcW w:w="760" w:type="dxa"/>
            <w:vAlign w:val="bottom"/>
            <w:gridSpan w:val="5"/>
            <w:vMerge w:val="restart"/>
          </w:tcPr>
          <w:p>
            <w:pPr>
              <w:ind w:left="120"/>
              <w:spacing w:after="0"/>
              <w:rPr>
                <w:sz w:val="20"/>
                <w:szCs w:val="20"/>
                <w:color w:val="auto"/>
              </w:rPr>
            </w:pPr>
            <w:r>
              <w:rPr>
                <w:rFonts w:ascii="Arial" w:cs="Arial" w:eastAsia="Arial" w:hAnsi="Arial"/>
                <w:sz w:val="7"/>
                <w:szCs w:val="7"/>
                <w:b w:val="1"/>
                <w:bCs w:val="1"/>
                <w:color w:val="auto"/>
              </w:rPr>
              <w:t>Common Stock</w:t>
            </w:r>
          </w:p>
        </w:tc>
        <w:tc>
          <w:tcPr>
            <w:tcW w:w="4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940" w:type="dxa"/>
            <w:vAlign w:val="bottom"/>
            <w:gridSpan w:val="5"/>
            <w:vMerge w:val="continue"/>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right w:val="single" w:sz="8" w:color="auto"/>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7"/>
                <w:szCs w:val="7"/>
                <w:b w:val="1"/>
                <w:bCs w:val="1"/>
                <w:color w:val="auto"/>
                <w:w w:val="94"/>
              </w:rPr>
              <w:t>Paid-in</w:t>
            </w:r>
          </w:p>
        </w:tc>
        <w:tc>
          <w:tcPr>
            <w:tcW w:w="40" w:type="dxa"/>
            <w:vAlign w:val="bottom"/>
          </w:tcPr>
          <w:p>
            <w:pPr>
              <w:spacing w:after="0"/>
              <w:rPr>
                <w:sz w:val="2"/>
                <w:szCs w:val="2"/>
                <w:color w:val="auto"/>
              </w:rPr>
            </w:pPr>
          </w:p>
        </w:tc>
        <w:tc>
          <w:tcPr>
            <w:tcW w:w="600" w:type="dxa"/>
            <w:vAlign w:val="bottom"/>
            <w:gridSpan w:val="3"/>
            <w:vMerge w:val="restart"/>
          </w:tcPr>
          <w:p>
            <w:pPr>
              <w:jc w:val="center"/>
              <w:ind w:right="60"/>
              <w:spacing w:after="0"/>
              <w:rPr>
                <w:sz w:val="20"/>
                <w:szCs w:val="20"/>
                <w:color w:val="auto"/>
              </w:rPr>
            </w:pPr>
            <w:r>
              <w:rPr>
                <w:rFonts w:ascii="Arial" w:cs="Arial" w:eastAsia="Arial" w:hAnsi="Arial"/>
                <w:sz w:val="7"/>
                <w:szCs w:val="7"/>
                <w:b w:val="1"/>
                <w:bCs w:val="1"/>
                <w:color w:val="auto"/>
              </w:rPr>
              <w:t>Comprehensive</w:t>
            </w:r>
          </w:p>
        </w:tc>
        <w:tc>
          <w:tcPr>
            <w:tcW w:w="52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Accumulated</w:t>
            </w:r>
          </w:p>
        </w:tc>
        <w:tc>
          <w:tcPr>
            <w:tcW w:w="4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8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2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20" w:type="dxa"/>
            <w:vAlign w:val="bottom"/>
          </w:tcPr>
          <w:p>
            <w:pPr>
              <w:spacing w:after="0"/>
              <w:rPr>
                <w:sz w:val="7"/>
                <w:szCs w:val="7"/>
                <w:color w:val="auto"/>
              </w:rPr>
            </w:pPr>
          </w:p>
        </w:tc>
        <w:tc>
          <w:tcPr>
            <w:tcW w:w="340" w:type="dxa"/>
            <w:vAlign w:val="bottom"/>
            <w:gridSpan w:val="2"/>
          </w:tcPr>
          <w:p>
            <w:pPr>
              <w:ind w:left="20"/>
              <w:spacing w:after="0"/>
              <w:rPr>
                <w:sz w:val="20"/>
                <w:szCs w:val="20"/>
                <w:color w:val="auto"/>
              </w:rPr>
            </w:pPr>
            <w:r>
              <w:rPr>
                <w:rFonts w:ascii="Arial" w:cs="Arial" w:eastAsia="Arial" w:hAnsi="Arial"/>
                <w:sz w:val="7"/>
                <w:szCs w:val="7"/>
                <w:b w:val="1"/>
                <w:bCs w:val="1"/>
                <w:color w:val="auto"/>
              </w:rPr>
              <w:t>Amount</w:t>
            </w:r>
          </w:p>
        </w:tc>
        <w:tc>
          <w:tcPr>
            <w:tcW w:w="56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Shares</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Amount</w:t>
            </w:r>
          </w:p>
        </w:tc>
        <w:tc>
          <w:tcPr>
            <w:tcW w:w="48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Amount</w:t>
            </w:r>
          </w:p>
        </w:tc>
        <w:tc>
          <w:tcPr>
            <w:tcW w:w="52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380" w:type="dxa"/>
            <w:vAlign w:val="bottom"/>
            <w:tcBorders>
              <w:right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40" w:type="dxa"/>
            <w:vAlign w:val="bottom"/>
            <w:gridSpan w:val="2"/>
          </w:tcPr>
          <w:p>
            <w:pPr>
              <w:ind w:left="8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280" w:type="dxa"/>
            <w:vAlign w:val="bottom"/>
            <w:gridSpan w:val="2"/>
          </w:tcPr>
          <w:p>
            <w:pPr>
              <w:spacing w:after="0"/>
              <w:rPr>
                <w:sz w:val="20"/>
                <w:szCs w:val="20"/>
                <w:color w:val="auto"/>
              </w:rPr>
            </w:pPr>
            <w:r>
              <w:rPr>
                <w:rFonts w:ascii="Arial" w:cs="Arial" w:eastAsia="Arial" w:hAnsi="Arial"/>
                <w:sz w:val="7"/>
                <w:szCs w:val="7"/>
                <w:b w:val="1"/>
                <w:bCs w:val="1"/>
                <w:color w:val="auto"/>
                <w:w w:val="98"/>
              </w:rPr>
              <w:t>Amount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w w:val="94"/>
              </w:rPr>
              <w:t>Capital</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w w:val="97"/>
              </w:rPr>
              <w:t>Income</w:t>
            </w:r>
          </w:p>
        </w:tc>
        <w:tc>
          <w:tcPr>
            <w:tcW w:w="8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40" w:type="dxa"/>
            <w:vAlign w:val="bottom"/>
            <w:tcBorders>
              <w:top w:val="single" w:sz="8" w:color="CCEEFF"/>
            </w:tcBorders>
            <w:shd w:val="clear" w:color="auto" w:fill="CCEEFF"/>
          </w:tcPr>
          <w:p>
            <w:pPr>
              <w:spacing w:after="0" w:line="74" w:lineRule="exact"/>
              <w:rPr>
                <w:sz w:val="20"/>
                <w:szCs w:val="20"/>
                <w:color w:val="auto"/>
              </w:rPr>
            </w:pPr>
            <w:r>
              <w:rPr>
                <w:rFonts w:ascii="Arial" w:cs="Arial" w:eastAsia="Arial" w:hAnsi="Arial"/>
                <w:sz w:val="8"/>
                <w:szCs w:val="8"/>
                <w:color w:val="auto"/>
              </w:rPr>
              <w:t>Balance,</w:t>
            </w: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gridSpan w:val="2"/>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right w:val="single" w:sz="8" w:color="auto"/>
            </w:tcBorders>
            <w:gridSpan w:val="2"/>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gridSpan w:val="2"/>
            <w:shd w:val="clear" w:color="auto" w:fill="CCEEFF"/>
          </w:tcPr>
          <w:p>
            <w:pPr>
              <w:spacing w:after="0"/>
              <w:rPr>
                <w:sz w:val="6"/>
                <w:szCs w:val="6"/>
                <w:color w:val="auto"/>
              </w:rPr>
            </w:pPr>
          </w:p>
        </w:tc>
        <w:tc>
          <w:tcPr>
            <w:tcW w:w="120" w:type="dxa"/>
            <w:vAlign w:val="bottom"/>
            <w:tcBorders>
              <w:top w:val="single" w:sz="8" w:color="CCEEFF"/>
            </w:tcBorders>
            <w:gridSpan w:val="2"/>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48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December 31,</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2018</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$4,200</w:t>
            </w:r>
          </w:p>
        </w:tc>
        <w:tc>
          <w:tcPr>
            <w:tcW w:w="44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99"/>
              </w:rPr>
              <w:t>2,188,322</w:t>
            </w:r>
          </w:p>
        </w:tc>
        <w:tc>
          <w:tcPr>
            <w:tcW w:w="360" w:type="dxa"/>
            <w:vAlign w:val="bottom"/>
            <w:gridSpan w:val="3"/>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$2,998</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3"/>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$8,704</w:t>
            </w:r>
          </w:p>
        </w:tc>
        <w:tc>
          <w:tcPr>
            <w:tcW w:w="56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1,591,230</w:t>
            </w: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6,957</w:t>
            </w:r>
          </w:p>
        </w:tc>
        <w:tc>
          <w:tcPr>
            <w:tcW w:w="48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w w:val="99"/>
              </w:rPr>
              <w:t>4,044,271</w:t>
            </w:r>
          </w:p>
        </w:tc>
        <w:tc>
          <w:tcPr>
            <w:tcW w:w="460" w:type="dxa"/>
            <w:vAlign w:val="bottom"/>
            <w:gridSpan w:val="3"/>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$ 18,612</w:t>
            </w: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3,754,201</w:t>
            </w:r>
          </w:p>
        </w:tc>
        <w:tc>
          <w:tcPr>
            <w:tcW w:w="60" w:type="dxa"/>
            <w:vAlign w:val="bottom"/>
            <w:shd w:val="clear" w:color="auto" w:fill="CCEEFF"/>
          </w:tcPr>
          <w:p>
            <w:pPr>
              <w:spacing w:after="0"/>
              <w:rPr>
                <w:sz w:val="8"/>
                <w:szCs w:val="8"/>
                <w:color w:val="auto"/>
              </w:rPr>
            </w:pPr>
          </w:p>
        </w:tc>
        <w:tc>
          <w:tcPr>
            <w:tcW w:w="460" w:type="dxa"/>
            <w:vAlign w:val="bottom"/>
            <w:gridSpan w:val="3"/>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w w:val="96"/>
              </w:rPr>
              <w:t>$ 24,756</w:t>
            </w: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6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w w:val="99"/>
              </w:rPr>
              <w:t>6,083,135</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1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775</w:t>
            </w:r>
          </w:p>
        </w:tc>
        <w:tc>
          <w:tcPr>
            <w:tcW w:w="140" w:type="dxa"/>
            <w:vAlign w:val="bottom"/>
            <w:gridSpan w:val="2"/>
            <w:shd w:val="clear" w:color="auto" w:fill="CCEEFF"/>
          </w:tcPr>
          <w:p>
            <w:pPr>
              <w:jc w:val="right"/>
              <w:ind w:right="24"/>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(46,615)</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(45,840)</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Issuance of</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tcPr>
          <w:p>
            <w:pPr>
              <w:ind w:left="80"/>
              <w:spacing w:after="0" w:line="94" w:lineRule="exact"/>
              <w:rPr>
                <w:sz w:val="20"/>
                <w:szCs w:val="20"/>
                <w:color w:val="auto"/>
              </w:rPr>
            </w:pPr>
            <w:r>
              <w:rPr>
                <w:rFonts w:ascii="Arial" w:cs="Arial" w:eastAsia="Arial" w:hAnsi="Arial"/>
                <w:sz w:val="9"/>
                <w:szCs w:val="9"/>
                <w:color w:val="auto"/>
              </w:rPr>
              <w:t>Common Stock</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Issuance of</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preferred stock</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 Series D</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w w:val="99"/>
              </w:rPr>
              <w:t>5,494,064</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w w:val="94"/>
              </w:rPr>
              <w:t>54,929</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Exercise of</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common stock</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tcPr>
          <w:p>
            <w:pPr>
              <w:ind w:left="80"/>
              <w:spacing w:after="0" w:line="94" w:lineRule="exact"/>
              <w:rPr>
                <w:sz w:val="20"/>
                <w:szCs w:val="20"/>
                <w:color w:val="auto"/>
              </w:rPr>
            </w:pPr>
            <w:r>
              <w:rPr>
                <w:rFonts w:ascii="Arial" w:cs="Arial" w:eastAsia="Arial" w:hAnsi="Arial"/>
                <w:sz w:val="9"/>
                <w:szCs w:val="9"/>
                <w:color w:val="auto"/>
              </w:rPr>
              <w:t>options</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455,665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450</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450</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Stock based</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544</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544</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Shares issued in</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connection with</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business</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tcPr>
          <w:p>
            <w:pPr>
              <w:ind w:left="80"/>
              <w:spacing w:after="0" w:line="94" w:lineRule="exact"/>
              <w:rPr>
                <w:sz w:val="20"/>
                <w:szCs w:val="20"/>
                <w:color w:val="auto"/>
              </w:rPr>
            </w:pPr>
            <w:r>
              <w:rPr>
                <w:rFonts w:ascii="Arial" w:cs="Arial" w:eastAsia="Arial" w:hAnsi="Arial"/>
                <w:sz w:val="9"/>
                <w:szCs w:val="9"/>
                <w:color w:val="auto"/>
              </w:rPr>
              <w:t>combination</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750,770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2,743</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2,743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Borders>
              <w:right w:val="single" w:sz="8" w:color="auto"/>
            </w:tcBorders>
            <w:gridSpan w:val="39"/>
          </w:tcPr>
          <w:p>
            <w:pPr>
              <w:spacing w:after="0"/>
              <w:rPr>
                <w:sz w:val="2"/>
                <w:szCs w:val="2"/>
                <w:color w:val="auto"/>
              </w:rPr>
            </w:pPr>
          </w:p>
        </w:tc>
        <w:tc>
          <w:tcPr>
            <w:tcW w:w="3020" w:type="dxa"/>
            <w:vAlign w:val="bottom"/>
            <w:gridSpan w:val="2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continue"/>
          </w:tcPr>
          <w:p>
            <w:pPr>
              <w:spacing w:after="0"/>
              <w:rPr>
                <w:sz w:val="8"/>
                <w:szCs w:val="8"/>
                <w:color w:val="auto"/>
              </w:rPr>
            </w:pPr>
          </w:p>
        </w:tc>
        <w:tc>
          <w:tcPr>
            <w:tcW w:w="74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Net loss</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(30,994)</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(30,994)</w:t>
            </w:r>
          </w:p>
        </w:tc>
        <w:tc>
          <w:tcPr>
            <w:tcW w:w="0" w:type="dxa"/>
            <w:vAlign w:val="bottom"/>
          </w:tcPr>
          <w:p>
            <w:pPr>
              <w:spacing w:after="0"/>
              <w:rPr>
                <w:sz w:val="1"/>
                <w:szCs w:val="1"/>
                <w:color w:val="auto"/>
              </w:rPr>
            </w:pPr>
          </w:p>
        </w:tc>
      </w:tr>
      <w:tr>
        <w:trPr>
          <w:trHeight w:val="100"/>
        </w:trPr>
        <w:tc>
          <w:tcPr>
            <w:tcW w:w="760" w:type="dxa"/>
            <w:vAlign w:val="bottom"/>
            <w:gridSpan w:val="2"/>
          </w:tcPr>
          <w:p>
            <w:pPr>
              <w:spacing w:after="0" w:line="100" w:lineRule="exact"/>
              <w:rPr>
                <w:sz w:val="20"/>
                <w:szCs w:val="20"/>
                <w:color w:val="auto"/>
              </w:rPr>
            </w:pPr>
            <w:r>
              <w:rPr>
                <w:rFonts w:ascii="Arial" w:cs="Arial" w:eastAsia="Arial" w:hAnsi="Arial"/>
                <w:sz w:val="9"/>
                <w:szCs w:val="9"/>
                <w:color w:val="auto"/>
              </w:rPr>
              <w:t>Balance,</w:t>
            </w: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gridSpan w:val="2"/>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right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280" w:type="dxa"/>
            <w:vAlign w:val="bottom"/>
            <w:tcBorders>
              <w:top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54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48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December 31,</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2019</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jc w:val="right"/>
              <w:ind w:right="60"/>
              <w:spacing w:after="0" w:line="94" w:lineRule="exact"/>
              <w:rPr>
                <w:sz w:val="20"/>
                <w:szCs w:val="20"/>
                <w:color w:val="auto"/>
              </w:rPr>
            </w:pPr>
            <w:r>
              <w:rPr>
                <w:rFonts w:ascii="Arial" w:cs="Arial" w:eastAsia="Arial" w:hAnsi="Arial"/>
                <w:sz w:val="9"/>
                <w:szCs w:val="9"/>
                <w:color w:val="auto"/>
              </w:rPr>
              <w:t>4,200</w:t>
            </w:r>
          </w:p>
        </w:tc>
        <w:tc>
          <w:tcPr>
            <w:tcW w:w="440" w:type="dxa"/>
            <w:vAlign w:val="bottom"/>
            <w:gridSpan w:val="2"/>
          </w:tcPr>
          <w:p>
            <w:pPr>
              <w:ind w:left="20"/>
              <w:spacing w:after="0" w:line="94" w:lineRule="exact"/>
              <w:rPr>
                <w:sz w:val="20"/>
                <w:szCs w:val="20"/>
                <w:color w:val="auto"/>
              </w:rPr>
            </w:pPr>
            <w:r>
              <w:rPr>
                <w:rFonts w:ascii="Arial" w:cs="Arial" w:eastAsia="Arial" w:hAnsi="Arial"/>
                <w:sz w:val="9"/>
                <w:szCs w:val="9"/>
                <w:color w:val="auto"/>
                <w:w w:val="99"/>
              </w:rPr>
              <w:t>2,188,322</w:t>
            </w:r>
          </w:p>
        </w:tc>
        <w:tc>
          <w:tcPr>
            <w:tcW w:w="360" w:type="dxa"/>
            <w:vAlign w:val="bottom"/>
            <w:gridSpan w:val="3"/>
          </w:tcPr>
          <w:p>
            <w:pPr>
              <w:jc w:val="right"/>
              <w:ind w:right="40"/>
              <w:spacing w:after="0" w:line="94" w:lineRule="exact"/>
              <w:rPr>
                <w:sz w:val="20"/>
                <w:szCs w:val="20"/>
                <w:color w:val="auto"/>
              </w:rPr>
            </w:pPr>
            <w:r>
              <w:rPr>
                <w:rFonts w:ascii="Arial" w:cs="Arial" w:eastAsia="Arial" w:hAnsi="Arial"/>
                <w:sz w:val="9"/>
                <w:szCs w:val="9"/>
                <w:color w:val="auto"/>
              </w:rPr>
              <w:t>2,998</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3"/>
          </w:tcPr>
          <w:p>
            <w:pPr>
              <w:jc w:val="right"/>
              <w:ind w:right="40"/>
              <w:spacing w:after="0" w:line="94" w:lineRule="exact"/>
              <w:rPr>
                <w:sz w:val="20"/>
                <w:szCs w:val="20"/>
                <w:color w:val="auto"/>
              </w:rPr>
            </w:pPr>
            <w:r>
              <w:rPr>
                <w:rFonts w:ascii="Arial" w:cs="Arial" w:eastAsia="Arial" w:hAnsi="Arial"/>
                <w:sz w:val="9"/>
                <w:szCs w:val="9"/>
                <w:color w:val="auto"/>
              </w:rPr>
              <w:t>8,704</w:t>
            </w:r>
          </w:p>
        </w:tc>
        <w:tc>
          <w:tcPr>
            <w:tcW w:w="56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1,591,230</w:t>
            </w:r>
          </w:p>
        </w:tc>
        <w:tc>
          <w:tcPr>
            <w:tcW w:w="40" w:type="dxa"/>
            <w:vAlign w:val="bottom"/>
          </w:tcPr>
          <w:p>
            <w:pPr>
              <w:spacing w:after="0"/>
              <w:rPr>
                <w:sz w:val="8"/>
                <w:szCs w:val="8"/>
                <w:color w:val="auto"/>
              </w:rPr>
            </w:pPr>
          </w:p>
        </w:tc>
        <w:tc>
          <w:tcPr>
            <w:tcW w:w="3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6,957</w:t>
            </w:r>
          </w:p>
        </w:tc>
        <w:tc>
          <w:tcPr>
            <w:tcW w:w="48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w w:val="99"/>
              </w:rPr>
              <w:t>4,044,271</w:t>
            </w:r>
          </w:p>
        </w:tc>
        <w:tc>
          <w:tcPr>
            <w:tcW w:w="460" w:type="dxa"/>
            <w:vAlign w:val="bottom"/>
            <w:gridSpan w:val="3"/>
          </w:tcPr>
          <w:p>
            <w:pPr>
              <w:jc w:val="right"/>
              <w:ind w:right="80"/>
              <w:spacing w:after="0" w:line="94" w:lineRule="exact"/>
              <w:rPr>
                <w:sz w:val="20"/>
                <w:szCs w:val="20"/>
                <w:color w:val="auto"/>
              </w:rPr>
            </w:pPr>
            <w:r>
              <w:rPr>
                <w:rFonts w:ascii="Arial" w:cs="Arial" w:eastAsia="Arial" w:hAnsi="Arial"/>
                <w:sz w:val="9"/>
                <w:szCs w:val="9"/>
                <w:color w:val="auto"/>
              </w:rPr>
              <w:t>18,612</w:t>
            </w: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3,754,201</w:t>
            </w:r>
          </w:p>
        </w:tc>
        <w:tc>
          <w:tcPr>
            <w:tcW w:w="60" w:type="dxa"/>
            <w:vAlign w:val="bottom"/>
          </w:tcPr>
          <w:p>
            <w:pPr>
              <w:spacing w:after="0"/>
              <w:rPr>
                <w:sz w:val="8"/>
                <w:szCs w:val="8"/>
                <w:color w:val="auto"/>
              </w:rPr>
            </w:pPr>
          </w:p>
        </w:tc>
        <w:tc>
          <w:tcPr>
            <w:tcW w:w="460" w:type="dxa"/>
            <w:vAlign w:val="bottom"/>
            <w:gridSpan w:val="3"/>
          </w:tcPr>
          <w:p>
            <w:pPr>
              <w:jc w:val="right"/>
              <w:ind w:right="100"/>
              <w:spacing w:after="0" w:line="94" w:lineRule="exact"/>
              <w:rPr>
                <w:sz w:val="20"/>
                <w:szCs w:val="20"/>
                <w:color w:val="auto"/>
              </w:rPr>
            </w:pPr>
            <w:r>
              <w:rPr>
                <w:rFonts w:ascii="Arial" w:cs="Arial" w:eastAsia="Arial" w:hAnsi="Arial"/>
                <w:sz w:val="9"/>
                <w:szCs w:val="9"/>
                <w:color w:val="auto"/>
              </w:rPr>
              <w:t>24,756</w:t>
            </w:r>
          </w:p>
        </w:tc>
        <w:tc>
          <w:tcPr>
            <w:tcW w:w="52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w w:val="99"/>
              </w:rPr>
              <w:t>5,494,064</w:t>
            </w:r>
          </w:p>
        </w:tc>
        <w:tc>
          <w:tcPr>
            <w:tcW w:w="60" w:type="dxa"/>
            <w:vAlign w:val="bottom"/>
          </w:tcPr>
          <w:p>
            <w:pPr>
              <w:spacing w:after="0"/>
              <w:rPr>
                <w:sz w:val="8"/>
                <w:szCs w:val="8"/>
                <w:color w:val="auto"/>
              </w:rPr>
            </w:pPr>
          </w:p>
        </w:tc>
        <w:tc>
          <w:tcPr>
            <w:tcW w:w="36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w w:val="94"/>
              </w:rPr>
              <w:t>54,929</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w w:val="99"/>
              </w:rPr>
              <w:t>7,289,571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4,512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(77,609)</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(73,097)</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Repurchase of</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Stock</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w w:val="99"/>
              </w:rPr>
              <w:t>(1,136,622)</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(5,001)</w:t>
            </w:r>
          </w:p>
        </w:tc>
        <w:tc>
          <w:tcPr>
            <w:tcW w:w="48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(390,152)</w:t>
            </w:r>
          </w:p>
        </w:tc>
        <w:tc>
          <w:tcPr>
            <w:tcW w:w="460" w:type="dxa"/>
            <w:vAlign w:val="bottom"/>
            <w:gridSpan w:val="3"/>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(2,001)</w:t>
            </w:r>
          </w:p>
        </w:tc>
        <w:tc>
          <w:tcPr>
            <w:tcW w:w="50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(405,453)</w:t>
            </w:r>
          </w:p>
        </w:tc>
        <w:tc>
          <w:tcPr>
            <w:tcW w:w="460" w:type="dxa"/>
            <w:vAlign w:val="bottom"/>
            <w:gridSpan w:val="3"/>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(2,700)</w:t>
            </w:r>
          </w:p>
        </w:tc>
        <w:tc>
          <w:tcPr>
            <w:tcW w:w="52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(314,659)</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w w:val="98"/>
              </w:rPr>
              <w:t>(3,150)</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(5,578)</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(3,223)</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(8,801)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tcPr>
          <w:p>
            <w:pPr>
              <w:spacing w:after="0" w:line="94" w:lineRule="exact"/>
              <w:rPr>
                <w:sz w:val="20"/>
                <w:szCs w:val="20"/>
                <w:color w:val="auto"/>
              </w:rPr>
            </w:pPr>
            <w:r>
              <w:rPr>
                <w:rFonts w:ascii="Arial" w:cs="Arial" w:eastAsia="Arial" w:hAnsi="Arial"/>
                <w:sz w:val="9"/>
                <w:szCs w:val="9"/>
                <w:color w:val="auto"/>
              </w:rPr>
              <w:t>Issuance of Stock</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1,136,622</w:t>
            </w:r>
          </w:p>
        </w:tc>
        <w:tc>
          <w:tcPr>
            <w:tcW w:w="40" w:type="dxa"/>
            <w:vAlign w:val="bottom"/>
          </w:tcPr>
          <w:p>
            <w:pPr>
              <w:spacing w:after="0"/>
              <w:rPr>
                <w:sz w:val="8"/>
                <w:szCs w:val="8"/>
                <w:color w:val="auto"/>
              </w:rPr>
            </w:pPr>
          </w:p>
        </w:tc>
        <w:tc>
          <w:tcPr>
            <w:tcW w:w="3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w w:val="94"/>
              </w:rPr>
              <w:t>10,883</w:t>
            </w:r>
          </w:p>
        </w:tc>
        <w:tc>
          <w:tcPr>
            <w:tcW w:w="48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rPr>
              <w:t>390,152</w:t>
            </w:r>
          </w:p>
        </w:tc>
        <w:tc>
          <w:tcPr>
            <w:tcW w:w="380" w:type="dxa"/>
            <w:vAlign w:val="bottom"/>
            <w:gridSpan w:val="2"/>
          </w:tcPr>
          <w:p>
            <w:pPr>
              <w:jc w:val="right"/>
              <w:spacing w:after="0" w:line="94" w:lineRule="exact"/>
              <w:rPr>
                <w:sz w:val="20"/>
                <w:szCs w:val="20"/>
                <w:color w:val="auto"/>
              </w:rPr>
            </w:pPr>
            <w:r>
              <w:rPr>
                <w:rFonts w:ascii="Arial" w:cs="Arial" w:eastAsia="Arial" w:hAnsi="Arial"/>
                <w:sz w:val="9"/>
                <w:szCs w:val="9"/>
                <w:color w:val="auto"/>
              </w:rPr>
              <w:t>3,736</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rPr>
              <w:t>405,453</w:t>
            </w:r>
          </w:p>
        </w:tc>
        <w:tc>
          <w:tcPr>
            <w:tcW w:w="460" w:type="dxa"/>
            <w:vAlign w:val="bottom"/>
            <w:gridSpan w:val="3"/>
          </w:tcPr>
          <w:p>
            <w:pPr>
              <w:jc w:val="right"/>
              <w:ind w:right="100"/>
              <w:spacing w:after="0" w:line="94" w:lineRule="exact"/>
              <w:rPr>
                <w:sz w:val="20"/>
                <w:szCs w:val="20"/>
                <w:color w:val="auto"/>
              </w:rPr>
            </w:pPr>
            <w:r>
              <w:rPr>
                <w:rFonts w:ascii="Arial" w:cs="Arial" w:eastAsia="Arial" w:hAnsi="Arial"/>
                <w:sz w:val="9"/>
                <w:szCs w:val="9"/>
                <w:color w:val="auto"/>
              </w:rPr>
              <w:t>3,948</w:t>
            </w:r>
          </w:p>
        </w:tc>
        <w:tc>
          <w:tcPr>
            <w:tcW w:w="52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314,659</w:t>
            </w:r>
          </w:p>
        </w:tc>
        <w:tc>
          <w:tcPr>
            <w:tcW w:w="60" w:type="dxa"/>
            <w:vAlign w:val="bottom"/>
          </w:tcPr>
          <w:p>
            <w:pPr>
              <w:spacing w:after="0"/>
              <w:rPr>
                <w:sz w:val="8"/>
                <w:szCs w:val="8"/>
                <w:color w:val="auto"/>
              </w:rPr>
            </w:pPr>
          </w:p>
        </w:tc>
        <w:tc>
          <w:tcPr>
            <w:tcW w:w="36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3,085</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Issuance of</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preferred stock</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 Series E</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2,275,759</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20"/>
              <w:spacing w:after="0" w:line="94" w:lineRule="exact"/>
              <w:rPr>
                <w:sz w:val="20"/>
                <w:szCs w:val="20"/>
                <w:color w:val="auto"/>
              </w:rPr>
            </w:pPr>
            <w:r>
              <w:rPr>
                <w:rFonts w:ascii="Arial" w:cs="Arial" w:eastAsia="Arial" w:hAnsi="Arial"/>
                <w:sz w:val="9"/>
                <w:szCs w:val="9"/>
                <w:color w:val="auto"/>
              </w:rPr>
              <w:t>30,757</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Exercise of</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common stock</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tcPr>
          <w:p>
            <w:pPr>
              <w:ind w:left="80"/>
              <w:spacing w:after="0" w:line="94" w:lineRule="exact"/>
              <w:rPr>
                <w:sz w:val="20"/>
                <w:szCs w:val="20"/>
                <w:color w:val="auto"/>
              </w:rPr>
            </w:pPr>
            <w:r>
              <w:rPr>
                <w:rFonts w:ascii="Arial" w:cs="Arial" w:eastAsia="Arial" w:hAnsi="Arial"/>
                <w:sz w:val="9"/>
                <w:szCs w:val="9"/>
                <w:color w:val="auto"/>
              </w:rPr>
              <w:t>options</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466,211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563</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(45)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518</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Stock based</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1,006</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1,006</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Comprehensive</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income</w:t>
            </w:r>
          </w:p>
        </w:tc>
        <w:tc>
          <w:tcPr>
            <w:tcW w:w="3020" w:type="dxa"/>
            <w:vAlign w:val="bottom"/>
            <w:gridSpan w:val="21"/>
          </w:tcPr>
          <w:p>
            <w:pP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Foreign</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currency</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tcBorders>
              <w:right w:val="single" w:sz="8" w:color="auto"/>
            </w:tcBorders>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210</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210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tcBorders>
              <w:right w:val="single" w:sz="8" w:color="auto"/>
            </w:tcBorders>
          </w:tcPr>
          <w:p>
            <w:pPr>
              <w:ind w:left="1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(31,085)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(31,085)</w:t>
            </w:r>
          </w:p>
        </w:tc>
        <w:tc>
          <w:tcPr>
            <w:tcW w:w="0" w:type="dxa"/>
            <w:vAlign w:val="bottom"/>
          </w:tcPr>
          <w:p>
            <w:pPr>
              <w:spacing w:after="0"/>
              <w:rPr>
                <w:sz w:val="1"/>
                <w:szCs w:val="1"/>
                <w:color w:val="auto"/>
              </w:rPr>
            </w:pPr>
          </w:p>
        </w:tc>
      </w:tr>
      <w:tr>
        <w:trPr>
          <w:trHeight w:val="93"/>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Total</w:t>
            </w:r>
          </w:p>
        </w:tc>
        <w:tc>
          <w:tcPr>
            <w:tcW w:w="246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comprehensive</w:t>
            </w:r>
          </w:p>
        </w:tc>
        <w:tc>
          <w:tcPr>
            <w:tcW w:w="302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loss</w:t>
            </w:r>
          </w:p>
        </w:tc>
        <w:tc>
          <w:tcPr>
            <w:tcW w:w="3020" w:type="dxa"/>
            <w:vAlign w:val="bottom"/>
            <w:gridSpan w:val="21"/>
            <w:shd w:val="clear" w:color="auto" w:fill="CCEEFF"/>
          </w:tcPr>
          <w:p>
            <w:pPr>
              <w:jc w:val="right"/>
              <w:ind w:right="3020"/>
              <w:spacing w:after="0"/>
              <w:rPr>
                <w:sz w:val="20"/>
                <w:szCs w:val="20"/>
                <w:color w:val="auto"/>
              </w:rPr>
            </w:pPr>
            <w:r>
              <w:rPr>
                <w:rFonts w:ascii="Arial" w:cs="Arial" w:eastAsia="Arial" w:hAnsi="Arial"/>
                <w:sz w:val="9"/>
                <w:szCs w:val="9"/>
                <w:color w:val="auto"/>
              </w:rPr>
              <w:t>(30,875)</w:t>
            </w:r>
          </w:p>
        </w:tc>
        <w:tc>
          <w:tcPr>
            <w:tcW w:w="0" w:type="dxa"/>
            <w:vAlign w:val="bottom"/>
          </w:tcPr>
          <w:p>
            <w:pPr>
              <w:spacing w:after="0"/>
              <w:rPr>
                <w:sz w:val="1"/>
                <w:szCs w:val="1"/>
                <w:color w:val="auto"/>
              </w:rPr>
            </w:pPr>
          </w:p>
        </w:tc>
      </w:tr>
      <w:tr>
        <w:trPr>
          <w:trHeight w:val="100"/>
        </w:trPr>
        <w:tc>
          <w:tcPr>
            <w:tcW w:w="760" w:type="dxa"/>
            <w:vAlign w:val="bottom"/>
            <w:gridSpan w:val="2"/>
          </w:tcPr>
          <w:p>
            <w:pPr>
              <w:spacing w:after="0" w:line="100" w:lineRule="exact"/>
              <w:rPr>
                <w:sz w:val="20"/>
                <w:szCs w:val="20"/>
                <w:color w:val="auto"/>
              </w:rPr>
            </w:pPr>
            <w:r>
              <w:rPr>
                <w:rFonts w:ascii="Arial" w:cs="Arial" w:eastAsia="Arial" w:hAnsi="Arial"/>
                <w:sz w:val="9"/>
                <w:szCs w:val="9"/>
                <w:color w:val="auto"/>
              </w:rPr>
              <w:t>Balance,</w:t>
            </w: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gridSpan w:val="2"/>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right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280" w:type="dxa"/>
            <w:vAlign w:val="bottom"/>
            <w:tcBorders>
              <w:top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54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48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900" w:type="dxa"/>
            <w:vAlign w:val="bottom"/>
            <w:tcBorders>
              <w:right w:val="single" w:sz="8" w:color="auto"/>
            </w:tcBorders>
            <w:gridSpan w:val="40"/>
          </w:tcPr>
          <w:p>
            <w:pPr>
              <w:spacing w:after="0"/>
              <w:rPr>
                <w:sz w:val="20"/>
                <w:szCs w:val="20"/>
                <w:color w:val="auto"/>
              </w:rPr>
            </w:pPr>
            <w:r>
              <w:rPr>
                <w:rFonts w:ascii="Arial" w:cs="Arial" w:eastAsia="Arial" w:hAnsi="Arial"/>
                <w:sz w:val="9"/>
                <w:szCs w:val="9"/>
                <w:color w:val="auto"/>
              </w:rPr>
              <w:t>December 31,</w:t>
            </w:r>
          </w:p>
        </w:tc>
        <w:tc>
          <w:tcPr>
            <w:tcW w:w="302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2020</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jc w:val="right"/>
              <w:ind w:righ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440" w:type="dxa"/>
            <w:vAlign w:val="bottom"/>
            <w:gridSpan w:val="2"/>
          </w:tcPr>
          <w:p>
            <w:pPr>
              <w:ind w:left="20"/>
              <w:spacing w:after="0" w:line="94" w:lineRule="exact"/>
              <w:rPr>
                <w:sz w:val="20"/>
                <w:szCs w:val="20"/>
                <w:color w:val="auto"/>
              </w:rPr>
            </w:pPr>
            <w:r>
              <w:rPr>
                <w:rFonts w:ascii="Arial" w:cs="Arial" w:eastAsia="Arial" w:hAnsi="Arial"/>
                <w:sz w:val="9"/>
                <w:szCs w:val="9"/>
                <w:color w:val="auto"/>
                <w:w w:val="99"/>
              </w:rPr>
              <w:t>2,188,322</w:t>
            </w:r>
          </w:p>
        </w:tc>
        <w:tc>
          <w:tcPr>
            <w:tcW w:w="360" w:type="dxa"/>
            <w:vAlign w:val="bottom"/>
            <w:gridSpan w:val="3"/>
          </w:tcPr>
          <w:p>
            <w:pPr>
              <w:jc w:val="right"/>
              <w:ind w:right="4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2,998</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3"/>
          </w:tcPr>
          <w:p>
            <w:pPr>
              <w:jc w:val="right"/>
              <w:ind w:right="4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56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1,591,230</w:t>
            </w:r>
          </w:p>
        </w:tc>
        <w:tc>
          <w:tcPr>
            <w:tcW w:w="40" w:type="dxa"/>
            <w:vAlign w:val="bottom"/>
          </w:tcPr>
          <w:p>
            <w:pPr>
              <w:jc w:val="right"/>
              <w:spacing w:after="0"/>
              <w:rPr>
                <w:sz w:val="20"/>
                <w:szCs w:val="20"/>
                <w:color w:val="auto"/>
              </w:rPr>
            </w:pPr>
            <w:r>
              <w:rPr>
                <w:rFonts w:ascii="Arial" w:cs="Arial" w:eastAsia="Arial" w:hAnsi="Arial"/>
                <w:sz w:val="4"/>
                <w:szCs w:val="4"/>
                <w:color w:val="auto"/>
                <w:w w:val="87"/>
              </w:rPr>
              <w:t>$</w:t>
            </w:r>
          </w:p>
        </w:tc>
        <w:tc>
          <w:tcPr>
            <w:tcW w:w="3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w w:val="94"/>
              </w:rPr>
              <w:t>12,839</w:t>
            </w:r>
          </w:p>
        </w:tc>
        <w:tc>
          <w:tcPr>
            <w:tcW w:w="48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w w:val="99"/>
              </w:rPr>
              <w:t>4,044,271</w:t>
            </w:r>
          </w:p>
        </w:tc>
        <w:tc>
          <w:tcPr>
            <w:tcW w:w="460" w:type="dxa"/>
            <w:vAlign w:val="bottom"/>
            <w:gridSpan w:val="3"/>
          </w:tcPr>
          <w:p>
            <w:pPr>
              <w:jc w:val="right"/>
              <w:ind w:right="80"/>
              <w:spacing w:after="0" w:line="94" w:lineRule="exact"/>
              <w:rPr>
                <w:sz w:val="20"/>
                <w:szCs w:val="20"/>
                <w:color w:val="auto"/>
              </w:rPr>
            </w:pPr>
            <w:r>
              <w:rPr>
                <w:rFonts w:ascii="Arial" w:cs="Arial" w:eastAsia="Arial" w:hAnsi="Arial"/>
                <w:sz w:val="9"/>
                <w:szCs w:val="9"/>
                <w:color w:val="auto"/>
              </w:rPr>
              <w:t>$ 20,347</w:t>
            </w: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3,754,201</w:t>
            </w:r>
          </w:p>
        </w:tc>
        <w:tc>
          <w:tcPr>
            <w:tcW w:w="60" w:type="dxa"/>
            <w:vAlign w:val="bottom"/>
          </w:tcPr>
          <w:p>
            <w:pPr>
              <w:spacing w:after="0"/>
              <w:rPr>
                <w:sz w:val="8"/>
                <w:szCs w:val="8"/>
                <w:color w:val="auto"/>
              </w:rPr>
            </w:pPr>
          </w:p>
        </w:tc>
        <w:tc>
          <w:tcPr>
            <w:tcW w:w="460" w:type="dxa"/>
            <w:vAlign w:val="bottom"/>
            <w:gridSpan w:val="3"/>
          </w:tcPr>
          <w:p>
            <w:pPr>
              <w:jc w:val="right"/>
              <w:ind w:right="100"/>
              <w:spacing w:after="0" w:line="94" w:lineRule="exact"/>
              <w:rPr>
                <w:sz w:val="20"/>
                <w:szCs w:val="20"/>
                <w:color w:val="auto"/>
              </w:rPr>
            </w:pPr>
            <w:r>
              <w:rPr>
                <w:rFonts w:ascii="Arial" w:cs="Arial" w:eastAsia="Arial" w:hAnsi="Arial"/>
                <w:sz w:val="9"/>
                <w:szCs w:val="9"/>
                <w:color w:val="auto"/>
                <w:w w:val="96"/>
              </w:rPr>
              <w:t>$ 26,004</w:t>
            </w:r>
          </w:p>
        </w:tc>
        <w:tc>
          <w:tcPr>
            <w:tcW w:w="52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w w:val="99"/>
              </w:rPr>
              <w:t>5,494,064</w:t>
            </w:r>
          </w:p>
        </w:tc>
        <w:tc>
          <w:tcPr>
            <w:tcW w:w="60" w:type="dxa"/>
            <w:vAlign w:val="bottom"/>
          </w:tcPr>
          <w:p>
            <w:pPr>
              <w:jc w:val="right"/>
              <w:spacing w:after="0" w:line="94" w:lineRule="exact"/>
              <w:rPr>
                <w:sz w:val="20"/>
                <w:szCs w:val="20"/>
                <w:color w:val="auto"/>
              </w:rPr>
            </w:pPr>
            <w:r>
              <w:rPr>
                <w:rFonts w:ascii="Arial" w:cs="Arial" w:eastAsia="Arial" w:hAnsi="Arial"/>
                <w:sz w:val="9"/>
                <w:szCs w:val="9"/>
                <w:color w:val="auto"/>
                <w:w w:val="78"/>
              </w:rPr>
              <w:t>$</w:t>
            </w:r>
          </w:p>
        </w:tc>
        <w:tc>
          <w:tcPr>
            <w:tcW w:w="36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w w:val="94"/>
              </w:rPr>
              <w:t>54,864</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2,275,759</w:t>
            </w:r>
          </w:p>
        </w:tc>
        <w:tc>
          <w:tcPr>
            <w:tcW w:w="40" w:type="dxa"/>
            <w:vAlign w:val="bottom"/>
          </w:tcPr>
          <w:p>
            <w:pPr>
              <w:jc w:val="right"/>
              <w:spacing w:after="0"/>
              <w:rPr>
                <w:sz w:val="20"/>
                <w:szCs w:val="20"/>
                <w:color w:val="auto"/>
              </w:rPr>
            </w:pPr>
            <w:r>
              <w:rPr>
                <w:rFonts w:ascii="Arial" w:cs="Arial" w:eastAsia="Arial" w:hAnsi="Arial"/>
                <w:sz w:val="4"/>
                <w:szCs w:val="4"/>
                <w:color w:val="auto"/>
                <w:w w:val="87"/>
              </w:rPr>
              <w:t>$</w:t>
            </w:r>
          </w:p>
        </w:tc>
        <w:tc>
          <w:tcPr>
            <w:tcW w:w="340" w:type="dxa"/>
            <w:vAlign w:val="bottom"/>
            <w:tcBorders>
              <w:right w:val="single" w:sz="8" w:color="auto"/>
            </w:tcBorders>
          </w:tcPr>
          <w:p>
            <w:pPr>
              <w:ind w:left="20"/>
              <w:spacing w:after="0" w:line="94" w:lineRule="exact"/>
              <w:rPr>
                <w:sz w:val="20"/>
                <w:szCs w:val="20"/>
                <w:color w:val="auto"/>
              </w:rPr>
            </w:pPr>
            <w:r>
              <w:rPr>
                <w:rFonts w:ascii="Arial" w:cs="Arial" w:eastAsia="Arial" w:hAnsi="Arial"/>
                <w:sz w:val="9"/>
                <w:szCs w:val="9"/>
                <w:color w:val="auto"/>
              </w:rPr>
              <w:t>30,757</w:t>
            </w:r>
          </w:p>
        </w:tc>
        <w:tc>
          <w:tcPr>
            <w:tcW w:w="20" w:type="dxa"/>
            <w:vAlign w:val="bottom"/>
          </w:tcPr>
          <w:p>
            <w:pPr>
              <w:spacing w:after="0"/>
              <w:rPr>
                <w:sz w:val="8"/>
                <w:szCs w:val="8"/>
                <w:color w:val="auto"/>
              </w:rPr>
            </w:pPr>
          </w:p>
        </w:tc>
        <w:tc>
          <w:tcPr>
            <w:tcW w:w="44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w w:val="99"/>
              </w:rPr>
              <w:t>7,755,782</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0" w:type="dxa"/>
            <w:vAlign w:val="bottom"/>
          </w:tcPr>
          <w:p>
            <w:pPr>
              <w:ind w:left="60"/>
              <w:spacing w:after="0" w:line="94" w:lineRule="exact"/>
              <w:rPr>
                <w:sz w:val="20"/>
                <w:szCs w:val="20"/>
                <w:color w:val="auto"/>
              </w:rPr>
            </w:pPr>
            <w:r>
              <w:rPr>
                <w:rFonts w:ascii="Arial" w:cs="Arial" w:eastAsia="Arial" w:hAnsi="Arial"/>
                <w:sz w:val="9"/>
                <w:szCs w:val="9"/>
                <w:color w:val="auto"/>
              </w:rPr>
              <w:t>—</w:t>
            </w:r>
          </w:p>
        </w:tc>
        <w:tc>
          <w:tcPr>
            <w:tcW w:w="100" w:type="dxa"/>
            <w:vAlign w:val="bottom"/>
            <w:gridSpan w:val="2"/>
          </w:tcPr>
          <w:p>
            <w:pPr>
              <w:ind w:left="4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503</w:t>
            </w:r>
          </w:p>
        </w:tc>
        <w:tc>
          <w:tcPr>
            <w:tcW w:w="140" w:type="dxa"/>
            <w:vAlign w:val="bottom"/>
            <w:gridSpan w:val="2"/>
          </w:tcPr>
          <w:p>
            <w:pPr>
              <w:jc w:val="right"/>
              <w:ind w:right="24"/>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80"/>
              <w:spacing w:after="0" w:line="94" w:lineRule="exact"/>
              <w:rPr>
                <w:sz w:val="20"/>
                <w:szCs w:val="20"/>
                <w:color w:val="auto"/>
              </w:rPr>
            </w:pPr>
            <w:r>
              <w:rPr>
                <w:rFonts w:ascii="Arial" w:cs="Arial" w:eastAsia="Arial" w:hAnsi="Arial"/>
                <w:sz w:val="9"/>
                <w:szCs w:val="9"/>
                <w:color w:val="auto"/>
              </w:rPr>
              <w:t>210</w:t>
            </w:r>
          </w:p>
        </w:tc>
        <w:tc>
          <w:tcPr>
            <w:tcW w:w="80" w:type="dxa"/>
            <w:vAlign w:val="bottom"/>
          </w:tcPr>
          <w:p>
            <w:pPr>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w w:val="98"/>
              </w:rPr>
              <w:t>(111,962)</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(111,249)</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line="232"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780" w:type="dxa"/>
            <w:vAlign w:val="bottom"/>
            <w:gridSpan w:val="3"/>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60" w:type="dxa"/>
            <w:vAlign w:val="bottom"/>
          </w:tcPr>
          <w:p>
            <w:pPr>
              <w:spacing w:after="0"/>
              <w:rPr>
                <w:sz w:val="7"/>
                <w:szCs w:val="7"/>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gridSpan w:val="5"/>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Additional</w:t>
            </w:r>
          </w:p>
        </w:tc>
        <w:tc>
          <w:tcPr>
            <w:tcW w:w="100" w:type="dxa"/>
            <w:vAlign w:val="bottom"/>
          </w:tcPr>
          <w:p>
            <w:pPr>
              <w:spacing w:after="0"/>
              <w:rPr>
                <w:sz w:val="2"/>
                <w:szCs w:val="2"/>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Seed-1</w:t>
            </w:r>
          </w:p>
        </w:tc>
        <w:tc>
          <w:tcPr>
            <w:tcW w:w="780" w:type="dxa"/>
            <w:vAlign w:val="bottom"/>
            <w:gridSpan w:val="3"/>
            <w:vMerge w:val="restart"/>
          </w:tcPr>
          <w:p>
            <w:pPr>
              <w:ind w:left="280"/>
              <w:spacing w:after="0"/>
              <w:rPr>
                <w:sz w:val="20"/>
                <w:szCs w:val="20"/>
                <w:color w:val="auto"/>
              </w:rPr>
            </w:pPr>
            <w:r>
              <w:rPr>
                <w:rFonts w:ascii="Arial" w:cs="Arial" w:eastAsia="Arial" w:hAnsi="Arial"/>
                <w:sz w:val="7"/>
                <w:szCs w:val="7"/>
                <w:b w:val="1"/>
                <w:bCs w:val="1"/>
                <w:color w:val="auto"/>
              </w:rPr>
              <w:t>Seed-2</w:t>
            </w:r>
          </w:p>
        </w:tc>
        <w:tc>
          <w:tcPr>
            <w:tcW w:w="60" w:type="dxa"/>
            <w:vAlign w:val="bottom"/>
          </w:tcPr>
          <w:p>
            <w:pPr>
              <w:spacing w:after="0"/>
              <w:rPr>
                <w:sz w:val="4"/>
                <w:szCs w:val="4"/>
                <w:color w:val="auto"/>
              </w:rPr>
            </w:pPr>
          </w:p>
        </w:tc>
        <w:tc>
          <w:tcPr>
            <w:tcW w:w="860" w:type="dxa"/>
            <w:vAlign w:val="bottom"/>
            <w:gridSpan w:val="4"/>
            <w:vMerge w:val="restart"/>
          </w:tcPr>
          <w:p>
            <w:pPr>
              <w:ind w:left="220"/>
              <w:spacing w:after="0"/>
              <w:rPr>
                <w:sz w:val="20"/>
                <w:szCs w:val="20"/>
                <w:color w:val="auto"/>
              </w:rPr>
            </w:pPr>
            <w:r>
              <w:rPr>
                <w:rFonts w:ascii="Arial" w:cs="Arial" w:eastAsia="Arial" w:hAnsi="Arial"/>
                <w:sz w:val="7"/>
                <w:szCs w:val="7"/>
                <w:b w:val="1"/>
                <w:bCs w:val="1"/>
                <w:color w:val="auto"/>
              </w:rPr>
              <w:t>Series A-1</w:t>
            </w:r>
          </w:p>
        </w:tc>
        <w:tc>
          <w:tcPr>
            <w:tcW w:w="880" w:type="dxa"/>
            <w:vAlign w:val="bottom"/>
            <w:gridSpan w:val="5"/>
            <w:vMerge w:val="restart"/>
          </w:tcPr>
          <w:p>
            <w:pPr>
              <w:ind w:left="240"/>
              <w:spacing w:after="0"/>
              <w:rPr>
                <w:sz w:val="20"/>
                <w:szCs w:val="20"/>
                <w:color w:val="auto"/>
              </w:rPr>
            </w:pPr>
            <w:r>
              <w:rPr>
                <w:rFonts w:ascii="Arial" w:cs="Arial" w:eastAsia="Arial" w:hAnsi="Arial"/>
                <w:sz w:val="7"/>
                <w:szCs w:val="7"/>
                <w:b w:val="1"/>
                <w:bCs w:val="1"/>
                <w:color w:val="auto"/>
              </w:rPr>
              <w:t>Series A-2</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B</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C</w:t>
            </w:r>
          </w:p>
        </w:tc>
        <w:tc>
          <w:tcPr>
            <w:tcW w:w="900" w:type="dxa"/>
            <w:vAlign w:val="bottom"/>
            <w:gridSpan w:val="5"/>
            <w:vMerge w:val="restart"/>
          </w:tcPr>
          <w:p>
            <w:pPr>
              <w:ind w:left="280"/>
              <w:spacing w:after="0"/>
              <w:rPr>
                <w:sz w:val="20"/>
                <w:szCs w:val="20"/>
                <w:color w:val="auto"/>
              </w:rPr>
            </w:pPr>
            <w:r>
              <w:rPr>
                <w:rFonts w:ascii="Arial" w:cs="Arial" w:eastAsia="Arial" w:hAnsi="Arial"/>
                <w:sz w:val="7"/>
                <w:szCs w:val="7"/>
                <w:b w:val="1"/>
                <w:bCs w:val="1"/>
                <w:color w:val="auto"/>
              </w:rPr>
              <w:t>Series D</w:t>
            </w:r>
          </w:p>
        </w:tc>
        <w:tc>
          <w:tcPr>
            <w:tcW w:w="880" w:type="dxa"/>
            <w:vAlign w:val="bottom"/>
            <w:tcBorders>
              <w:right w:val="single" w:sz="8" w:color="auto"/>
            </w:tcBorders>
            <w:gridSpan w:val="3"/>
            <w:vMerge w:val="restart"/>
          </w:tcPr>
          <w:p>
            <w:pPr>
              <w:ind w:left="260"/>
              <w:spacing w:after="0"/>
              <w:rPr>
                <w:sz w:val="20"/>
                <w:szCs w:val="20"/>
                <w:color w:val="auto"/>
              </w:rPr>
            </w:pPr>
            <w:r>
              <w:rPr>
                <w:rFonts w:ascii="Arial" w:cs="Arial" w:eastAsia="Arial" w:hAnsi="Arial"/>
                <w:sz w:val="7"/>
                <w:szCs w:val="7"/>
                <w:b w:val="1"/>
                <w:bCs w:val="1"/>
                <w:color w:val="auto"/>
              </w:rPr>
              <w:t>Series E</w:t>
            </w:r>
          </w:p>
        </w:tc>
        <w:tc>
          <w:tcPr>
            <w:tcW w:w="20" w:type="dxa"/>
            <w:vAlign w:val="bottom"/>
          </w:tcPr>
          <w:p>
            <w:pPr>
              <w:spacing w:after="0"/>
              <w:rPr>
                <w:sz w:val="4"/>
                <w:szCs w:val="4"/>
                <w:color w:val="auto"/>
              </w:rPr>
            </w:pPr>
          </w:p>
        </w:tc>
        <w:tc>
          <w:tcPr>
            <w:tcW w:w="820" w:type="dxa"/>
            <w:vAlign w:val="bottom"/>
            <w:gridSpan w:val="6"/>
            <w:vMerge w:val="restart"/>
          </w:tcPr>
          <w:p>
            <w:pPr>
              <w:ind w:left="140"/>
              <w:spacing w:after="0"/>
              <w:rPr>
                <w:sz w:val="20"/>
                <w:szCs w:val="20"/>
                <w:color w:val="auto"/>
              </w:rPr>
            </w:pPr>
            <w:r>
              <w:rPr>
                <w:rFonts w:ascii="Arial" w:cs="Arial" w:eastAsia="Arial" w:hAnsi="Arial"/>
                <w:sz w:val="7"/>
                <w:szCs w:val="7"/>
                <w:b w:val="1"/>
                <w:bCs w:val="1"/>
                <w:color w:val="auto"/>
              </w:rPr>
              <w:t>Common Stock</w:t>
            </w:r>
          </w:p>
        </w:tc>
        <w:tc>
          <w:tcPr>
            <w:tcW w:w="2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restart"/>
          </w:tcPr>
          <w:p>
            <w:pPr>
              <w:jc w:val="right"/>
              <w:ind w:right="80"/>
              <w:spacing w:after="0"/>
              <w:rPr>
                <w:sz w:val="20"/>
                <w:szCs w:val="20"/>
                <w:color w:val="auto"/>
              </w:rPr>
            </w:pPr>
            <w:r>
              <w:rPr>
                <w:rFonts w:ascii="Arial" w:cs="Arial" w:eastAsia="Arial" w:hAnsi="Arial"/>
                <w:sz w:val="7"/>
                <w:szCs w:val="7"/>
                <w:b w:val="1"/>
                <w:bCs w:val="1"/>
                <w:color w:val="auto"/>
              </w:rPr>
              <w:t>Paid-in   Comprehensive   Accumulated</w:t>
            </w:r>
          </w:p>
        </w:tc>
        <w:tc>
          <w:tcPr>
            <w:tcW w:w="4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280" w:type="dxa"/>
            <w:vAlign w:val="bottom"/>
          </w:tcPr>
          <w:p>
            <w:pPr>
              <w:spacing w:after="0"/>
              <w:rPr>
                <w:sz w:val="20"/>
                <w:szCs w:val="20"/>
                <w:color w:val="auto"/>
              </w:rPr>
            </w:pPr>
            <w:r>
              <w:rPr>
                <w:rFonts w:ascii="Arial" w:cs="Arial" w:eastAsia="Arial" w:hAnsi="Arial"/>
                <w:sz w:val="7"/>
                <w:szCs w:val="7"/>
                <w:b w:val="1"/>
                <w:bCs w:val="1"/>
                <w:color w:val="auto"/>
                <w:w w:val="98"/>
              </w:rPr>
              <w:t>Amount</w:t>
            </w:r>
          </w:p>
        </w:tc>
        <w:tc>
          <w:tcPr>
            <w:tcW w:w="60" w:type="dxa"/>
            <w:vAlign w:val="bottom"/>
          </w:tcPr>
          <w:p>
            <w:pPr>
              <w:spacing w:after="0"/>
              <w:rPr>
                <w:sz w:val="7"/>
                <w:szCs w:val="7"/>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rPr>
              <w:t>Shares</w:t>
            </w: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8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tcBorders>
              <w:right w:val="single" w:sz="8" w:color="auto"/>
            </w:tcBorders>
          </w:tcPr>
          <w:p>
            <w:pPr>
              <w:jc w:val="center"/>
              <w:ind w:right="16"/>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2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w w:val="94"/>
              </w:rPr>
              <w:t>Capital</w:t>
            </w:r>
          </w:p>
        </w:tc>
        <w:tc>
          <w:tcPr>
            <w:tcW w:w="100" w:type="dxa"/>
            <w:vAlign w:val="bottom"/>
          </w:tcPr>
          <w:p>
            <w:pPr>
              <w:spacing w:after="0"/>
              <w:rPr>
                <w:sz w:val="7"/>
                <w:szCs w:val="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Income</w:t>
            </w:r>
          </w:p>
        </w:tc>
        <w:tc>
          <w:tcPr>
            <w:tcW w:w="8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40" w:type="dxa"/>
            <w:vAlign w:val="bottom"/>
            <w:tcBorders>
              <w:top w:val="single" w:sz="8" w:color="CCEEFF"/>
            </w:tcBorders>
            <w:shd w:val="clear" w:color="auto" w:fill="CCEEFF"/>
          </w:tcPr>
          <w:p>
            <w:pPr>
              <w:spacing w:after="0" w:line="74" w:lineRule="exact"/>
              <w:rPr>
                <w:sz w:val="20"/>
                <w:szCs w:val="20"/>
                <w:color w:val="auto"/>
              </w:rPr>
            </w:pPr>
            <w:r>
              <w:rPr>
                <w:rFonts w:ascii="Arial" w:cs="Arial" w:eastAsia="Arial" w:hAnsi="Arial"/>
                <w:sz w:val="8"/>
                <w:szCs w:val="8"/>
                <w:color w:val="auto"/>
              </w:rPr>
              <w:t>Balance, December</w:t>
            </w: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gridSpan w:val="2"/>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36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48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31, 2019</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7,289,571</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4,512</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(77,609)</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(73,097)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169,212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(8,656)</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2020</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tcPr>
          <w:p>
            <w:pPr>
              <w:spacing w:after="0"/>
              <w:rPr>
                <w:sz w:val="8"/>
                <w:szCs w:val="8"/>
                <w:color w:val="auto"/>
              </w:rPr>
            </w:pP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7,458,783</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4,755</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(86,216)</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(81,510)</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Balance, December</w:t>
            </w:r>
          </w:p>
        </w:tc>
        <w:tc>
          <w:tcPr>
            <w:tcW w:w="3060" w:type="dxa"/>
            <w:vAlign w:val="bottom"/>
            <w:gridSpan w:val="21"/>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31, 2020</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shd w:val="clear" w:color="auto" w:fill="CCEEFF"/>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7,755,782</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503</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210</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w w:val="98"/>
              </w:rPr>
              <w:t>(111,962)</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(111,249)</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483,712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30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(10,471)</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2021</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8,239,494</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1,854</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240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w w:val="98"/>
              </w:rPr>
              <w:t>(122,463)</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(120,369)</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jc w:val="center"/>
        <w:ind w:right="-159"/>
        <w:spacing w:after="0"/>
        <w:rPr>
          <w:sz w:val="20"/>
          <w:szCs w:val="20"/>
          <w:color w:val="auto"/>
        </w:rPr>
      </w:pPr>
      <w:r>
        <w:rPr>
          <w:rFonts w:ascii="Arial" w:cs="Arial" w:eastAsia="Arial" w:hAnsi="Arial"/>
          <w:sz w:val="18"/>
          <w:szCs w:val="18"/>
          <w:color w:val="auto"/>
        </w:rPr>
        <w:t>(In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5"/>
            <w:shd w:val="clear" w:color="auto" w:fill="CCEEFF"/>
          </w:tcPr>
          <w:p>
            <w:pPr>
              <w:jc w:val="right"/>
              <w:ind w:right="229"/>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(31,085)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(30,994)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(10,501)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(8,607)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1,847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Reduction in carrying amount of right-of-use asset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writeoff</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Gain on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discount on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8,569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1,645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(22,049)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(27,125)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(17,711)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(28,850)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(17,710)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short-term investments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28,571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30,470</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17,002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A-2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10,883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A-2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54,929</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D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30,757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dividend to preferred stockholders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stock options exercised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line of credit,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other borrowings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Repayment of other borrowings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finance lease obligations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financing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35,261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54,715</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19,752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25,240</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(10,362)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59,874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40,122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59,874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40,122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49,512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vMerge w:val="restart"/>
          </w:tcPr>
          <w:p>
            <w:pPr>
              <w:spacing w:after="0"/>
              <w:rPr>
                <w:sz w:val="5"/>
                <w:szCs w:val="5"/>
                <w:color w:val="auto"/>
              </w:rPr>
            </w:pPr>
          </w:p>
        </w:tc>
        <w:tc>
          <w:tcPr>
            <w:tcW w:w="6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Cash paid for interest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1,269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1,111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activity:</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Non-cash consideration issued in connection with the acquisition of Shift GmbH</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2,743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700" w:hanging="533"/>
        <w:spacing w:after="0"/>
        <w:tabs>
          <w:tab w:leader="none" w:pos="7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98" w:lineRule="exact"/>
        <w:rPr>
          <w:rFonts w:ascii="Arial" w:cs="Arial" w:eastAsia="Arial" w:hAnsi="Arial"/>
          <w:sz w:val="18"/>
          <w:szCs w:val="18"/>
          <w:b w:val="1"/>
          <w:bCs w:val="1"/>
          <w:color w:val="auto"/>
        </w:rPr>
      </w:pPr>
    </w:p>
    <w:p>
      <w:pPr>
        <w:ind w:left="720" w:right="1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95" w:lineRule="exact"/>
        <w:rPr>
          <w:rFonts w:ascii="Arial" w:cs="Arial" w:eastAsia="Arial" w:hAnsi="Arial"/>
          <w:sz w:val="18"/>
          <w:szCs w:val="18"/>
          <w:b w:val="1"/>
          <w:bCs w:val="1"/>
          <w:color w:val="auto"/>
        </w:rPr>
      </w:pPr>
    </w:p>
    <w:p>
      <w:pPr>
        <w:ind w:left="720" w:right="2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Machine Tool &amp; Supply Corporation (“MTS”), a machine and tool supplier, located in Tennessee and on November 26, 2019, the Company acquired Munich, Germany based Shift, an on-demand manufacturing marketplace in Europe.</w:t>
      </w:r>
    </w:p>
    <w:p>
      <w:pPr>
        <w:spacing w:after="0" w:line="327" w:lineRule="exact"/>
        <w:rPr>
          <w:rFonts w:ascii="Arial" w:cs="Arial" w:eastAsia="Arial" w:hAnsi="Arial"/>
          <w:sz w:val="18"/>
          <w:szCs w:val="18"/>
          <w:b w:val="1"/>
          <w:bCs w:val="1"/>
          <w:color w:val="auto"/>
        </w:rPr>
      </w:pPr>
    </w:p>
    <w:p>
      <w:pPr>
        <w:ind w:left="700" w:hanging="533"/>
        <w:spacing w:after="0"/>
        <w:tabs>
          <w:tab w:leader="none" w:pos="7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4" w:lineRule="exact"/>
        <w:rPr>
          <w:sz w:val="20"/>
          <w:szCs w:val="20"/>
          <w:color w:val="auto"/>
        </w:rPr>
      </w:pPr>
    </w:p>
    <w:p>
      <w:pPr>
        <w:ind w:left="1340" w:hanging="638"/>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Principles of Consolidation and Basis of Presentation</w:t>
      </w:r>
    </w:p>
    <w:p>
      <w:pPr>
        <w:spacing w:after="0" w:line="123" w:lineRule="exact"/>
        <w:rPr>
          <w:sz w:val="20"/>
          <w:szCs w:val="20"/>
          <w:color w:val="auto"/>
        </w:rPr>
      </w:pPr>
    </w:p>
    <w:p>
      <w:pPr>
        <w:ind w:left="1360" w:right="80"/>
        <w:spacing w:after="0" w:line="236" w:lineRule="auto"/>
        <w:rPr>
          <w:sz w:val="20"/>
          <w:szCs w:val="20"/>
          <w:color w:val="auto"/>
        </w:rPr>
      </w:pPr>
      <w:r>
        <w:rPr>
          <w:rFonts w:ascii="Arial" w:cs="Arial" w:eastAsia="Arial" w:hAnsi="Arial"/>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Europe.</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9"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90" w:lineRule="exact"/>
        <w:rPr>
          <w:sz w:val="20"/>
          <w:szCs w:val="20"/>
          <w:color w:val="auto"/>
        </w:rPr>
      </w:pPr>
    </w:p>
    <w:p>
      <w:pPr>
        <w:ind w:left="1340" w:hanging="638"/>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Interim Consolidated Financial Information</w:t>
      </w:r>
    </w:p>
    <w:p>
      <w:pPr>
        <w:spacing w:after="0" w:line="123" w:lineRule="exact"/>
        <w:rPr>
          <w:sz w:val="20"/>
          <w:szCs w:val="20"/>
          <w:color w:val="auto"/>
        </w:rPr>
      </w:pPr>
    </w:p>
    <w:p>
      <w:pPr>
        <w:ind w:left="1360" w:right="100"/>
        <w:spacing w:after="0" w:line="235" w:lineRule="auto"/>
        <w:rPr>
          <w:sz w:val="20"/>
          <w:szCs w:val="20"/>
          <w:color w:val="auto"/>
        </w:rPr>
      </w:pPr>
      <w:r>
        <w:rPr>
          <w:rFonts w:ascii="Arial" w:cs="Arial" w:eastAsia="Arial" w:hAnsi="Arial"/>
          <w:sz w:val="18"/>
          <w:szCs w:val="18"/>
          <w:color w:val="auto"/>
        </w:rPr>
        <w:t>The accompanying interim Consolidated Balance Sheet as of March 31, 2021 and the Consolidated Statements of Operations and Comprehensive Loss, Consolidated Statements of Changes in Convertible Preferred Stock and Stockholders’ Deficit, and Cash Flows for the three months ended March 31, 2021 and 2020, and the related footnote disclosures are unaudited. These unaudited interim consolidated financial statements have been prepared in accordance with GAAP. In management’s opinion, the unaudited interim consolidated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320" w:top="456" w:right="5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financial statements include all adjustments necessary to state fairly the Company’s financial position as of March 31, 2021 and its results of operations and cash flows for the three months ended March 31, 2021 and 2020. The financial data and the other information disclosed in these notes to the consolidated financial statements related to these three-month periods are unaudited. The results for the three months ended March 31, 2021 are not necessarily indicative of the results expected for the full year ending December 31, 2021 or any future period.</w:t>
      </w:r>
    </w:p>
    <w:p>
      <w:pPr>
        <w:spacing w:after="0" w:line="88" w:lineRule="exact"/>
        <w:rPr>
          <w:sz w:val="20"/>
          <w:szCs w:val="20"/>
          <w:color w:val="auto"/>
        </w:rPr>
      </w:pPr>
    </w:p>
    <w:p>
      <w:pPr>
        <w:ind w:left="1340" w:hanging="638"/>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pro forma balance sheet information</w:t>
      </w:r>
    </w:p>
    <w:p>
      <w:pPr>
        <w:spacing w:after="0" w:line="12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The unaudited pro forma balance sheet information as of March 31, 2021 assumes the automatic conversion of all shares of convertible preferred stock outstanding as of that date into an aggregate of 27,758,941 shares of the Company’s common stock in connection with a qualifying initial public offering (“IPO”). The shares of common stock issuable and the proceeds expected to be received in connection with a qualifying IPO are excluded from such unaudited pro forma financial information. The unaudited pro forma balance sheet information as of March 31, 2021 also assumes the (i) filing of our amended and restated certificate of incorporation, (ii) the associated authorization of our Class A common stock and Class B common stock, (iii) the reclassification of our outstanding common stock into Class A common stock and (iv) the exchange of 2,676,154 shares of Class A common stock held by our co-founders for an equal number of shares of our Class B common stock, each of which will occur immediately prior to the completion of the IPO.</w:t>
      </w:r>
    </w:p>
    <w:p>
      <w:pPr>
        <w:spacing w:after="0" w:line="88" w:lineRule="exact"/>
        <w:rPr>
          <w:sz w:val="20"/>
          <w:szCs w:val="20"/>
          <w:color w:val="auto"/>
        </w:rPr>
      </w:pPr>
    </w:p>
    <w:p>
      <w:pPr>
        <w:ind w:left="1340" w:hanging="638"/>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p>
    <w:p>
      <w:pPr>
        <w:spacing w:after="0" w:line="123" w:lineRule="exact"/>
        <w:rPr>
          <w:sz w:val="20"/>
          <w:szCs w:val="20"/>
          <w:color w:val="auto"/>
        </w:rPr>
      </w:pPr>
    </w:p>
    <w:p>
      <w:pPr>
        <w:ind w:left="1360" w:right="340"/>
        <w:spacing w:after="0" w:line="239"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w:t>
      </w:r>
    </w:p>
    <w:p>
      <w:pPr>
        <w:spacing w:after="0" w:line="87" w:lineRule="exact"/>
        <w:rPr>
          <w:sz w:val="20"/>
          <w:szCs w:val="20"/>
          <w:color w:val="auto"/>
        </w:rPr>
      </w:pPr>
    </w:p>
    <w:p>
      <w:pPr>
        <w:ind w:left="1340" w:hanging="638"/>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left="1360" w:right="80"/>
        <w:spacing w:after="0" w:line="237"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87" w:lineRule="exact"/>
        <w:rPr>
          <w:sz w:val="20"/>
          <w:szCs w:val="20"/>
          <w:color w:val="auto"/>
        </w:rPr>
      </w:pPr>
    </w:p>
    <w:p>
      <w:pPr>
        <w:ind w:left="1340" w:hanging="638"/>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23" w:lineRule="exact"/>
        <w:rPr>
          <w:sz w:val="20"/>
          <w:szCs w:val="20"/>
          <w:color w:val="auto"/>
        </w:rPr>
      </w:pPr>
    </w:p>
    <w:p>
      <w:pPr>
        <w:ind w:left="1360" w:right="160"/>
        <w:spacing w:after="0" w:line="234"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Acquisition costs, such as legal and consulting fees, are expensed as incurred.</w:t>
      </w:r>
    </w:p>
    <w:p>
      <w:pPr>
        <w:spacing w:after="0" w:line="89" w:lineRule="exact"/>
        <w:rPr>
          <w:sz w:val="20"/>
          <w:szCs w:val="20"/>
          <w:color w:val="auto"/>
        </w:rPr>
      </w:pPr>
    </w:p>
    <w:p>
      <w:pPr>
        <w:ind w:left="1340" w:hanging="638"/>
        <w:spacing w:after="0"/>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 and Financial Instruments</w:t>
      </w:r>
    </w:p>
    <w:p>
      <w:pPr>
        <w:spacing w:after="0" w:line="123" w:lineRule="exact"/>
        <w:rPr>
          <w:sz w:val="20"/>
          <w:szCs w:val="20"/>
          <w:color w:val="auto"/>
        </w:rPr>
      </w:pPr>
    </w:p>
    <w:p>
      <w:pPr>
        <w:ind w:left="1360" w:right="100"/>
        <w:spacing w:after="0" w:line="236"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01" w:lineRule="exact"/>
        <w:rPr>
          <w:sz w:val="20"/>
          <w:szCs w:val="20"/>
          <w:color w:val="auto"/>
        </w:rPr>
      </w:pPr>
    </w:p>
    <w:p>
      <w:pPr>
        <w:ind w:left="1360"/>
        <w:spacing w:after="0" w:line="257" w:lineRule="auto"/>
        <w:rPr>
          <w:sz w:val="20"/>
          <w:szCs w:val="20"/>
          <w:color w:val="auto"/>
        </w:rPr>
      </w:pPr>
      <w:r>
        <w:rPr>
          <w:rFonts w:ascii="Arial" w:cs="Arial" w:eastAsia="Arial" w:hAnsi="Arial"/>
          <w:sz w:val="17"/>
          <w:szCs w:val="17"/>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81" w:lineRule="exact"/>
        <w:rPr>
          <w:sz w:val="20"/>
          <w:szCs w:val="20"/>
          <w:color w:val="auto"/>
        </w:rPr>
      </w:pPr>
    </w:p>
    <w:p>
      <w:pPr>
        <w:ind w:left="1360" w:right="320"/>
        <w:spacing w:after="0" w:line="237"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96" w:lineRule="exact"/>
        <w:rPr>
          <w:sz w:val="20"/>
          <w:szCs w:val="20"/>
          <w:color w:val="auto"/>
        </w:rPr>
      </w:pPr>
    </w:p>
    <w:p>
      <w:pPr>
        <w:ind w:left="1360" w:right="100"/>
        <w:spacing w:after="0" w:line="236"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short-term investments, accounts receivable, prepaid expenses and other assets, accounts payable, accrued expenses and contract liabilities approximate their fair values due to their short maturities. The carrying value of the Company’s long-term debt, which is recorded at cost, approximates its fair value due to its expected repayment in 2021.</w:t>
      </w:r>
    </w:p>
    <w:p>
      <w:pPr>
        <w:spacing w:after="0" w:line="87" w:lineRule="exact"/>
        <w:rPr>
          <w:sz w:val="20"/>
          <w:szCs w:val="20"/>
          <w:color w:val="auto"/>
        </w:rPr>
      </w:pPr>
    </w:p>
    <w:p>
      <w:pPr>
        <w:ind w:left="1340" w:hanging="638"/>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123" w:lineRule="exact"/>
        <w:rPr>
          <w:sz w:val="20"/>
          <w:szCs w:val="20"/>
          <w:color w:val="auto"/>
        </w:rPr>
      </w:pPr>
    </w:p>
    <w:p>
      <w:pPr>
        <w:ind w:left="1360" w:right="580"/>
        <w:spacing w:after="0" w:line="237" w:lineRule="auto"/>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87" w:lineRule="exact"/>
        <w:rPr>
          <w:sz w:val="20"/>
          <w:szCs w:val="20"/>
          <w:color w:val="auto"/>
        </w:rPr>
      </w:pPr>
    </w:p>
    <w:p>
      <w:pPr>
        <w:ind w:left="1340" w:hanging="638"/>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Short-term Investments</w:t>
      </w:r>
    </w:p>
    <w:p>
      <w:pPr>
        <w:spacing w:after="0" w:line="123"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The Company invested in various short-term debt investments consisting of US Treasury Securities, US Government bonds, and commercial paper. All of the investments have original maturity dates that are 6 months or less. These securities have been classified as held to maturity on the Company’s balance sheet and are recorded at amortized cost. Because of the short-term nature of the investments, carrying value approximates fair value. The Company had no short-term investments at March 31, 2021 (unaudited) and December 31, 2020 and $10.9 million of short-term investments at December 31, 2019.</w:t>
      </w:r>
    </w:p>
    <w:p>
      <w:pPr>
        <w:spacing w:after="0" w:line="86" w:lineRule="exact"/>
        <w:rPr>
          <w:sz w:val="20"/>
          <w:szCs w:val="20"/>
          <w:color w:val="auto"/>
        </w:rPr>
      </w:pPr>
    </w:p>
    <w:p>
      <w:pPr>
        <w:ind w:left="1340" w:hanging="638"/>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23"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90" w:lineRule="exact"/>
        <w:rPr>
          <w:sz w:val="20"/>
          <w:szCs w:val="20"/>
          <w:color w:val="auto"/>
        </w:rPr>
      </w:pPr>
    </w:p>
    <w:p>
      <w:pPr>
        <w:ind w:left="1340" w:hanging="638"/>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23" w:lineRule="exact"/>
        <w:rPr>
          <w:sz w:val="20"/>
          <w:szCs w:val="20"/>
          <w:color w:val="auto"/>
        </w:rPr>
      </w:pPr>
    </w:p>
    <w:p>
      <w:pPr>
        <w:ind w:left="1360" w:right="260"/>
        <w:spacing w:after="0" w:line="236" w:lineRule="auto"/>
        <w:rPr>
          <w:sz w:val="20"/>
          <w:szCs w:val="20"/>
          <w:color w:val="auto"/>
        </w:rPr>
      </w:pPr>
      <w:r>
        <w:rPr>
          <w:rFonts w:ascii="Arial" w:cs="Arial" w:eastAsia="Arial" w:hAnsi="Arial"/>
          <w:sz w:val="18"/>
          <w:szCs w:val="18"/>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20"/>
          </w:cols>
          <w:pgMar w:left="320" w:top="456" w:right="5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40" w:hanging="638"/>
        <w:spacing w:after="0"/>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23" w:lineRule="exact"/>
        <w:rPr>
          <w:sz w:val="20"/>
          <w:szCs w:val="20"/>
          <w:color w:val="auto"/>
        </w:rPr>
      </w:pPr>
    </w:p>
    <w:p>
      <w:pPr>
        <w:ind w:left="1360" w:right="80"/>
        <w:spacing w:after="0" w:line="236"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95" w:lineRule="exact"/>
        <w:rPr>
          <w:sz w:val="20"/>
          <w:szCs w:val="20"/>
          <w:color w:val="auto"/>
        </w:rPr>
      </w:pPr>
    </w:p>
    <w:p>
      <w:pPr>
        <w:ind w:left="1360" w:right="60"/>
        <w:spacing w:after="0" w:line="249" w:lineRule="auto"/>
        <w:rPr>
          <w:sz w:val="20"/>
          <w:szCs w:val="20"/>
          <w:color w:val="auto"/>
        </w:rPr>
      </w:pPr>
      <w:r>
        <w:rPr>
          <w:rFonts w:ascii="Arial" w:cs="Arial" w:eastAsia="Arial" w:hAnsi="Arial"/>
          <w:sz w:val="17"/>
          <w:szCs w:val="17"/>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2"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$3.6 million and $1.5 million for the years ended December 31, 2020 and 2019, respectively and $1.2 million for the quarter ended March 31, 2021 (unaudited).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90" w:lineRule="exact"/>
        <w:rPr>
          <w:sz w:val="20"/>
          <w:szCs w:val="20"/>
          <w:color w:val="auto"/>
        </w:rPr>
      </w:pPr>
    </w:p>
    <w:p>
      <w:pPr>
        <w:ind w:left="1340" w:hanging="638"/>
        <w:spacing w:after="0"/>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360" w:right="120"/>
        <w:spacing w:after="0" w:line="236" w:lineRule="auto"/>
        <w:rPr>
          <w:sz w:val="20"/>
          <w:szCs w:val="20"/>
          <w:color w:val="auto"/>
        </w:rPr>
      </w:pPr>
      <w:r>
        <w:rPr>
          <w:rFonts w:ascii="Arial" w:cs="Arial" w:eastAsia="Arial" w:hAnsi="Arial"/>
          <w:sz w:val="18"/>
          <w:szCs w:val="18"/>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95"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99" w:lineRule="exact"/>
        <w:rPr>
          <w:sz w:val="20"/>
          <w:szCs w:val="20"/>
          <w:color w:val="auto"/>
        </w:rPr>
      </w:pPr>
    </w:p>
    <w:p>
      <w:pPr>
        <w:ind w:left="1360" w:right="20"/>
        <w:spacing w:after="0" w:line="234"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360" w:right="200"/>
        <w:spacing w:after="0" w:line="237" w:lineRule="auto"/>
        <w:rPr>
          <w:sz w:val="20"/>
          <w:szCs w:val="20"/>
          <w:color w:val="auto"/>
        </w:rPr>
      </w:pPr>
      <w:r>
        <w:rPr>
          <w:rFonts w:ascii="Arial" w:cs="Arial" w:eastAsia="Arial" w:hAnsi="Arial"/>
          <w:sz w:val="18"/>
          <w:szCs w:val="18"/>
          <w:color w:val="auto"/>
        </w:rPr>
        <w:t>Revenue is shown net of estimated returns, refunds, and allowances. At March 31, 2021 (unaudited) and December 31, 2020, the Company has a $0.1 million provision for estimated returns, refunds or allowances. There was no provision for estimated returns, refunds or allowances at December 31, 2019.</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Contract Liabilities</w:t>
      </w:r>
    </w:p>
    <w:p>
      <w:pPr>
        <w:spacing w:after="0" w:line="119" w:lineRule="exact"/>
        <w:rPr>
          <w:sz w:val="20"/>
          <w:szCs w:val="20"/>
          <w:color w:val="auto"/>
        </w:rPr>
      </w:pPr>
    </w:p>
    <w:p>
      <w:pPr>
        <w:ind w:left="1360" w:right="60"/>
        <w:spacing w:after="0" w:line="237"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 satisfied and revenue has not been recognized based on the Company’s revenue recognition criteria described above.</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following table is a summary of the contract liabilities (in thousands):</w:t>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Rollforward of contract liabilities: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Contract liabilities at December 31, 2018</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6"/>
              </w:rPr>
              <w:t>$ 1,185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(1,185)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1,821</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December 31, 2019</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$ 1,821</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(1,821)</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2,355</w:t>
            </w:r>
          </w:p>
        </w:tc>
      </w:tr>
      <w:tr>
        <w:trPr>
          <w:trHeight w:val="20"/>
        </w:trPr>
        <w:tc>
          <w:tcPr>
            <w:tcW w:w="7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$ 2,355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3,927</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March 31, 2021 (unaudited)</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$ 3,927</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Sales Contract Acquisition Costs</w:t>
      </w:r>
    </w:p>
    <w:p>
      <w:pPr>
        <w:spacing w:after="0" w:line="119"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 are included in Xometry’s sales and marketing expenses in the Consolidated Statements of Operations and Comprehensive Loss.</w:t>
      </w:r>
    </w:p>
    <w:p>
      <w:pPr>
        <w:spacing w:after="0" w:line="86" w:lineRule="exact"/>
        <w:rPr>
          <w:sz w:val="20"/>
          <w:szCs w:val="20"/>
          <w:color w:val="auto"/>
        </w:rPr>
      </w:pPr>
    </w:p>
    <w:p>
      <w:pPr>
        <w:ind w:left="1340" w:hanging="638"/>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360" w:right="140"/>
        <w:spacing w:after="0" w:line="239"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87" w:lineRule="exact"/>
        <w:rPr>
          <w:sz w:val="20"/>
          <w:szCs w:val="20"/>
          <w:color w:val="auto"/>
        </w:rPr>
      </w:pPr>
    </w:p>
    <w:p>
      <w:pPr>
        <w:ind w:left="1340" w:hanging="638"/>
        <w:spacing w:after="0"/>
        <w:tabs>
          <w:tab w:leader="none" w:pos="1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105" w:lineRule="exact"/>
        <w:rPr>
          <w:sz w:val="20"/>
          <w:szCs w:val="20"/>
          <w:color w:val="auto"/>
        </w:rPr>
      </w:pPr>
    </w:p>
    <w:p>
      <w:pPr>
        <w:ind w:left="1360" w:right="220"/>
        <w:spacing w:after="0" w:line="242" w:lineRule="auto"/>
        <w:rPr>
          <w:sz w:val="20"/>
          <w:szCs w:val="20"/>
          <w:color w:val="auto"/>
        </w:rPr>
      </w:pPr>
      <w:r>
        <w:rPr>
          <w:rFonts w:ascii="Arial" w:cs="Arial" w:eastAsia="Arial" w:hAnsi="Arial"/>
          <w:sz w:val="18"/>
          <w:szCs w:val="18"/>
          <w:color w:val="auto"/>
        </w:rPr>
        <w:t xml:space="preserve">On January 1, 2019,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method. On January 1, 2019, the Company recognized $2.6 million of right of use (“ROU”) operating lease assets and $2.8 million of operating lease liabilities, including noncurrent operating lease liabilities of $2.2 million, as a result of adopting this standard.</w:t>
      </w:r>
    </w:p>
    <w:p>
      <w:pPr>
        <w:spacing w:after="0" w:line="93" w:lineRule="exact"/>
        <w:rPr>
          <w:sz w:val="20"/>
          <w:szCs w:val="20"/>
          <w:color w:val="auto"/>
        </w:rPr>
      </w:pPr>
    </w:p>
    <w:p>
      <w:pPr>
        <w:ind w:left="1360"/>
        <w:spacing w:after="0" w:line="236" w:lineRule="auto"/>
        <w:rPr>
          <w:sz w:val="20"/>
          <w:szCs w:val="20"/>
          <w:color w:val="auto"/>
        </w:rPr>
      </w:pPr>
      <w:r>
        <w:rPr>
          <w:rFonts w:ascii="Arial" w:cs="Arial" w:eastAsia="Arial" w:hAnsi="Arial"/>
          <w:sz w:val="18"/>
          <w:szCs w:val="18"/>
          <w:color w:val="auto"/>
        </w:rPr>
        <w:t>The new standard provides several optional practical expedients for use in transition. The Company elected to use what the FASB deemed the “package of practical expedients,” which allows the Company not to reassess the Company’s previous conclusions about lease identification, lease classification and the accounting treatment for initial direct costs. The standard also provided several optional practical expedients for the ongoing accounting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40"/>
          </w:cols>
          <w:pgMar w:left="320" w:top="456"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spacing w:after="0" w:line="235" w:lineRule="auto"/>
        <w:rPr>
          <w:sz w:val="20"/>
          <w:szCs w:val="20"/>
          <w:color w:val="auto"/>
        </w:rPr>
      </w:pPr>
      <w:r>
        <w:rPr>
          <w:rFonts w:ascii="Arial" w:cs="Arial" w:eastAsia="Arial" w:hAnsi="Arial"/>
          <w:sz w:val="18"/>
          <w:szCs w:val="18"/>
          <w:color w:val="auto"/>
        </w:rPr>
        <w:t>for leases. The Company has elected the short-term lease recognition exemption for all leases that qualify, meaning that for leases with terms of twelve months or less, the Company will not recognize ROU assets or lease liabilities on the Consolidated Balance Sheets. Additionally, the Company has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97" w:lineRule="exact"/>
        <w:rPr>
          <w:sz w:val="20"/>
          <w:szCs w:val="20"/>
          <w:color w:val="auto"/>
        </w:rPr>
      </w:pPr>
    </w:p>
    <w:p>
      <w:pPr>
        <w:ind w:left="1360" w:right="60"/>
        <w:spacing w:after="0" w:line="236" w:lineRule="auto"/>
        <w:rPr>
          <w:sz w:val="20"/>
          <w:szCs w:val="20"/>
          <w:color w:val="auto"/>
        </w:rPr>
      </w:pPr>
      <w:r>
        <w:rPr>
          <w:rFonts w:ascii="Arial" w:cs="Arial" w:eastAsia="Arial" w:hAnsi="Arial"/>
          <w:sz w:val="18"/>
          <w:szCs w:val="18"/>
          <w:color w:val="auto"/>
        </w:rPr>
        <w:t>The Company determines if an arrangement contains a lease and the classification of that lease, if applicable, at inception. Operating leases are included in operating lease ROU assets, operating lease liabilities and operating lease liabilities (net of current portion) in the Consolidated Balance Sheets. The Company has finance leases as detailed in the Long-Lived Assets section above.</w:t>
      </w:r>
    </w:p>
    <w:p>
      <w:pPr>
        <w:spacing w:after="0" w:line="95" w:lineRule="exact"/>
        <w:rPr>
          <w:sz w:val="20"/>
          <w:szCs w:val="20"/>
          <w:color w:val="auto"/>
        </w:rPr>
      </w:pPr>
    </w:p>
    <w:p>
      <w:pPr>
        <w:ind w:left="1360" w:right="20"/>
        <w:spacing w:after="0" w:line="234"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92" w:lineRule="exact"/>
        <w:rPr>
          <w:sz w:val="20"/>
          <w:szCs w:val="20"/>
          <w:color w:val="auto"/>
        </w:rPr>
      </w:pPr>
    </w:p>
    <w:p>
      <w:pPr>
        <w:ind w:left="1340" w:hanging="638"/>
        <w:spacing w:after="0"/>
        <w:tabs>
          <w:tab w:leader="none" w:pos="13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ind w:left="1360" w:right="200"/>
        <w:spacing w:after="0" w:line="251" w:lineRule="auto"/>
        <w:rPr>
          <w:sz w:val="20"/>
          <w:szCs w:val="20"/>
          <w:color w:val="auto"/>
        </w:rPr>
      </w:pPr>
      <w:r>
        <w:rPr>
          <w:rFonts w:ascii="Arial" w:cs="Arial" w:eastAsia="Arial" w:hAnsi="Arial"/>
          <w:sz w:val="17"/>
          <w:szCs w:val="17"/>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2020 and 2019, the Company’s advertising costs were $12.0 million and $7.9 million, respectively. For the quarters ended March 31, 2021 and 2020 (unaudited), the Company’s advertising costs were $4.2 million and $2.4 million, respectively.</w:t>
      </w:r>
    </w:p>
    <w:p>
      <w:pPr>
        <w:spacing w:after="0" w:line="79" w:lineRule="exact"/>
        <w:rPr>
          <w:sz w:val="20"/>
          <w:szCs w:val="20"/>
          <w:color w:val="auto"/>
        </w:rPr>
      </w:pPr>
    </w:p>
    <w:p>
      <w:pPr>
        <w:ind w:left="1340" w:hanging="638"/>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360" w:right="40"/>
        <w:spacing w:after="0" w:line="236"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87" w:lineRule="exact"/>
        <w:rPr>
          <w:sz w:val="20"/>
          <w:szCs w:val="20"/>
          <w:color w:val="auto"/>
        </w:rPr>
      </w:pPr>
    </w:p>
    <w:p>
      <w:pPr>
        <w:ind w:left="1340" w:hanging="638"/>
        <w:spacing w:after="0"/>
        <w:tabs>
          <w:tab w:leader="none" w:pos="1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jc w:val="both"/>
        <w:ind w:left="1360" w:right="260"/>
        <w:spacing w:after="0" w:line="237"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87" w:lineRule="exact"/>
        <w:rPr>
          <w:sz w:val="20"/>
          <w:szCs w:val="20"/>
          <w:color w:val="auto"/>
        </w:rPr>
      </w:pPr>
    </w:p>
    <w:p>
      <w:pPr>
        <w:ind w:left="1340" w:hanging="638"/>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360" w:right="680"/>
        <w:spacing w:after="0" w:line="237"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40" w:hanging="638"/>
        <w:spacing w:after="0"/>
        <w:tabs>
          <w:tab w:leader="none" w:pos="134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Stock Based Compensation</w:t>
      </w:r>
    </w:p>
    <w:p>
      <w:pPr>
        <w:spacing w:after="0" w:line="123" w:lineRule="exact"/>
        <w:rPr>
          <w:sz w:val="20"/>
          <w:szCs w:val="20"/>
          <w:color w:val="auto"/>
        </w:rPr>
      </w:pPr>
    </w:p>
    <w:p>
      <w:pPr>
        <w:jc w:val="both"/>
        <w:ind w:left="1360" w:right="40"/>
        <w:spacing w:after="0" w:line="237" w:lineRule="auto"/>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Black-Scholes model considers several variables and assumptions in estimating the fair value of stock-based awards.</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These variables include:</w:t>
      </w:r>
    </w:p>
    <w:p>
      <w:pPr>
        <w:spacing w:after="0" w:line="114" w:lineRule="exact"/>
        <w:rPr>
          <w:sz w:val="20"/>
          <w:szCs w:val="20"/>
          <w:color w:val="auto"/>
        </w:rPr>
      </w:pPr>
    </w:p>
    <w:p>
      <w:pPr>
        <w:ind w:left="2020" w:hanging="221"/>
        <w:spacing w:after="0"/>
        <w:tabs>
          <w:tab w:leader="none" w:pos="2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01" w:lineRule="exact"/>
        <w:rPr>
          <w:sz w:val="20"/>
          <w:szCs w:val="20"/>
          <w:color w:val="auto"/>
        </w:rPr>
      </w:pPr>
    </w:p>
    <w:p>
      <w:pPr>
        <w:ind w:left="1360"/>
        <w:spacing w:after="0" w:line="235"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97"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Total stock-based compensation cost for the years ended December 31, 2020 and 2019 and for the quarters ended March 31, 2021 and 2020 (unaudited) were as follows (amounts in thousands):</w:t>
      </w:r>
    </w:p>
    <w:p>
      <w:pPr>
        <w:spacing w:after="0" w:line="217" w:lineRule="exact"/>
        <w:rPr>
          <w:sz w:val="20"/>
          <w:szCs w:val="20"/>
          <w:color w:val="auto"/>
        </w:rPr>
      </w:pPr>
    </w:p>
    <w:tbl>
      <w:tblPr>
        <w:tblLayout w:type="fixed"/>
        <w:tblInd w:w="148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5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5"/>
          </w:tcPr>
          <w:p>
            <w:pPr>
              <w:jc w:val="right"/>
              <w:ind w:right="171"/>
              <w:spacing w:after="0" w:line="154"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3"/>
                <w:szCs w:val="13"/>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156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93</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23</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259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3"/>
              </w:rPr>
              <w:t>154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104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38</w:t>
            </w: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375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223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55</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216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273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32</w:t>
            </w:r>
          </w:p>
        </w:tc>
      </w:tr>
      <w:tr>
        <w:trPr>
          <w:trHeight w:val="27"/>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 compensation expense</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544</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505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u w:val="single" w:color="auto"/>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3"/>
              </w:rPr>
              <w:t>148</w:t>
            </w:r>
          </w:p>
        </w:tc>
      </w:tr>
      <w:tr>
        <w:trPr>
          <w:trHeight w:val="20"/>
        </w:trPr>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1" w:lineRule="exact"/>
        <w:rPr>
          <w:sz w:val="20"/>
          <w:szCs w:val="20"/>
          <w:color w:val="auto"/>
        </w:rPr>
      </w:pPr>
    </w:p>
    <w:p>
      <w:pPr>
        <w:ind w:left="1340" w:hanging="638"/>
        <w:spacing w:after="0"/>
        <w:tabs>
          <w:tab w:leader="none" w:pos="134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Net Loss Per Share Attributable to Common Stockholders</w:t>
      </w:r>
    </w:p>
    <w:p>
      <w:pPr>
        <w:spacing w:after="0" w:line="123"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For purposes of calculating net income available to common stockholders the Company increased the net loss by the deemed dividends paid to the preferred stockholders. 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86" w:lineRule="exact"/>
        <w:rPr>
          <w:sz w:val="20"/>
          <w:szCs w:val="20"/>
          <w:color w:val="auto"/>
        </w:rPr>
      </w:pPr>
    </w:p>
    <w:p>
      <w:pPr>
        <w:ind w:left="1340" w:hanging="638"/>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Unaudited Pro Forma Net Loss per Share Attributable to Common Stockholders</w:t>
      </w:r>
    </w:p>
    <w:p>
      <w:pPr>
        <w:spacing w:after="0" w:line="123" w:lineRule="exact"/>
        <w:rPr>
          <w:sz w:val="20"/>
          <w:szCs w:val="20"/>
          <w:color w:val="auto"/>
        </w:rPr>
      </w:pPr>
    </w:p>
    <w:p>
      <w:pPr>
        <w:ind w:left="1360" w:right="360"/>
        <w:spacing w:after="0" w:line="239" w:lineRule="auto"/>
        <w:rPr>
          <w:sz w:val="20"/>
          <w:szCs w:val="20"/>
          <w:color w:val="auto"/>
        </w:rPr>
      </w:pPr>
      <w:r>
        <w:rPr>
          <w:rFonts w:ascii="Arial" w:cs="Arial" w:eastAsia="Arial" w:hAnsi="Arial"/>
          <w:sz w:val="18"/>
          <w:szCs w:val="18"/>
          <w:color w:val="auto"/>
        </w:rPr>
        <w:t>Upon the closing of the Company’s IPO, all outstanding shares of convertible preferred stock as of March 31, 2021 will automatically convert into 27,758,941 shares of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40"/>
          </w:cols>
          <w:pgMar w:left="320" w:top="456"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0"/>
        <w:spacing w:after="0" w:line="237" w:lineRule="auto"/>
        <w:rPr>
          <w:sz w:val="20"/>
          <w:szCs w:val="20"/>
          <w:color w:val="auto"/>
        </w:rPr>
      </w:pPr>
      <w:r>
        <w:rPr>
          <w:rFonts w:ascii="Arial" w:cs="Arial" w:eastAsia="Arial" w:hAnsi="Arial"/>
          <w:sz w:val="18"/>
          <w:szCs w:val="18"/>
          <w:color w:val="auto"/>
        </w:rPr>
        <w:t>Company’s common stock. The Company has calculated unaudited pro forma basic and diluted net loss per share to give effect to the impact of the conversion of the convertible preferred stock as though such preferred stock had been converted to common stock as of the beginning of the period, or date of issuance, if later.</w:t>
      </w:r>
    </w:p>
    <w:p>
      <w:pPr>
        <w:spacing w:after="0" w:line="87" w:lineRule="exact"/>
        <w:rPr>
          <w:sz w:val="20"/>
          <w:szCs w:val="20"/>
          <w:color w:val="auto"/>
        </w:rPr>
      </w:pPr>
    </w:p>
    <w:p>
      <w:pPr>
        <w:ind w:left="1340" w:hanging="638"/>
        <w:spacing w:after="0"/>
        <w:tabs>
          <w:tab w:leader="none" w:pos="134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2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and are measured at the largest amount that is greater than 50% likely of being realized. Changes in recognition or measurement are reflected in the period in which the change in judgment occurs. To the extent that it is not considered to be more likely than not that a deferred tax asset will be realized, a valuation allowance will be established.</w:t>
      </w:r>
    </w:p>
    <w:p>
      <w:pPr>
        <w:spacing w:after="0" w:line="86" w:lineRule="exact"/>
        <w:rPr>
          <w:sz w:val="20"/>
          <w:szCs w:val="20"/>
          <w:color w:val="auto"/>
        </w:rPr>
      </w:pPr>
    </w:p>
    <w:p>
      <w:pPr>
        <w:ind w:left="1340" w:hanging="638"/>
        <w:spacing w:after="0"/>
        <w:tabs>
          <w:tab w:leader="none" w:pos="134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23"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87" w:lineRule="exact"/>
        <w:rPr>
          <w:sz w:val="20"/>
          <w:szCs w:val="20"/>
          <w:color w:val="auto"/>
        </w:rPr>
      </w:pPr>
    </w:p>
    <w:p>
      <w:pPr>
        <w:ind w:left="1340" w:hanging="638"/>
        <w:spacing w:after="0"/>
        <w:tabs>
          <w:tab w:leader="none" w:pos="13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w:t>
      </w:r>
    </w:p>
    <w:p>
      <w:pPr>
        <w:spacing w:after="0" w:line="123" w:lineRule="exact"/>
        <w:rPr>
          <w:sz w:val="20"/>
          <w:szCs w:val="20"/>
          <w:color w:val="auto"/>
        </w:rPr>
      </w:pPr>
    </w:p>
    <w:p>
      <w:pPr>
        <w:ind w:left="1360" w:right="260"/>
        <w:spacing w:after="0" w:line="237"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87" w:lineRule="exact"/>
        <w:rPr>
          <w:sz w:val="20"/>
          <w:szCs w:val="20"/>
          <w:color w:val="auto"/>
        </w:rPr>
      </w:pPr>
    </w:p>
    <w:p>
      <w:pPr>
        <w:ind w:left="1340" w:hanging="638"/>
        <w:spacing w:after="0"/>
        <w:tabs>
          <w:tab w:leader="none" w:pos="1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360" w:right="180"/>
        <w:spacing w:after="0" w:line="236"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95" w:lineRule="exact"/>
        <w:rPr>
          <w:sz w:val="20"/>
          <w:szCs w:val="20"/>
          <w:color w:val="auto"/>
        </w:rPr>
      </w:pPr>
    </w:p>
    <w:p>
      <w:pPr>
        <w:ind w:left="1360"/>
        <w:spacing w:after="0" w:line="236" w:lineRule="auto"/>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95" w:lineRule="exact"/>
        <w:rPr>
          <w:sz w:val="20"/>
          <w:szCs w:val="20"/>
          <w:color w:val="auto"/>
        </w:rPr>
      </w:pPr>
    </w:p>
    <w:p>
      <w:pPr>
        <w:ind w:left="1360" w:right="200"/>
        <w:spacing w:after="0" w:line="236"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87" w:lineRule="exact"/>
        <w:rPr>
          <w:sz w:val="20"/>
          <w:szCs w:val="20"/>
          <w:color w:val="auto"/>
        </w:rPr>
      </w:pPr>
    </w:p>
    <w:p>
      <w:pPr>
        <w:ind w:left="1340" w:hanging="638"/>
        <w:spacing w:after="0"/>
        <w:tabs>
          <w:tab w:leader="none" w:pos="1340"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the Year Ended December 31, 2020</w:t>
      </w:r>
    </w:p>
    <w:p>
      <w:pPr>
        <w:spacing w:after="0" w:line="15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80"/>
        <w:spacing w:after="0" w:line="234" w:lineRule="auto"/>
        <w:rPr>
          <w:sz w:val="20"/>
          <w:szCs w:val="20"/>
          <w:color w:val="auto"/>
        </w:rPr>
      </w:pPr>
      <w:r>
        <w:rPr>
          <w:rFonts w:ascii="Arial" w:cs="Arial" w:eastAsia="Arial" w:hAnsi="Arial"/>
          <w:sz w:val="18"/>
          <w:szCs w:val="18"/>
          <w:color w:val="auto"/>
        </w:rPr>
        <w:t>In August 2018, the FASB issued Accounting Standards Update (“ASU”) 2018-13, Fair Value Measurement (Topic 820), Disclosure Framework-Changes to the Disclosure Requirements for Fair Value Measurement (“ASU 2018-13”). This ASU modifies the disclosure requirements for fair value measurements by removing, modifying, or adding 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on January 1, 2020 and it did not materially impact the Company’s consolidated financial statements and related disclosures.</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01" w:lineRule="exact"/>
        <w:rPr>
          <w:sz w:val="20"/>
          <w:szCs w:val="20"/>
          <w:color w:val="auto"/>
        </w:rPr>
      </w:pPr>
    </w:p>
    <w:p>
      <w:pPr>
        <w:ind w:left="1360"/>
        <w:spacing w:after="0" w:line="23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Topic 326 changes the impairment model for most financial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77" w:lineRule="exact"/>
        <w:rPr>
          <w:sz w:val="20"/>
          <w:szCs w:val="20"/>
          <w:color w:val="auto"/>
        </w:rPr>
      </w:pPr>
    </w:p>
    <w:p>
      <w:pPr>
        <w:ind w:left="1360" w:right="100"/>
        <w:spacing w:after="0" w:line="23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expected to simplify and improve comparability of financial reporting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and contracts in an entity’s own equity. The ASU is effective for public business entities for fiscal years beginning after December 15, 2021, including interim periods within those fiscal years. For all other entities, the standard will be effective for fiscal years beginning after December 15, 2023, including interim periods within those fiscal years. Early adoption is permitted. The Company is currently evaluating the impact of ASU 2020-06 on its consolidated financial statements and related disclosures.</w:t>
      </w:r>
    </w:p>
    <w:p>
      <w:pPr>
        <w:spacing w:after="0" w:line="95" w:lineRule="exact"/>
        <w:rPr>
          <w:sz w:val="20"/>
          <w:szCs w:val="20"/>
          <w:color w:val="auto"/>
        </w:rPr>
      </w:pPr>
    </w:p>
    <w:p>
      <w:pPr>
        <w:ind w:left="1360" w:right="80"/>
        <w:spacing w:after="0" w:line="239"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328" w:lineRule="exact"/>
        <w:rPr>
          <w:sz w:val="20"/>
          <w:szCs w:val="20"/>
          <w:color w:val="auto"/>
        </w:rPr>
      </w:pPr>
    </w:p>
    <w:p>
      <w:pPr>
        <w:ind w:left="700" w:hanging="533"/>
        <w:spacing w:after="0"/>
        <w:tabs>
          <w:tab w:leader="none" w:pos="7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22" w:lineRule="exact"/>
        <w:rPr>
          <w:rFonts w:ascii="Arial" w:cs="Arial" w:eastAsia="Arial" w:hAnsi="Arial"/>
          <w:sz w:val="18"/>
          <w:szCs w:val="18"/>
          <w:b w:val="1"/>
          <w:bCs w:val="1"/>
          <w:color w:val="auto"/>
        </w:rPr>
      </w:pPr>
    </w:p>
    <w:p>
      <w:pPr>
        <w:ind w:left="720" w:right="1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95" w:lineRule="exact"/>
        <w:rPr>
          <w:rFonts w:ascii="Arial" w:cs="Arial" w:eastAsia="Arial" w:hAnsi="Arial"/>
          <w:sz w:val="18"/>
          <w:szCs w:val="18"/>
          <w:b w:val="1"/>
          <w:bCs w:val="1"/>
          <w:color w:val="auto"/>
        </w:rPr>
      </w:pPr>
    </w:p>
    <w:p>
      <w:pPr>
        <w:ind w:left="720" w:right="3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For 2020, one customer accounted for more than 10% of the Company’s revenue with a total concentration of approximately 11.2%. As of December 31, 2020, no single customer accounted for more than 10% of the Company’s accounts receivable. For 2019, no single customer accounted for more than 10% of the Company’s revenue. As of December 31, 2019, one customer accounted for 16% of the Company’s accounts receivable.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For the quarters ended March 31, 2021 and 2020 (unaudited), no one customer accounted for more than 10% of the Company’s revenue. As of March 31, 2021 (unaudited), one customer accounted for approximately 10% of the Company’s accounts receivable.</w:t>
      </w:r>
    </w:p>
    <w:p>
      <w:pPr>
        <w:spacing w:after="0" w:line="328" w:lineRule="exact"/>
        <w:rPr>
          <w:sz w:val="20"/>
          <w:szCs w:val="20"/>
          <w:color w:val="auto"/>
        </w:rPr>
      </w:pPr>
    </w:p>
    <w:p>
      <w:pPr>
        <w:ind w:left="700" w:hanging="533"/>
        <w:spacing w:after="0"/>
        <w:tabs>
          <w:tab w:leader="none" w:pos="7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2" w:lineRule="exact"/>
        <w:rPr>
          <w:rFonts w:ascii="Arial" w:cs="Arial" w:eastAsia="Arial" w:hAnsi="Arial"/>
          <w:sz w:val="18"/>
          <w:szCs w:val="18"/>
          <w:b w:val="1"/>
          <w:bCs w:val="1"/>
          <w:color w:val="auto"/>
        </w:rPr>
      </w:pPr>
    </w:p>
    <w:p>
      <w:pPr>
        <w:ind w:left="720" w:right="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March 31, 2021 (unaudited), and December 31, 2020 and 2019 (in thousands):</w:t>
      </w: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4"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0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9"/>
              </w:rPr>
              <w:t>(unaudited)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17"/>
                <w:szCs w:val="17"/>
                <w:color w:val="auto"/>
              </w:rPr>
            </w:pPr>
          </w:p>
        </w:tc>
        <w:tc>
          <w:tcPr>
            <w:tcW w:w="11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484</w:t>
            </w:r>
          </w:p>
        </w:tc>
        <w:tc>
          <w:tcPr>
            <w:tcW w:w="1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1,247</w:t>
            </w: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Tools inventory</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1,492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3"/>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22" w:lineRule="exact"/>
        <w:rPr>
          <w:rFonts w:ascii="Arial" w:cs="Arial" w:eastAsia="Arial" w:hAnsi="Arial"/>
          <w:sz w:val="18"/>
          <w:szCs w:val="18"/>
          <w:b w:val="1"/>
          <w:bCs w:val="1"/>
          <w:color w:val="auto"/>
        </w:rPr>
      </w:pPr>
    </w:p>
    <w:p>
      <w:pPr>
        <w:ind w:left="720" w:right="6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March 31, 2021 (unaudited), and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hardware</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1,452</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$ 1,107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Manufacturing equipment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2,603</w:t>
            </w: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2,603</w:t>
            </w:r>
          </w:p>
        </w:tc>
        <w:tc>
          <w:tcPr>
            <w:tcW w:w="9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8,123</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Patent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17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157</w:t>
            </w:r>
          </w:p>
        </w:tc>
        <w:tc>
          <w:tcPr>
            <w:tcW w:w="280" w:type="dxa"/>
            <w:vAlign w:val="bottom"/>
          </w:tcPr>
          <w:p>
            <w:pPr>
              <w:spacing w:after="0"/>
              <w:rPr>
                <w:sz w:val="17"/>
                <w:szCs w:val="17"/>
                <w:color w:val="auto"/>
              </w:rPr>
            </w:pP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8"/>
              </w:rPr>
              <w:t>Shorter of useful</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life or lease term</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8"/>
                <w:szCs w:val="18"/>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678</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8"/>
              </w:rPr>
              <w:t>13,727</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(8,280)</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(7,614)</w:t>
            </w:r>
          </w:p>
        </w:tc>
        <w:tc>
          <w:tcPr>
            <w:tcW w:w="9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6,671</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6,113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$ 4,216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gridSpan w:val="3"/>
            <w:vMerge w:val="restart"/>
          </w:tcPr>
          <w:p>
            <w:pPr>
              <w:ind w:left="1080"/>
              <w:spacing w:after="0"/>
              <w:rPr>
                <w:sz w:val="20"/>
                <w:szCs w:val="20"/>
                <w:color w:val="auto"/>
              </w:rPr>
            </w:pPr>
            <w:r>
              <w:rPr>
                <w:rFonts w:ascii="Arial" w:cs="Arial" w:eastAsia="Arial" w:hAnsi="Arial"/>
                <w:sz w:val="18"/>
                <w:szCs w:val="18"/>
                <w:color w:val="auto"/>
              </w:rPr>
              <w:t>F-18</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6" w:right="7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years ended December 31, 2020 and 2019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4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5"/>
              <w:spacing w:after="0" w:line="154"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94"/>
        </w:trPr>
        <w:tc>
          <w:tcPr>
            <w:tcW w:w="84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6"/>
                <w:szCs w:val="16"/>
                <w:color w:val="auto"/>
              </w:rPr>
            </w:pP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4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23</w:t>
            </w: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136</w:t>
            </w:r>
          </w:p>
        </w:tc>
      </w:tr>
      <w:tr>
        <w:trPr>
          <w:trHeight w:val="214"/>
        </w:trPr>
        <w:tc>
          <w:tcPr>
            <w:tcW w:w="840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1,543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130</w:t>
            </w:r>
          </w:p>
        </w:tc>
      </w:tr>
      <w:tr>
        <w:trPr>
          <w:trHeight w:val="20"/>
        </w:trPr>
        <w:tc>
          <w:tcPr>
            <w:tcW w:w="8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2,287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1,546</w:t>
            </w:r>
          </w:p>
        </w:tc>
      </w:tr>
      <w:tr>
        <w:trPr>
          <w:trHeight w:val="20"/>
        </w:trPr>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right"/>
              <w:ind w:right="151"/>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570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287</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666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452</w:t>
            </w:r>
          </w:p>
        </w:tc>
      </w:tr>
      <w:tr>
        <w:trPr>
          <w:trHeight w:val="20"/>
        </w:trPr>
        <w:tc>
          <w:tcPr>
            <w:tcW w:w="8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ind w:left="700" w:hanging="533"/>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2" w:lineRule="exact"/>
        <w:rPr>
          <w:rFonts w:ascii="Arial" w:cs="Arial" w:eastAsia="Arial" w:hAnsi="Arial"/>
          <w:sz w:val="18"/>
          <w:szCs w:val="18"/>
          <w:b w:val="1"/>
          <w:bCs w:val="1"/>
          <w:color w:val="auto"/>
        </w:rPr>
      </w:pPr>
    </w:p>
    <w:p>
      <w:pPr>
        <w:ind w:left="7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the years ended December 31, 2020 and 2019 and for the quarters ended March 31, 2021 and 2020 (unaudited) was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3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40"/>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196</w:t>
            </w: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4"/>
              </w:rPr>
              <w:t>$169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7"/>
                <w:szCs w:val="17"/>
                <w:color w:val="auto"/>
              </w:rPr>
            </w:pPr>
          </w:p>
        </w:tc>
        <w:tc>
          <w:tcPr>
            <w:tcW w:w="5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1,024</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4120" w:type="dxa"/>
            <w:vAlign w:val="bottom"/>
            <w:gridSpan w:val="5"/>
            <w:shd w:val="clear" w:color="auto" w:fill="CCEEFF"/>
          </w:tcPr>
          <w:p>
            <w:pPr>
              <w:jc w:val="right"/>
              <w:ind w:right="4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1,220</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240" w:type="dxa"/>
            <w:vAlign w:val="bottom"/>
            <w:gridSpan w:val="2"/>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55"/>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33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36</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99"/>
              </w:rPr>
              <w:t>282</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324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318</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200"/>
        <w:spacing w:after="0" w:line="239" w:lineRule="auto"/>
        <w:rPr>
          <w:sz w:val="20"/>
          <w:szCs w:val="20"/>
          <w:color w:val="auto"/>
        </w:rPr>
      </w:pPr>
      <w:r>
        <w:rPr>
          <w:rFonts w:ascii="Arial" w:cs="Arial" w:eastAsia="Arial" w:hAnsi="Arial"/>
          <w:sz w:val="18"/>
          <w:szCs w:val="18"/>
          <w:color w:val="auto"/>
        </w:rPr>
        <w:t>The following table includes supplemental cash and non-cash information related to Xometry’s leases during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79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1"/>
        </w:trPr>
        <w:tc>
          <w:tcPr>
            <w:tcW w:w="794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1"/>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1640" w:type="dxa"/>
            <w:vAlign w:val="bottom"/>
            <w:gridSpan w:val="3"/>
          </w:tcPr>
          <w:p>
            <w:pPr>
              <w:jc w:val="right"/>
              <w:ind w:right="460"/>
              <w:spacing w:after="0" w:line="201" w:lineRule="exact"/>
              <w:rPr>
                <w:sz w:val="20"/>
                <w:szCs w:val="20"/>
                <w:color w:val="auto"/>
              </w:rPr>
            </w:pPr>
            <w:r>
              <w:rPr>
                <w:rFonts w:ascii="Arial" w:cs="Arial" w:eastAsia="Arial" w:hAnsi="Arial"/>
                <w:sz w:val="18"/>
                <w:szCs w:val="18"/>
                <w:color w:val="auto"/>
              </w:rPr>
              <w:t>$1,222</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$724</w:t>
            </w:r>
          </w:p>
        </w:tc>
      </w:tr>
      <w:tr>
        <w:trPr>
          <w:trHeight w:val="201"/>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1640" w:type="dxa"/>
            <w:vAlign w:val="bottom"/>
            <w:gridSpan w:val="3"/>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164</w:t>
            </w:r>
          </w:p>
        </w:tc>
      </w:tr>
      <w:tr>
        <w:trPr>
          <w:trHeight w:val="200"/>
        </w:trPr>
        <w:tc>
          <w:tcPr>
            <w:tcW w:w="7940" w:type="dxa"/>
            <w:vAlign w:val="bottom"/>
          </w:tcPr>
          <w:p>
            <w:pPr>
              <w:spacing w:after="0" w:line="200" w:lineRule="exact"/>
              <w:rPr>
                <w:sz w:val="20"/>
                <w:szCs w:val="20"/>
                <w:color w:val="auto"/>
              </w:rPr>
            </w:pPr>
            <w:r>
              <w:rPr>
                <w:rFonts w:ascii="Arial" w:cs="Arial" w:eastAsia="Arial" w:hAnsi="Arial"/>
                <w:sz w:val="18"/>
                <w:szCs w:val="18"/>
                <w:color w:val="auto"/>
              </w:rPr>
              <w:t>New operating lease right-of-use assets obtained, excluding the amount initially capitalized in</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8"/>
                <w:szCs w:val="18"/>
                <w:color w:val="auto"/>
              </w:rPr>
              <w:t>conjunction with the adoption of Topic 842</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95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348"/>
        </w:trPr>
        <w:tc>
          <w:tcPr>
            <w:tcW w:w="7940" w:type="dxa"/>
            <w:vAlign w:val="bottom"/>
          </w:tcPr>
          <w:p>
            <w:pPr>
              <w:ind w:left="4840"/>
              <w:spacing w:after="0"/>
              <w:rPr>
                <w:sz w:val="20"/>
                <w:szCs w:val="20"/>
                <w:color w:val="auto"/>
              </w:rPr>
            </w:pPr>
            <w:r>
              <w:rPr>
                <w:rFonts w:ascii="Arial" w:cs="Arial" w:eastAsia="Arial" w:hAnsi="Arial"/>
                <w:sz w:val="18"/>
                <w:szCs w:val="18"/>
                <w:color w:val="auto"/>
              </w:rPr>
              <w:t>F-19</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320" w:top="456" w:right="6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following table (unaudited) includes supplemental cash information related to Xometry’s leases for the quarters ended March 31, 2021 and 2020 (in thousands):</w:t>
      </w:r>
    </w:p>
    <w:p>
      <w:pPr>
        <w:spacing w:after="0" w:line="217"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8255</wp:posOffset>
            </wp:positionV>
            <wp:extent cx="8153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8" w:lineRule="exact"/>
        <w:rPr>
          <w:sz w:val="20"/>
          <w:szCs w:val="20"/>
          <w:color w:val="auto"/>
        </w:rPr>
      </w:pPr>
    </w:p>
    <w:p>
      <w:pPr>
        <w:ind w:left="936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-635</wp:posOffset>
            </wp:positionV>
            <wp:extent cx="8153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ind w:left="9560"/>
        <w:spacing w:after="0"/>
        <w:rPr>
          <w:sz w:val="20"/>
          <w:szCs w:val="20"/>
          <w:color w:val="auto"/>
        </w:rPr>
      </w:pPr>
      <w:r>
        <w:rPr>
          <w:rFonts w:ascii="Arial" w:cs="Arial" w:eastAsia="Arial" w:hAnsi="Arial"/>
          <w:sz w:val="14"/>
          <w:szCs w:val="14"/>
          <w:b w:val="1"/>
          <w:bCs w:val="1"/>
          <w:color w:val="auto"/>
        </w:rPr>
        <w:t>(unaudited)</w:t>
      </w:r>
    </w:p>
    <w:tbl>
      <w:tblPr>
        <w:tblLayout w:type="fixed"/>
        <w:tblInd w:w="60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4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$295</w:t>
            </w: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Xometry’s aggregate annual lease obligations at December 31, 2020 are as follows (in thousands):</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6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2021</w:t>
            </w: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1,153</w:t>
            </w:r>
          </w:p>
        </w:tc>
        <w:tc>
          <w:tcPr>
            <w:tcW w:w="5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557</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362</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2,403</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272</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2,131</w:t>
            </w:r>
          </w:p>
        </w:tc>
        <w:tc>
          <w:tcPr>
            <w:tcW w:w="5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March 31, 2021 (unaudited) are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1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80"/>
              <w:spacing w:after="0" w:line="154" w:lineRule="exact"/>
              <w:rPr>
                <w:sz w:val="20"/>
                <w:szCs w:val="20"/>
                <w:color w:val="auto"/>
              </w:rPr>
            </w:pPr>
            <w:r>
              <w:rPr>
                <w:rFonts w:ascii="Arial" w:cs="Arial" w:eastAsia="Arial" w:hAnsi="Arial"/>
                <w:sz w:val="14"/>
                <w:szCs w:val="14"/>
                <w:b w:val="1"/>
                <w:bCs w:val="1"/>
                <w:color w:val="auto"/>
              </w:rPr>
              <w:t>(unaudited)</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2021</w:t>
            </w:r>
          </w:p>
        </w:tc>
        <w:tc>
          <w:tcPr>
            <w:tcW w:w="2120" w:type="dxa"/>
            <w:vAlign w:val="bottom"/>
            <w:gridSpan w:val="2"/>
            <w:shd w:val="clear" w:color="auto" w:fill="CCEEFF"/>
          </w:tcPr>
          <w:p>
            <w:pPr>
              <w:ind w:left="16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844</w:t>
            </w: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557</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362</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2,094</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229</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1,865</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2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2020 and 2019:</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520" w:type="dxa"/>
            <w:vAlign w:val="bottom"/>
          </w:tcPr>
          <w:p>
            <w:pPr>
              <w:spacing w:after="0"/>
              <w:rPr>
                <w:sz w:val="15"/>
                <w:szCs w:val="15"/>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5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85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 average remaining lease term (in years)</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6"/>
                <w:szCs w:val="16"/>
                <w:color w:val="auto"/>
              </w:rPr>
            </w:pPr>
          </w:p>
        </w:tc>
      </w:tr>
      <w:tr>
        <w:trPr>
          <w:trHeight w:val="213"/>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200" w:lineRule="exact"/>
        <w:rPr>
          <w:sz w:val="20"/>
          <w:szCs w:val="20"/>
          <w:color w:val="auto"/>
        </w:rPr>
      </w:pPr>
    </w:p>
    <w:p>
      <w:pPr>
        <w:ind w:left="720" w:right="44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 for Xometry’s leases as of March 31, 2021 (unaudited):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54"/>
        </w:trPr>
        <w:tc>
          <w:tcPr>
            <w:tcW w:w="44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3"/>
                <w:szCs w:val="13"/>
                <w:color w:val="auto"/>
              </w:rPr>
            </w:pPr>
          </w:p>
        </w:tc>
      </w:tr>
      <w:tr>
        <w:trPr>
          <w:trHeight w:val="154"/>
        </w:trPr>
        <w:tc>
          <w:tcPr>
            <w:tcW w:w="44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remaining lease term (in years)</w:t>
            </w:r>
          </w:p>
        </w:tc>
        <w:tc>
          <w:tcPr>
            <w:tcW w:w="564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2.6</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640" w:type="dxa"/>
            <w:vAlign w:val="bottom"/>
            <w:gridSpan w:val="3"/>
          </w:tcPr>
          <w:p>
            <w:pPr>
              <w:jc w:val="right"/>
              <w:ind w:right="60"/>
              <w:spacing w:after="0"/>
              <w:rPr>
                <w:sz w:val="20"/>
                <w:szCs w:val="20"/>
                <w:color w:val="auto"/>
              </w:rPr>
            </w:pPr>
            <w:r>
              <w:rPr>
                <w:rFonts w:ascii="Arial" w:cs="Arial" w:eastAsia="Arial" w:hAnsi="Arial"/>
                <w:sz w:val="18"/>
                <w:szCs w:val="18"/>
                <w:color w:val="auto"/>
              </w:rPr>
              <w:t>8.45%</w:t>
            </w:r>
          </w:p>
        </w:tc>
      </w:tr>
      <w:tr>
        <w:trPr>
          <w:trHeight w:val="347"/>
        </w:trPr>
        <w:tc>
          <w:tcPr>
            <w:tcW w:w="4400" w:type="dxa"/>
            <w:vAlign w:val="bottom"/>
          </w:tcPr>
          <w:p>
            <w:pPr>
              <w:spacing w:after="0"/>
              <w:rPr>
                <w:sz w:val="24"/>
                <w:szCs w:val="24"/>
                <w:color w:val="auto"/>
              </w:rPr>
            </w:pPr>
          </w:p>
        </w:tc>
        <w:tc>
          <w:tcPr>
            <w:tcW w:w="5640" w:type="dxa"/>
            <w:vAlign w:val="bottom"/>
            <w:gridSpan w:val="3"/>
          </w:tcPr>
          <w:p>
            <w:pPr>
              <w:jc w:val="right"/>
              <w:ind w:right="484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0860"/>
          </w:cols>
          <w:pgMar w:left="320" w:top="456" w:right="7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2" w:lineRule="exact"/>
        <w:rPr>
          <w:rFonts w:ascii="Arial" w:cs="Arial" w:eastAsia="Arial" w:hAnsi="Arial"/>
          <w:sz w:val="18"/>
          <w:szCs w:val="18"/>
          <w:b w:val="1"/>
          <w:bCs w:val="1"/>
          <w:color w:val="auto"/>
        </w:rPr>
      </w:pPr>
    </w:p>
    <w:p>
      <w:pPr>
        <w:ind w:left="720" w:right="1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327" w:lineRule="exact"/>
        <w:rPr>
          <w:rFonts w:ascii="Arial" w:cs="Arial" w:eastAsia="Arial" w:hAnsi="Arial"/>
          <w:sz w:val="18"/>
          <w:szCs w:val="18"/>
          <w:b w:val="1"/>
          <w:bCs w:val="1"/>
          <w:color w:val="auto"/>
        </w:rPr>
      </w:pPr>
    </w:p>
    <w:p>
      <w:pPr>
        <w:ind w:left="700" w:hanging="533"/>
        <w:spacing w:after="0"/>
        <w:tabs>
          <w:tab w:leader="none" w:pos="7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2"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03" w:lineRule="exact"/>
        <w:rPr>
          <w:rFonts w:ascii="Arial" w:cs="Arial" w:eastAsia="Arial" w:hAnsi="Arial"/>
          <w:sz w:val="18"/>
          <w:szCs w:val="18"/>
          <w:b w:val="1"/>
          <w:bCs w:val="1"/>
          <w:color w:val="auto"/>
        </w:rPr>
      </w:pPr>
    </w:p>
    <w:p>
      <w:pPr>
        <w:ind w:left="720" w:righ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numbers of authorized and outstanding shares in the Convertible Preferred Stock, with their total respective liquidation preferences, were as follows (in thousands, except share and per share data):</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650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24"/>
                <w:szCs w:val="24"/>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6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Authorized</w:t>
            </w: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4,200,000</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2,188,322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4,211,094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12,884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4,132,055</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20,764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26,248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5,494,064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54,933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32,693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6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500" w:type="dxa"/>
            <w:vAlign w:val="bottom"/>
          </w:tcPr>
          <w:p>
            <w:pPr>
              <w:spacing w:after="0"/>
              <w:rPr>
                <w:sz w:val="20"/>
                <w:szCs w:val="20"/>
                <w:color w:val="auto"/>
              </w:rPr>
            </w:pPr>
            <w:r>
              <w:rPr>
                <w:rFonts w:ascii="Arial" w:cs="Arial" w:eastAsia="Arial" w:hAnsi="Arial"/>
                <w:sz w:val="14"/>
                <w:szCs w:val="14"/>
                <w:color w:val="auto"/>
              </w:rPr>
              <w:t>Totals</w:t>
            </w:r>
          </w:p>
        </w:tc>
        <w:tc>
          <w:tcPr>
            <w:tcW w:w="800" w:type="dxa"/>
            <w:vAlign w:val="bottom"/>
          </w:tcPr>
          <w:p>
            <w:pPr>
              <w:jc w:val="right"/>
              <w:spacing w:after="0"/>
              <w:rPr>
                <w:sz w:val="20"/>
                <w:szCs w:val="20"/>
                <w:color w:val="auto"/>
              </w:rPr>
            </w:pPr>
            <w:r>
              <w:rPr>
                <w:rFonts w:ascii="Arial" w:cs="Arial" w:eastAsia="Arial" w:hAnsi="Arial"/>
                <w:sz w:val="14"/>
                <w:szCs w:val="14"/>
                <w:color w:val="auto"/>
              </w:rPr>
              <w:t>27,970,966</w:t>
            </w:r>
          </w:p>
        </w:tc>
        <w:tc>
          <w:tcPr>
            <w:tcW w:w="4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27,758,941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163,520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600" w:right="60" w:hanging="433"/>
        <w:spacing w:after="0" w:line="254"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table reflects the numbers of authorized and outstanding shares in the Convertible Preferred Stock, with their total respective liquidation preferences as of March 31, 2021 (unaudited).</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w w:val="98"/>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auto"/>
              </w:rPr>
              <w:t>Authorized</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2,188,322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4,211,094</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1,591,230</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6,957</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4,132,055</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18,846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18,612</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3,754,201</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24,756</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54,929</w:t>
            </w:r>
          </w:p>
        </w:tc>
      </w:tr>
      <w:tr>
        <w:trPr>
          <w:trHeight w:val="27"/>
        </w:trPr>
        <w:tc>
          <w:tcPr>
            <w:tcW w:w="6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25,676,902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25,483,182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121,156</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80"/>
        <w:spacing w:after="0" w:line="237"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60"/>
        <w:spacing w:after="0" w:line="235" w:lineRule="auto"/>
        <w:rPr>
          <w:sz w:val="20"/>
          <w:szCs w:val="20"/>
          <w:color w:val="auto"/>
        </w:rPr>
      </w:pPr>
      <w:r>
        <w:rPr>
          <w:rFonts w:ascii="Arial" w:cs="Arial" w:eastAsia="Arial" w:hAnsi="Arial"/>
          <w:sz w:val="18"/>
          <w:szCs w:val="18"/>
          <w:color w:val="auto"/>
        </w:rPr>
        <w:t>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is a reconciliation of the Convertible Preferred Stock reacquired and reissued in 2020 (in thousands):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1"/>
        </w:trPr>
        <w:tc>
          <w:tcPr>
            <w:tcW w:w="2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rPr>
              <w:t>Cash Paid to</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Reacquire</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29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Repurchased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Issued</w:t>
            </w:r>
          </w:p>
        </w:tc>
        <w:tc>
          <w:tcPr>
            <w:tcW w:w="220" w:type="dxa"/>
            <w:vAlign w:val="bottom"/>
          </w:tcPr>
          <w:p>
            <w:pPr>
              <w:spacing w:after="0"/>
              <w:rPr>
                <w:sz w:val="15"/>
                <w:szCs w:val="15"/>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40"/>
        </w:trPr>
        <w:tc>
          <w:tcPr>
            <w:tcW w:w="29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Series:</w:t>
            </w: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5"/>
        </w:trPr>
        <w:tc>
          <w:tcPr>
            <w:tcW w:w="2940" w:type="dxa"/>
            <w:vAlign w:val="bottom"/>
          </w:tcPr>
          <w:p>
            <w:pPr>
              <w:ind w:left="300"/>
              <w:spacing w:after="0"/>
              <w:rPr>
                <w:sz w:val="20"/>
                <w:szCs w:val="20"/>
                <w:color w:val="auto"/>
              </w:rPr>
            </w:pPr>
            <w:r>
              <w:rPr>
                <w:rFonts w:ascii="Arial" w:cs="Arial" w:eastAsia="Arial" w:hAnsi="Arial"/>
                <w:sz w:val="14"/>
                <w:szCs w:val="14"/>
                <w:color w:val="auto"/>
              </w:rPr>
              <w:t>Series Seed-1 Convertible Preferred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940" w:type="dxa"/>
            <w:vAlign w:val="bottom"/>
          </w:tcPr>
          <w:p>
            <w:pPr>
              <w:ind w:left="440"/>
              <w:spacing w:after="0" w:line="156" w:lineRule="exact"/>
              <w:rPr>
                <w:sz w:val="20"/>
                <w:szCs w:val="20"/>
                <w:color w:val="auto"/>
              </w:rPr>
            </w:pPr>
            <w:r>
              <w:rPr>
                <w:rFonts w:ascii="Arial" w:cs="Arial" w:eastAsia="Arial" w:hAnsi="Arial"/>
                <w:sz w:val="14"/>
                <w:szCs w:val="14"/>
                <w:color w:val="auto"/>
              </w:rPr>
              <w:t>Stock</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4,200,000</w:t>
            </w:r>
          </w:p>
        </w:tc>
        <w:tc>
          <w:tcPr>
            <w:tcW w:w="220" w:type="dxa"/>
            <w:vAlign w:val="bottom"/>
          </w:tcPr>
          <w:p>
            <w:pPr>
              <w:spacing w:after="0"/>
              <w:rPr>
                <w:sz w:val="13"/>
                <w:szCs w:val="13"/>
                <w:color w:val="auto"/>
              </w:rPr>
            </w:pPr>
          </w:p>
        </w:tc>
        <w:tc>
          <w:tcPr>
            <w:tcW w:w="114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tcPr>
          <w:p>
            <w:pPr>
              <w:jc w:val="right"/>
              <w:ind w:right="140"/>
              <w:spacing w:after="0" w:line="156" w:lineRule="exact"/>
              <w:rPr>
                <w:sz w:val="20"/>
                <w:szCs w:val="20"/>
                <w:color w:val="auto"/>
              </w:rPr>
            </w:pPr>
            <w:r>
              <w:rPr>
                <w:rFonts w:ascii="Arial" w:cs="Arial" w:eastAsia="Arial" w:hAnsi="Arial"/>
                <w:sz w:val="14"/>
                <w:szCs w:val="14"/>
                <w:color w:val="auto"/>
              </w:rPr>
              <w:t>4,200,000</w:t>
            </w:r>
          </w:p>
        </w:tc>
        <w:tc>
          <w:tcPr>
            <w:tcW w:w="80" w:type="dxa"/>
            <w:vAlign w:val="bottom"/>
          </w:tcPr>
          <w:p>
            <w:pPr>
              <w:spacing w:after="0"/>
              <w:rPr>
                <w:sz w:val="13"/>
                <w:szCs w:val="13"/>
                <w:color w:val="auto"/>
              </w:rPr>
            </w:pP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4,200</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4,200</w:t>
            </w:r>
          </w:p>
        </w:tc>
      </w:tr>
      <w:tr>
        <w:trPr>
          <w:trHeight w:val="165"/>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29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Stock</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2,188,322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2,998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2,998</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4,211,094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8,704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(1,136,622)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1,136,622</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1,591,230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10,883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(390,152)</w:t>
            </w:r>
          </w:p>
        </w:tc>
        <w:tc>
          <w:tcPr>
            <w:tcW w:w="800" w:type="dxa"/>
            <w:vAlign w:val="bottom"/>
          </w:tcPr>
          <w:p>
            <w:pPr>
              <w:jc w:val="right"/>
              <w:spacing w:after="0"/>
              <w:rPr>
                <w:sz w:val="20"/>
                <w:szCs w:val="20"/>
                <w:color w:val="auto"/>
              </w:rPr>
            </w:pPr>
            <w:r>
              <w:rPr>
                <w:rFonts w:ascii="Arial" w:cs="Arial" w:eastAsia="Arial" w:hAnsi="Arial"/>
                <w:sz w:val="14"/>
                <w:szCs w:val="14"/>
                <w:color w:val="auto"/>
              </w:rPr>
              <w:t>390,152</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4,044,271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18,612</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(405,453)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405,453</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3,754,201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(314,659)</w:t>
            </w:r>
          </w:p>
        </w:tc>
        <w:tc>
          <w:tcPr>
            <w:tcW w:w="800" w:type="dxa"/>
            <w:vAlign w:val="bottom"/>
          </w:tcPr>
          <w:p>
            <w:pPr>
              <w:jc w:val="right"/>
              <w:spacing w:after="0"/>
              <w:rPr>
                <w:sz w:val="20"/>
                <w:szCs w:val="20"/>
                <w:color w:val="auto"/>
              </w:rPr>
            </w:pPr>
            <w:r>
              <w:rPr>
                <w:rFonts w:ascii="Arial" w:cs="Arial" w:eastAsia="Arial" w:hAnsi="Arial"/>
                <w:sz w:val="14"/>
                <w:szCs w:val="14"/>
                <w:color w:val="auto"/>
              </w:rPr>
              <w:t>314,659</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5,494,064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54,929</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(3,150)</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2,275,759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30,757</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2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Totals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25,483,182</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(2,246,886)</w:t>
            </w:r>
          </w:p>
        </w:tc>
        <w:tc>
          <w:tcPr>
            <w:tcW w:w="800" w:type="dxa"/>
            <w:vAlign w:val="bottom"/>
          </w:tcPr>
          <w:p>
            <w:pPr>
              <w:jc w:val="right"/>
              <w:spacing w:after="0"/>
              <w:rPr>
                <w:sz w:val="20"/>
                <w:szCs w:val="20"/>
                <w:color w:val="auto"/>
              </w:rPr>
            </w:pPr>
            <w:r>
              <w:rPr>
                <w:rFonts w:ascii="Arial" w:cs="Arial" w:eastAsia="Arial" w:hAnsi="Arial"/>
                <w:sz w:val="14"/>
                <w:szCs w:val="14"/>
                <w:color w:val="auto"/>
              </w:rPr>
              <w:t>4,522,645</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27,758,941</w:t>
            </w: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121,156</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(12,852)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52,409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2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Deemed dividend paid to preferred</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294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stockholders</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(8,801)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(21,653)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1340" w:hanging="638"/>
        <w:spacing w:after="0"/>
        <w:tabs>
          <w:tab w:leader="none" w:pos="134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p>
    <w:p>
      <w:pPr>
        <w:spacing w:after="0" w:line="123"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Each share of Convertible Preferred Stock has voting rights equal to an equivalent number of shares of common stock into which it is convertible and votes together as one class with the common stock.</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40" w:hanging="638"/>
        <w:spacing w:after="0"/>
        <w:tabs>
          <w:tab w:leader="none" w:pos="134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123" w:lineRule="exact"/>
        <w:rPr>
          <w:sz w:val="20"/>
          <w:szCs w:val="20"/>
          <w:color w:val="auto"/>
        </w:rPr>
      </w:pPr>
    </w:p>
    <w:p>
      <w:pPr>
        <w:ind w:left="1360" w:right="40"/>
        <w:spacing w:after="0" w:line="249" w:lineRule="auto"/>
        <w:rPr>
          <w:sz w:val="20"/>
          <w:szCs w:val="20"/>
          <w:color w:val="auto"/>
        </w:rPr>
      </w:pPr>
      <w:r>
        <w:rPr>
          <w:rFonts w:ascii="Arial" w:cs="Arial" w:eastAsia="Arial" w:hAnsi="Arial"/>
          <w:sz w:val="17"/>
          <w:szCs w:val="17"/>
          <w:color w:val="auto"/>
        </w:rPr>
        <w:t>The holders of the Convertible Preferred Stock and the holders of the shares of common stock are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is required to pay a dividend on each outstanding share of Convertible Preferred Stock equal to 8% of the applicable original issue price of such share 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83" w:lineRule="exact"/>
        <w:rPr>
          <w:sz w:val="20"/>
          <w:szCs w:val="20"/>
          <w:color w:val="auto"/>
        </w:rPr>
      </w:pPr>
    </w:p>
    <w:p>
      <w:pPr>
        <w:ind w:left="1340" w:hanging="638"/>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Each share of Convertible Preferred Stock is convertible, at the option of the holder, into one share of common stock, as determined by dividing its issuance price per share by the applicable conversion price, subject to adjustments. Each share of Convertible Preferred Stock will automatically be converted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shall require the vote or written consent of a majority of the outstanding shares of Series D Convertible Preferred Stock and Series E Convertible Preferred Stock, respectively.</w:t>
      </w:r>
    </w:p>
    <w:p>
      <w:pPr>
        <w:spacing w:after="0" w:line="89" w:lineRule="exact"/>
        <w:rPr>
          <w:sz w:val="20"/>
          <w:szCs w:val="20"/>
          <w:color w:val="auto"/>
        </w:rPr>
      </w:pPr>
    </w:p>
    <w:p>
      <w:pPr>
        <w:ind w:left="1340" w:hanging="638"/>
        <w:spacing w:after="0"/>
        <w:tabs>
          <w:tab w:leader="none" w:pos="134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and Share Preference</w:t>
      </w:r>
    </w:p>
    <w:p>
      <w:pPr>
        <w:spacing w:after="0" w:line="123" w:lineRule="exact"/>
        <w:rPr>
          <w:sz w:val="20"/>
          <w:szCs w:val="20"/>
          <w:color w:val="auto"/>
        </w:rPr>
      </w:pPr>
    </w:p>
    <w:p>
      <w:pPr>
        <w:ind w:left="1360" w:right="140"/>
        <w:spacing w:after="0" w:line="236"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are entitled to liquidation preference equal to the original purchase price plus declared and unpaid dividends. After payment of the amounts above, if assets or funds remain in the Company, all remaining assets and funds shall be distributed pro rata among holders of common stock.</w:t>
      </w:r>
    </w:p>
    <w:p>
      <w:pPr>
        <w:spacing w:after="0" w:line="87" w:lineRule="exact"/>
        <w:rPr>
          <w:sz w:val="20"/>
          <w:szCs w:val="20"/>
          <w:color w:val="auto"/>
        </w:rPr>
      </w:pPr>
    </w:p>
    <w:p>
      <w:pPr>
        <w:ind w:left="1340" w:hanging="638"/>
        <w:spacing w:after="0"/>
        <w:tabs>
          <w:tab w:leader="none" w:pos="134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123" w:lineRule="exact"/>
        <w:rPr>
          <w:sz w:val="20"/>
          <w:szCs w:val="20"/>
          <w:color w:val="auto"/>
        </w:rPr>
      </w:pPr>
    </w:p>
    <w:p>
      <w:pPr>
        <w:ind w:left="1360" w:right="40"/>
        <w:spacing w:after="0" w:line="234" w:lineRule="auto"/>
        <w:rPr>
          <w:sz w:val="20"/>
          <w:szCs w:val="20"/>
          <w:color w:val="auto"/>
        </w:rPr>
      </w:pPr>
      <w:r>
        <w:rPr>
          <w:rFonts w:ascii="Arial" w:cs="Arial" w:eastAsia="Arial" w:hAnsi="Arial"/>
          <w:sz w:val="18"/>
          <w:szCs w:val="18"/>
          <w:color w:val="auto"/>
        </w:rPr>
        <w:t>The holders of Convertible Preferred Stock have no voluntary rights to redeem their shares. The Convertible Preferred Stock has deemed liquidation provisions which require the shares to be redeemed upon a change in control or other deemed liquidation events. Although the Convertible Preferred Stock is not mandatorily or currently redeemable, a deemed liquidation event would constitute a redemption event outside the Company’s control. As a result of these liquidation features, all shares of Convertible Preferred Stock have been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will be made only if and when it becomes probable the preferred shares will become redeemable.</w:t>
      </w:r>
    </w:p>
    <w:p>
      <w:pPr>
        <w:spacing w:after="0" w:line="328" w:lineRule="exact"/>
        <w:rPr>
          <w:sz w:val="20"/>
          <w:szCs w:val="20"/>
          <w:color w:val="auto"/>
        </w:rPr>
      </w:pPr>
    </w:p>
    <w:p>
      <w:pPr>
        <w:ind w:left="700" w:hanging="533"/>
        <w:spacing w:after="0"/>
        <w:tabs>
          <w:tab w:leader="none" w:pos="7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2" w:lineRule="exact"/>
        <w:rPr>
          <w:rFonts w:ascii="Arial" w:cs="Arial" w:eastAsia="Arial" w:hAnsi="Arial"/>
          <w:sz w:val="18"/>
          <w:szCs w:val="18"/>
          <w:b w:val="1"/>
          <w:bCs w:val="1"/>
          <w:color w:val="auto"/>
        </w:rPr>
      </w:pPr>
    </w:p>
    <w:p>
      <w:pPr>
        <w:ind w:left="720" w:right="1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95" w:lineRule="exact"/>
        <w:rPr>
          <w:rFonts w:ascii="Arial" w:cs="Arial" w:eastAsia="Arial" w:hAnsi="Arial"/>
          <w:sz w:val="18"/>
          <w:szCs w:val="18"/>
          <w:b w:val="1"/>
          <w:bCs w:val="1"/>
          <w:color w:val="auto"/>
        </w:rPr>
      </w:pPr>
    </w:p>
    <w:p>
      <w:pPr>
        <w:ind w:left="7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fair value of the Company’s common stock has been estimated by management as there is no public market for the Company’s common stock. Xometry’s market-based methodology</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240"/>
        <w:spacing w:after="0" w:line="236" w:lineRule="auto"/>
        <w:rPr>
          <w:sz w:val="20"/>
          <w:szCs w:val="20"/>
          <w:color w:val="auto"/>
        </w:rPr>
      </w:pPr>
      <w:r>
        <w:rPr>
          <w:rFonts w:ascii="Arial" w:cs="Arial" w:eastAsia="Arial" w:hAnsi="Arial"/>
          <w:sz w:val="18"/>
          <w:szCs w:val="18"/>
          <w:color w:val="auto"/>
        </w:rPr>
        <w:t>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95"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As of December 31, 2020 and 2019, there were 203,535 and 1,200,489 shares available for the Company to grant under the 2016 Equity Incentive Plan. As of March 31, 2021, there were 121,414 shares available for the Company to grant under the 2016 Equity Incentive Plan. The weighted average assumptions for 2020 and 2019 are provided in the following table. For the years ended December 31, 2020 and 2019, the Company recognized forfeitures as incurred.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24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r>
      <w:tr>
        <w:trPr>
          <w:trHeight w:val="181"/>
        </w:trPr>
        <w:tc>
          <w:tcPr>
            <w:tcW w:w="82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Valuation assumptions:</w:t>
            </w: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 %</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48%</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w:t>
            </w:r>
          </w:p>
        </w:tc>
      </w:tr>
      <w:tr>
        <w:trPr>
          <w:trHeight w:val="201"/>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rPr>
              <w:t>Expected term (years)</w:t>
            </w:r>
          </w:p>
        </w:tc>
        <w:tc>
          <w:tcPr>
            <w:tcW w:w="86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6.0</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0.5%</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1.8%</w:t>
            </w:r>
          </w:p>
        </w:tc>
      </w:tr>
      <w:tr>
        <w:trPr>
          <w:trHeight w:val="213"/>
        </w:trPr>
        <w:tc>
          <w:tcPr>
            <w:tcW w:w="8240" w:type="dxa"/>
            <w:vAlign w:val="bottom"/>
          </w:tcPr>
          <w:p>
            <w:pPr>
              <w:ind w:left="360"/>
              <w:spacing w:after="0"/>
              <w:rPr>
                <w:sz w:val="20"/>
                <w:szCs w:val="20"/>
                <w:color w:val="auto"/>
              </w:rPr>
            </w:pPr>
            <w:r>
              <w:rPr>
                <w:rFonts w:ascii="Arial" w:cs="Arial" w:eastAsia="Arial" w:hAnsi="Arial"/>
                <w:sz w:val="18"/>
                <w:szCs w:val="18"/>
                <w:color w:val="auto"/>
              </w:rPr>
              <w:t>Fair value of share</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$4.46</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r>
    </w:tbl>
    <w:p>
      <w:pPr>
        <w:spacing w:after="0" w:line="200"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A summary of the status of the Company’s stock option activity and the changes during the quarter and/or years then ended are as follows (in millions, except share and per share amounts):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Per Share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r>
      <w:tr>
        <w:trPr>
          <w:trHeight w:val="194"/>
        </w:trPr>
        <w:tc>
          <w:tcPr>
            <w:tcW w:w="20" w:type="dxa"/>
            <w:vAlign w:val="bottom"/>
          </w:tcPr>
          <w:p>
            <w:pPr>
              <w:spacing w:after="0"/>
              <w:rPr>
                <w:sz w:val="16"/>
                <w:szCs w:val="16"/>
                <w:color w:val="auto"/>
              </w:rPr>
            </w:pPr>
          </w:p>
        </w:tc>
        <w:tc>
          <w:tcPr>
            <w:tcW w:w="4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2,251,098</w:t>
            </w: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1.33</w:t>
            </w:r>
          </w:p>
        </w:tc>
        <w:tc>
          <w:tcPr>
            <w:tcW w:w="6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1,170,598</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3.18</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(455,665)</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(336,784)</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1.65</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(8,720)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2,620,527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December 31, 2019</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992,914</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Balance at December 31, 2019</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2,620,527</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1,144,457</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3.98</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(492,839)</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(131,129)</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(15,413)</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1.46</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3,125,603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6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Exercisable at December 31, 2020</w:t>
            </w:r>
          </w:p>
        </w:tc>
        <w:tc>
          <w:tcPr>
            <w:tcW w:w="1540" w:type="dxa"/>
            <w:vAlign w:val="bottom"/>
            <w:gridSpan w:val="2"/>
          </w:tcPr>
          <w:p>
            <w:pPr>
              <w:jc w:val="right"/>
              <w:ind w:right="680"/>
              <w:spacing w:after="0" w:line="195" w:lineRule="exact"/>
              <w:rPr>
                <w:sz w:val="20"/>
                <w:szCs w:val="20"/>
                <w:color w:val="auto"/>
              </w:rPr>
            </w:pPr>
            <w:r>
              <w:rPr>
                <w:rFonts w:ascii="Arial" w:cs="Arial" w:eastAsia="Arial" w:hAnsi="Arial"/>
                <w:sz w:val="18"/>
                <w:szCs w:val="18"/>
                <w:color w:val="auto"/>
              </w:rPr>
              <w:t>1,193,301</w:t>
            </w:r>
          </w:p>
        </w:tc>
        <w:tc>
          <w:tcPr>
            <w:tcW w:w="140" w:type="dxa"/>
            <w:vAlign w:val="bottom"/>
          </w:tcPr>
          <w:p>
            <w:pPr>
              <w:spacing w:after="0"/>
              <w:rPr>
                <w:sz w:val="16"/>
                <w:szCs w:val="16"/>
                <w:color w:val="auto"/>
              </w:rPr>
            </w:pPr>
          </w:p>
        </w:tc>
        <w:tc>
          <w:tcPr>
            <w:tcW w:w="14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2.14</w:t>
            </w:r>
          </w:p>
        </w:tc>
        <w:tc>
          <w:tcPr>
            <w:tcW w:w="112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7.2</w:t>
            </w:r>
          </w:p>
        </w:tc>
        <w:tc>
          <w:tcPr>
            <w:tcW w:w="4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2.8</w:t>
            </w: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3,151,270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w:t>
            </w: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85,050</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10.93</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(474,054)</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(12,913)</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3.52</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2.02</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March 31, 2021 (unaudited)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2,742,441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3.43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March 31, 2021 (unaudited)</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933,378</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7.6</w:t>
            </w:r>
          </w:p>
        </w:tc>
        <w:tc>
          <w:tcPr>
            <w:tcW w:w="460" w:type="dxa"/>
            <w:vAlign w:val="bottom"/>
            <w:gridSpan w:val="2"/>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8.6</w:t>
            </w:r>
          </w:p>
        </w:tc>
      </w:tr>
      <w:tr>
        <w:trPr>
          <w:trHeight w:val="360"/>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40" w:type="dxa"/>
            <w:vAlign w:val="bottom"/>
            <w:gridSpan w:val="2"/>
          </w:tcPr>
          <w:p>
            <w:pPr>
              <w:jc w:val="right"/>
              <w:ind w:right="1020"/>
              <w:spacing w:after="0"/>
              <w:rPr>
                <w:sz w:val="20"/>
                <w:szCs w:val="20"/>
                <w:color w:val="auto"/>
              </w:rPr>
            </w:pPr>
            <w:r>
              <w:rPr>
                <w:rFonts w:ascii="Arial" w:cs="Arial" w:eastAsia="Arial" w:hAnsi="Arial"/>
                <w:sz w:val="18"/>
                <w:szCs w:val="18"/>
                <w:color w:val="auto"/>
              </w:rPr>
              <w:t>F-24</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6" w:right="5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80"/>
        <w:spacing w:after="0" w:line="237" w:lineRule="auto"/>
        <w:rPr>
          <w:sz w:val="20"/>
          <w:szCs w:val="20"/>
          <w:color w:val="auto"/>
        </w:rPr>
      </w:pPr>
      <w:r>
        <w:rPr>
          <w:rFonts w:ascii="Arial" w:cs="Arial" w:eastAsia="Arial" w:hAnsi="Arial"/>
          <w:sz w:val="18"/>
          <w:szCs w:val="18"/>
          <w:color w:val="auto"/>
        </w:rPr>
        <w:t>The weighted average grant date fair value of options granted during 2020 and 2019 was $1.79 and $1.41, respectively. The total intrinsic value of options exercised during the years ended December 31, 2020 and 2019 was $1.6 million and $1.2 million, respectively.</w:t>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grant date fair value of options granted during the quarter ended March 31, 2021 was $5.39 (unaudited).</w:t>
      </w:r>
    </w:p>
    <w:p>
      <w:pPr>
        <w:ind w:left="720"/>
        <w:spacing w:after="0"/>
        <w:rPr>
          <w:sz w:val="20"/>
          <w:szCs w:val="20"/>
          <w:color w:val="auto"/>
        </w:rPr>
      </w:pPr>
      <w:r>
        <w:rPr>
          <w:rFonts w:ascii="Arial" w:cs="Arial" w:eastAsia="Arial" w:hAnsi="Arial"/>
          <w:sz w:val="18"/>
          <w:szCs w:val="18"/>
          <w:color w:val="auto"/>
        </w:rPr>
        <w:t>The total intrinsic value of options exercised during the quarter ended March 31, 2021 was $5.0 million (unaudited).</w:t>
      </w:r>
    </w:p>
    <w:p>
      <w:pPr>
        <w:spacing w:after="0" w:line="101" w:lineRule="exact"/>
        <w:rPr>
          <w:sz w:val="20"/>
          <w:szCs w:val="20"/>
          <w:color w:val="auto"/>
        </w:rPr>
      </w:pPr>
    </w:p>
    <w:p>
      <w:pPr>
        <w:ind w:left="720" w:right="340"/>
        <w:spacing w:after="0" w:line="237" w:lineRule="auto"/>
        <w:rPr>
          <w:sz w:val="20"/>
          <w:szCs w:val="20"/>
          <w:color w:val="auto"/>
        </w:rPr>
      </w:pPr>
      <w:r>
        <w:rPr>
          <w:rFonts w:ascii="Arial" w:cs="Arial" w:eastAsia="Arial" w:hAnsi="Arial"/>
          <w:sz w:val="18"/>
          <w:szCs w:val="18"/>
          <w:color w:val="auto"/>
        </w:rPr>
        <w:t>At December 31, 2020 and 2019, there was $2.4 million and $1.5 million, respectively, of total unrecognized compensation cost related to unvested stock options granted under the 2016 Equity Incentive Plan. That cost is expected to be recognized over a weighted average period of 1.21 years and 1.26 years at December 31, 2020 and 2019, respectively.</w:t>
      </w:r>
    </w:p>
    <w:p>
      <w:pPr>
        <w:spacing w:after="0" w:line="96"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At March 31, 2021 (unaudited), there was $2.7 million of total unrecognized compensation cost related to unvested stock options granted under the 2016 Equity Incentive Plan. That cost is expected to be recognized over a weighted average period of 1.15 years at March 31, 2021 (unaudited).</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333" w:lineRule="exact"/>
        <w:rPr>
          <w:sz w:val="20"/>
          <w:szCs w:val="20"/>
          <w:color w:val="auto"/>
        </w:rPr>
      </w:pPr>
    </w:p>
    <w:p>
      <w:pPr>
        <w:ind w:left="700" w:hanging="533"/>
        <w:spacing w:after="0"/>
        <w:tabs>
          <w:tab w:leader="none" w:pos="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2"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had no current or deferred income tax benefit or expense in the U.S. or Germany for the years ended December 31, 2020 and 2019 or for the quarter ended March 31, 2021 (unaudited).</w:t>
      </w:r>
    </w:p>
    <w:p>
      <w:pPr>
        <w:spacing w:after="0" w:line="9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8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4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2020</w:t>
            </w:r>
          </w:p>
        </w:tc>
        <w:tc>
          <w:tcPr>
            <w:tcW w:w="7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84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Federal tax statutory rate</w:t>
            </w:r>
          </w:p>
        </w:tc>
        <w:tc>
          <w:tcPr>
            <w:tcW w:w="102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21%</w:t>
            </w:r>
          </w:p>
        </w:tc>
      </w:tr>
      <w:tr>
        <w:trPr>
          <w:trHeight w:val="201"/>
        </w:trPr>
        <w:tc>
          <w:tcPr>
            <w:tcW w:w="8480" w:type="dxa"/>
            <w:vAlign w:val="bottom"/>
          </w:tcPr>
          <w:p>
            <w:pPr>
              <w:spacing w:after="0" w:line="201" w:lineRule="exact"/>
              <w:rPr>
                <w:sz w:val="20"/>
                <w:szCs w:val="20"/>
                <w:color w:val="auto"/>
              </w:rPr>
            </w:pPr>
            <w:r>
              <w:rPr>
                <w:rFonts w:ascii="Arial" w:cs="Arial" w:eastAsia="Arial" w:hAnsi="Arial"/>
                <w:sz w:val="18"/>
                <w:szCs w:val="18"/>
                <w:color w:val="auto"/>
              </w:rPr>
              <w:t>Foreign rate difference</w:t>
            </w:r>
          </w:p>
        </w:tc>
        <w:tc>
          <w:tcPr>
            <w:tcW w:w="102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rPr>
              <w:t>3</w:t>
            </w:r>
          </w:p>
        </w:tc>
        <w:tc>
          <w:tcPr>
            <w:tcW w:w="5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w:t>
            </w:r>
          </w:p>
        </w:tc>
      </w:tr>
      <w:tr>
        <w:trPr>
          <w:trHeight w:val="214"/>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01"/>
        </w:trPr>
        <w:tc>
          <w:tcPr>
            <w:tcW w:w="8480" w:type="dxa"/>
            <w:vAlign w:val="bottom"/>
          </w:tcPr>
          <w:p>
            <w:pPr>
              <w:spacing w:after="0" w:line="201" w:lineRule="exact"/>
              <w:rPr>
                <w:sz w:val="20"/>
                <w:szCs w:val="20"/>
                <w:color w:val="auto"/>
              </w:rPr>
            </w:pPr>
            <w:r>
              <w:rPr>
                <w:rFonts w:ascii="Arial" w:cs="Arial" w:eastAsia="Arial" w:hAnsi="Arial"/>
                <w:sz w:val="18"/>
                <w:szCs w:val="18"/>
                <w:color w:val="auto"/>
              </w:rPr>
              <w:t>Valuation allowance</w:t>
            </w:r>
          </w:p>
        </w:tc>
        <w:tc>
          <w:tcPr>
            <w:tcW w:w="10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(22)</w:t>
            </w:r>
          </w:p>
        </w:tc>
        <w:tc>
          <w:tcPr>
            <w:tcW w:w="5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w:t>
            </w:r>
          </w:p>
        </w:tc>
      </w:tr>
      <w:tr>
        <w:trPr>
          <w:trHeight w:val="27"/>
        </w:trPr>
        <w:tc>
          <w:tcPr>
            <w:tcW w:w="8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8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 %</w:t>
            </w:r>
          </w:p>
        </w:tc>
      </w:tr>
      <w:tr>
        <w:trPr>
          <w:trHeight w:val="20"/>
        </w:trPr>
        <w:tc>
          <w:tcPr>
            <w:tcW w:w="8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720" w:right="160"/>
        <w:spacing w:after="0" w:line="237"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2020 and 2019 are presented below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424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4"/>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4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Deferred tax assets:</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4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compensation</w:t>
            </w: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360"/>
              <w:spacing w:after="0" w:line="201" w:lineRule="exact"/>
              <w:rPr>
                <w:sz w:val="20"/>
                <w:szCs w:val="20"/>
                <w:color w:val="auto"/>
              </w:rPr>
            </w:pPr>
            <w:r>
              <w:rPr>
                <w:rFonts w:ascii="Arial" w:cs="Arial" w:eastAsia="Arial" w:hAnsi="Arial"/>
                <w:sz w:val="18"/>
                <w:szCs w:val="18"/>
                <w:color w:val="auto"/>
              </w:rPr>
              <w:t>Deferred rent</w:t>
            </w: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360"/>
              <w:spacing w:after="0" w:line="201" w:lineRule="exact"/>
              <w:rPr>
                <w:sz w:val="20"/>
                <w:szCs w:val="20"/>
                <w:color w:val="auto"/>
              </w:rPr>
            </w:pPr>
            <w:r>
              <w:rPr>
                <w:rFonts w:ascii="Arial" w:cs="Arial" w:eastAsia="Arial" w:hAnsi="Arial"/>
                <w:sz w:val="18"/>
                <w:szCs w:val="18"/>
                <w:color w:val="auto"/>
              </w:rPr>
              <w:t>Sec. 163(j) interest limitation carryforward</w:t>
            </w: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390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Allowance for doubtful accounts</w:t>
            </w: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1"/>
        </w:trPr>
        <w:tc>
          <w:tcPr>
            <w:tcW w:w="4240" w:type="dxa"/>
            <w:vAlign w:val="bottom"/>
          </w:tcPr>
          <w:p>
            <w:pPr>
              <w:ind w:left="360"/>
              <w:spacing w:after="0" w:line="201" w:lineRule="exact"/>
              <w:rPr>
                <w:sz w:val="20"/>
                <w:szCs w:val="20"/>
                <w:color w:val="auto"/>
              </w:rPr>
            </w:pPr>
            <w:r>
              <w:rPr>
                <w:rFonts w:ascii="Arial" w:cs="Arial" w:eastAsia="Arial" w:hAnsi="Arial"/>
                <w:sz w:val="18"/>
                <w:szCs w:val="18"/>
                <w:color w:val="auto"/>
              </w:rPr>
              <w:t>Other</w:t>
            </w: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operating loss</w:t>
            </w:r>
          </w:p>
        </w:tc>
        <w:tc>
          <w:tcPr>
            <w:tcW w:w="3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25,709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20,877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deferred tax assets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22,276</w:t>
            </w: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Less valuation allowance</w:t>
            </w: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(26,148)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(21,176)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Total deferred tax assets, net</w:t>
            </w: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40" w:type="dxa"/>
            <w:vAlign w:val="bottom"/>
            <w:vMerge w:val="continue"/>
          </w:tcPr>
          <w:p>
            <w:pPr>
              <w:spacing w:after="0"/>
              <w:rPr>
                <w:sz w:val="18"/>
                <w:szCs w:val="18"/>
                <w:color w:val="auto"/>
              </w:rPr>
            </w:pP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240" w:type="dxa"/>
            <w:vAlign w:val="bottom"/>
          </w:tcPr>
          <w:p>
            <w:pPr>
              <w:spacing w:after="0"/>
              <w:rPr>
                <w:sz w:val="24"/>
                <w:szCs w:val="24"/>
                <w:color w:val="auto"/>
              </w:rPr>
            </w:pPr>
          </w:p>
        </w:tc>
        <w:tc>
          <w:tcPr>
            <w:tcW w:w="3740" w:type="dxa"/>
            <w:vAlign w:val="bottom"/>
            <w:gridSpan w:val="2"/>
          </w:tcPr>
          <w:p>
            <w:pPr>
              <w:jc w:val="right"/>
              <w:ind w:right="2780"/>
              <w:spacing w:after="0"/>
              <w:rPr>
                <w:sz w:val="20"/>
                <w:szCs w:val="20"/>
                <w:color w:val="auto"/>
              </w:rPr>
            </w:pPr>
            <w:r>
              <w:rPr>
                <w:rFonts w:ascii="Arial" w:cs="Arial" w:eastAsia="Arial" w:hAnsi="Arial"/>
                <w:sz w:val="18"/>
                <w:szCs w:val="18"/>
                <w:color w:val="auto"/>
              </w:rPr>
              <w:t>F-25</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5"/>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8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ind w:left="340"/>
              <w:spacing w:after="0" w:line="201" w:lineRule="exact"/>
              <w:rPr>
                <w:sz w:val="20"/>
                <w:szCs w:val="20"/>
                <w:color w:val="auto"/>
              </w:rPr>
            </w:pPr>
            <w:r>
              <w:rPr>
                <w:rFonts w:ascii="Arial" w:cs="Arial" w:eastAsia="Arial" w:hAnsi="Arial"/>
                <w:sz w:val="18"/>
                <w:szCs w:val="18"/>
                <w:color w:val="auto"/>
              </w:rPr>
              <w:t>Fixed assets</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(227)</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 costs and intangibles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b w:val="1"/>
                <w:bCs w:val="1"/>
                <w:color w:val="auto"/>
              </w:rPr>
              <w:t>Total deferred tax liabilities</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4"/>
              </w:rPr>
              <w:t>(1,315)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8"/>
              </w:rPr>
              <w:t>(1,100)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9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deferred tax asset/liability</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Tax Valuation Allowance</w:t>
      </w:r>
    </w:p>
    <w:p>
      <w:pPr>
        <w:spacing w:after="0" w:line="119" w:lineRule="exact"/>
        <w:rPr>
          <w:sz w:val="20"/>
          <w:szCs w:val="20"/>
          <w:color w:val="auto"/>
        </w:rPr>
      </w:pPr>
    </w:p>
    <w:p>
      <w:pPr>
        <w:ind w:left="720" w:right="180"/>
        <w:spacing w:after="0" w:line="23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97" w:lineRule="exact"/>
        <w:rPr>
          <w:sz w:val="20"/>
          <w:szCs w:val="20"/>
          <w:color w:val="auto"/>
        </w:rPr>
      </w:pPr>
    </w:p>
    <w:p>
      <w:pPr>
        <w:ind w:left="720" w:right="180"/>
        <w:spacing w:after="0" w:line="234" w:lineRule="auto"/>
        <w:rPr>
          <w:sz w:val="20"/>
          <w:szCs w:val="20"/>
          <w:color w:val="auto"/>
        </w:rPr>
      </w:pPr>
      <w:r>
        <w:rPr>
          <w:rFonts w:ascii="Arial" w:cs="Arial" w:eastAsia="Arial" w:hAnsi="Arial"/>
          <w:sz w:val="18"/>
          <w:szCs w:val="18"/>
          <w:color w:val="auto"/>
        </w:rPr>
        <w:t>As of December 31, 2020, and 2019, the Company had a valuation allowance of $26.1 million and $21.2 million, respectively, against certain deferred tax assets. The valuation allowance relates to the deferred tax assets of the Company’s U.S. entities, including federal and state tax attributes and timing differences, as well as the deferred tax assets of its foreign subsidiary. The increase in the valuation allowance during 2020 is primarily related to the pre-tax losses generated in the U.S and Germany. The Company has a full valuation allowance against its net deferred tax assets as a result of cumulative losses as of December 31, 2020 and 2019 and March 31, 2021 (unaudited). As of March 31, 2021 (unaudited), no facts or circumstances arose that affected the Company’s determination as to the full valuation established against the net deferred tax assets.</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w:t>
      </w:r>
    </w:p>
    <w:p>
      <w:pPr>
        <w:ind w:left="720"/>
        <w:spacing w:after="0" w:line="232" w:lineRule="auto"/>
        <w:rPr>
          <w:sz w:val="20"/>
          <w:szCs w:val="20"/>
          <w:color w:val="auto"/>
        </w:rPr>
      </w:pPr>
      <w:r>
        <w:rPr>
          <w:rFonts w:ascii="Arial" w:cs="Arial" w:eastAsia="Arial" w:hAnsi="Arial"/>
          <w:sz w:val="18"/>
          <w:szCs w:val="18"/>
          <w:color w:val="auto"/>
        </w:rPr>
        <w:t>similar state amounts, of approximately $90.1 million available to reduce future income subject to income taxes before limitations.</w:t>
      </w:r>
    </w:p>
    <w:p>
      <w:pPr>
        <w:ind w:left="720"/>
        <w:spacing w:after="0" w:line="233" w:lineRule="auto"/>
        <w:rPr>
          <w:sz w:val="20"/>
          <w:szCs w:val="20"/>
          <w:color w:val="auto"/>
        </w:rPr>
      </w:pPr>
      <w:r>
        <w:rPr>
          <w:rFonts w:ascii="Arial" w:cs="Arial" w:eastAsia="Arial" w:hAnsi="Arial"/>
          <w:sz w:val="18"/>
          <w:szCs w:val="18"/>
          <w:color w:val="auto"/>
        </w:rPr>
        <w:t>As of December 31, 2020 the Company had a net operating loss carryforward for tax purposes related to its foreign subsidiary of</w:t>
      </w:r>
    </w:p>
    <w:p>
      <w:pPr>
        <w:ind w:left="720"/>
        <w:spacing w:after="0"/>
        <w:rPr>
          <w:sz w:val="20"/>
          <w:szCs w:val="20"/>
          <w:color w:val="auto"/>
        </w:rPr>
      </w:pPr>
      <w:r>
        <w:rPr>
          <w:rFonts w:ascii="Arial" w:cs="Arial" w:eastAsia="Arial" w:hAnsi="Arial"/>
          <w:sz w:val="17"/>
          <w:szCs w:val="17"/>
          <w:color w:val="auto"/>
        </w:rPr>
        <w:t>$10.2 million. U.S. federal net operating carryforwards generated prior to 2018 in the approximate amount of $26.6 million will begin</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to expire, if not utilized, in 2033. German net operating loss and U.S. federal net operating losses post 2017 have an indefinite life.</w:t>
      </w:r>
    </w:p>
    <w:p>
      <w:pPr>
        <w:ind w:left="720"/>
        <w:spacing w:after="0" w:line="238" w:lineRule="auto"/>
        <w:rPr>
          <w:sz w:val="20"/>
          <w:szCs w:val="20"/>
          <w:color w:val="auto"/>
        </w:rPr>
      </w:pPr>
      <w:r>
        <w:rPr>
          <w:rFonts w:ascii="Arial" w:cs="Arial" w:eastAsia="Arial" w:hAnsi="Arial"/>
          <w:sz w:val="18"/>
          <w:szCs w:val="18"/>
          <w:color w:val="auto"/>
        </w:rPr>
        <w:t>Under the provisions of U.S. Internal Revenue Code Section 382, certain substantial changes in the Company’s ownership may</w:t>
      </w:r>
    </w:p>
    <w:p>
      <w:pPr>
        <w:ind w:left="720"/>
        <w:spacing w:after="0" w:line="233" w:lineRule="auto"/>
        <w:rPr>
          <w:sz w:val="20"/>
          <w:szCs w:val="20"/>
          <w:color w:val="auto"/>
        </w:rPr>
      </w:pPr>
      <w:r>
        <w:rPr>
          <w:rFonts w:ascii="Arial" w:cs="Arial" w:eastAsia="Arial" w:hAnsi="Arial"/>
          <w:sz w:val="18"/>
          <w:szCs w:val="18"/>
          <w:color w:val="auto"/>
        </w:rPr>
        <w:t>result in a limitation in the amount of U.S. net operating loss carryforwards that can be utilized annually to offset future taxable</w:t>
      </w:r>
    </w:p>
    <w:p>
      <w:pPr>
        <w:ind w:left="720"/>
        <w:spacing w:after="0" w:line="232" w:lineRule="auto"/>
        <w:rPr>
          <w:sz w:val="20"/>
          <w:szCs w:val="20"/>
          <w:color w:val="auto"/>
        </w:rPr>
      </w:pPr>
      <w:r>
        <w:rPr>
          <w:rFonts w:ascii="Arial" w:cs="Arial" w:eastAsia="Arial" w:hAnsi="Arial"/>
          <w:sz w:val="18"/>
          <w:szCs w:val="18"/>
          <w:color w:val="auto"/>
        </w:rPr>
        <w:t>income. As of December 31, 2020 the $90.1 million of U.S. federal net operating losses excludes $14.7 million of acquired net</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operating losses that the Company expects to be substantially limited by Section 382 of the U.S. Internal Revenue Code and does</w:t>
      </w:r>
    </w:p>
    <w:p>
      <w:pPr>
        <w:ind w:left="720"/>
        <w:spacing w:after="0" w:line="238" w:lineRule="auto"/>
        <w:rPr>
          <w:sz w:val="20"/>
          <w:szCs w:val="20"/>
          <w:color w:val="auto"/>
        </w:rPr>
      </w:pPr>
      <w:r>
        <w:rPr>
          <w:rFonts w:ascii="Arial" w:cs="Arial" w:eastAsia="Arial" w:hAnsi="Arial"/>
          <w:sz w:val="18"/>
          <w:szCs w:val="18"/>
          <w:color w:val="auto"/>
        </w:rPr>
        <w:t>not expect to claim on a U.S. Tax Return. As of December 31, 2020 the Company completed an analysis on the remaining</w:t>
      </w:r>
    </w:p>
    <w:p>
      <w:pPr>
        <w:ind w:left="720" w:right="300"/>
        <w:spacing w:after="0" w:line="236" w:lineRule="auto"/>
        <w:rPr>
          <w:sz w:val="20"/>
          <w:szCs w:val="20"/>
          <w:color w:val="auto"/>
        </w:rPr>
      </w:pPr>
      <w:r>
        <w:rPr>
          <w:rFonts w:ascii="Arial" w:cs="Arial" w:eastAsia="Arial" w:hAnsi="Arial"/>
          <w:sz w:val="18"/>
          <w:szCs w:val="18"/>
          <w:color w:val="auto"/>
        </w:rPr>
        <w:t>$90.1 million of U.S. federal net operating losses, pursuant to Section 382 of the U.S. Internal Revenue Code, to determine the impact ownership changes have had on the ability of the company to utilize net operating losses it has generated. Based on the results of this study, the Company expects the $90.1 million of U.S. federal net operating losses to be available to offset future taxable income.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Uncertain Tax Positions</w:t>
      </w:r>
    </w:p>
    <w:p>
      <w:pPr>
        <w:spacing w:after="0" w:line="119" w:lineRule="exact"/>
        <w:rPr>
          <w:sz w:val="20"/>
          <w:szCs w:val="20"/>
          <w:color w:val="auto"/>
        </w:rPr>
      </w:pPr>
    </w:p>
    <w:p>
      <w:pPr>
        <w:ind w:left="720" w:right="40"/>
        <w:spacing w:after="0" w:line="239" w:lineRule="auto"/>
        <w:rPr>
          <w:sz w:val="20"/>
          <w:szCs w:val="20"/>
          <w:color w:val="auto"/>
        </w:rPr>
      </w:pPr>
      <w:r>
        <w:rPr>
          <w:rFonts w:ascii="Arial" w:cs="Arial" w:eastAsia="Arial" w:hAnsi="Arial"/>
          <w:sz w:val="18"/>
          <w:szCs w:val="18"/>
          <w:color w:val="auto"/>
        </w:rPr>
        <w:t>For uncertain tax positions, the Company uses a more-likely-than-not recognition threshold based on the technical merits of the tax position taken. Tax positions that meet the more-likely-than-not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60"/>
          </w:cols>
          <w:pgMar w:left="320" w:top="456"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80"/>
        <w:spacing w:after="0" w:line="237" w:lineRule="auto"/>
        <w:rPr>
          <w:sz w:val="20"/>
          <w:szCs w:val="20"/>
          <w:color w:val="auto"/>
        </w:rPr>
      </w:pPr>
      <w:r>
        <w:rPr>
          <w:rFonts w:ascii="Arial" w:cs="Arial" w:eastAsia="Arial" w:hAnsi="Arial"/>
          <w:sz w:val="18"/>
          <w:szCs w:val="18"/>
          <w:color w:val="auto"/>
        </w:rPr>
        <w:t>recognition threshold are measured as the largest amount of tax benefits determined on a cumulative probability basis, which are more-likely-than-not to be realized upon ultimate settlement in the financial statements. The Company has not identified any unrecognized tax benefits.</w:t>
      </w:r>
    </w:p>
    <w:p>
      <w:pPr>
        <w:spacing w:after="0" w:line="96" w:lineRule="exact"/>
        <w:rPr>
          <w:sz w:val="20"/>
          <w:szCs w:val="20"/>
          <w:color w:val="auto"/>
        </w:rPr>
      </w:pPr>
    </w:p>
    <w:p>
      <w:pPr>
        <w:ind w:left="720" w:right="20"/>
        <w:spacing w:after="0" w:line="235"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There were no interest or penalties assessed by income taxing authorities during the years ended December 31, 2020 and 2019 or for the quarters ended March 31, 2021 and 2020 (unaudited). The Company is not currently under examination by any tax jurisdiction</w:t>
      </w:r>
    </w:p>
    <w:p>
      <w:pPr>
        <w:spacing w:after="0" w:line="7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COVID -19</w:t>
      </w:r>
    </w:p>
    <w:p>
      <w:pPr>
        <w:spacing w:after="0" w:line="119" w:lineRule="exact"/>
        <w:rPr>
          <w:sz w:val="20"/>
          <w:szCs w:val="20"/>
          <w:color w:val="auto"/>
        </w:rPr>
      </w:pPr>
    </w:p>
    <w:p>
      <w:pPr>
        <w:jc w:val="both"/>
        <w:ind w:left="720" w:right="180"/>
        <w:spacing w:after="0" w:line="236" w:lineRule="auto"/>
        <w:rPr>
          <w:sz w:val="20"/>
          <w:szCs w:val="20"/>
          <w:color w:val="auto"/>
        </w:rPr>
      </w:pPr>
      <w:r>
        <w:rPr>
          <w:rFonts w:ascii="Arial" w:cs="Arial" w:eastAsia="Arial" w:hAnsi="Arial"/>
          <w:sz w:val="18"/>
          <w:szCs w:val="18"/>
          <w:color w:val="auto"/>
        </w:rPr>
        <w:t>The COVID-19 pandemic has a global reach, and many countries have introduced measures that provide relief to taxpayers in a variety of ways. The Company has evaluated these measures, including the CARES Act in the United States, and has concluded that these did not have a significant impact on its income tax (provision)/benefit for the year ended December 31, 2020 or for the quarter ended March 31, 2021 (unaudited).</w:t>
      </w:r>
    </w:p>
    <w:p>
      <w:pPr>
        <w:spacing w:after="0" w:line="327" w:lineRule="exact"/>
        <w:rPr>
          <w:sz w:val="20"/>
          <w:szCs w:val="20"/>
          <w:color w:val="auto"/>
        </w:rPr>
      </w:pPr>
    </w:p>
    <w:p>
      <w:pPr>
        <w:ind w:left="700" w:right="360" w:hanging="533"/>
        <w:spacing w:after="0" w:line="265" w:lineRule="auto"/>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 and Pro Forma Net Loss per Share Attributable to Common Stockholders</w:t>
      </w:r>
    </w:p>
    <w:p>
      <w:pPr>
        <w:spacing w:after="0" w:line="73" w:lineRule="exact"/>
        <w:rPr>
          <w:rFonts w:ascii="Arial" w:cs="Arial" w:eastAsia="Arial" w:hAnsi="Arial"/>
          <w:sz w:val="18"/>
          <w:szCs w:val="18"/>
          <w:b w:val="1"/>
          <w:bCs w:val="1"/>
          <w:color w:val="auto"/>
        </w:rPr>
      </w:pPr>
    </w:p>
    <w:p>
      <w:pPr>
        <w:ind w:left="720" w:right="5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(31,085)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7"/>
                <w:szCs w:val="17"/>
                <w:color w:val="auto"/>
              </w:rPr>
            </w:pPr>
          </w:p>
        </w:tc>
        <w:tc>
          <w:tcPr>
            <w:tcW w:w="11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(8,801)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(39,886)</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7"/>
                <w:szCs w:val="17"/>
                <w:color w:val="auto"/>
              </w:rPr>
            </w:pPr>
          </w:p>
        </w:tc>
        <w:tc>
          <w:tcPr>
            <w:tcW w:w="11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7,492,876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6,345,498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(5.32)</w:t>
            </w:r>
          </w:p>
        </w:tc>
        <w:tc>
          <w:tcPr>
            <w:tcW w:w="4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December 31, 2020 and 2019, the Company had approximately 28.6 million shares and approximately 26.0 million shares, respectively, that are potentially dilutive securities that were excluded from the computation of diluted net loss per share because including them would have had an anti-dilutive effect. Of these potentially dilutive shares at December 31, 2020 and 2019, approximately 27.8 million shares and approximately 25.5 million shares, respectively are in the form of convertible preferred stock, approximately 836,000 shares and approximately 497,000 shares, respectively are in the form of outstanding stock options and approximately 14,000 shares and approximately 9,000 shares, respectively are in the form of outstanding warrants.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40"/>
          </w:cols>
          <w:pgMar w:left="320" w:top="456" w:right="5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880"/>
        <w:spacing w:after="0" w:line="239" w:lineRule="auto"/>
        <w:rPr>
          <w:sz w:val="20"/>
          <w:szCs w:val="20"/>
          <w:color w:val="auto"/>
        </w:rPr>
      </w:pPr>
      <w:r>
        <w:rPr>
          <w:rFonts w:ascii="Arial" w:cs="Arial" w:eastAsia="Arial" w:hAnsi="Arial"/>
          <w:sz w:val="18"/>
          <w:szCs w:val="18"/>
          <w:color w:val="auto"/>
        </w:rPr>
        <w:t>The following (unaudited)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ind w:left="160"/>
              <w:spacing w:after="0" w:line="201" w:lineRule="exact"/>
              <w:rPr>
                <w:sz w:val="20"/>
                <w:szCs w:val="20"/>
                <w:color w:val="auto"/>
              </w:rPr>
            </w:pPr>
            <w:r>
              <w:rPr>
                <w:rFonts w:ascii="Arial" w:cs="Arial" w:eastAsia="Arial" w:hAnsi="Arial"/>
                <w:sz w:val="18"/>
                <w:szCs w:val="18"/>
                <w:color w:val="auto"/>
              </w:rPr>
              <w:t>share attributable to common stockholders, basic and diluted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689"/>
              <w:spacing w:after="0" w:line="201" w:lineRule="exact"/>
              <w:rPr>
                <w:sz w:val="20"/>
                <w:szCs w:val="20"/>
                <w:color w:val="auto"/>
              </w:rPr>
            </w:pPr>
            <w:r>
              <w:rPr>
                <w:rFonts w:ascii="Arial" w:cs="Arial" w:eastAsia="Arial" w:hAnsi="Arial"/>
                <w:sz w:val="18"/>
                <w:szCs w:val="18"/>
                <w:color w:val="auto"/>
                <w:w w:val="97"/>
              </w:rPr>
              <w:t>7,924,848</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7,354,673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80" w:type="dxa"/>
            <w:vAlign w:val="bottom"/>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195"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March 31, 2021 and 2020, the Company had approximately 29.4 million shares and approximately 26.4 million shares, respectively, that are potentially dilutive securities that were excluded from the computation of diluted net loss per share because including them would have had an anti-dilutive effect. Of these potentially dilutive shares at March 31, 2021 and 2020, approximately 27.8 million shares and approximately 25.5 million shares, respectively are in the form of convertible preferred stock, approximately 1.6 million shares and approximately 912,000 shares, respectively are in the form of outstanding stock options and approximately 51,000 shares and approximately 13,000 shares, respectively are in the form of outstanding warrants.</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Pro Forma Net Loss per Share Attributable to Common Stockholders</w:t>
      </w:r>
    </w:p>
    <w:p>
      <w:pPr>
        <w:spacing w:after="0" w:line="123"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color w:val="auto"/>
        </w:rPr>
        <w:t>The following (unaudited) table sets forth the computation of pro forma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4"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6"/>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54"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(10,501)</w:t>
            </w: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(8,801)</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7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(39,886)</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(10,501)</w:t>
            </w: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weighted-average number of shares</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160"/>
              <w:spacing w:after="0" w:line="201" w:lineRule="exact"/>
              <w:rPr>
                <w:sz w:val="20"/>
                <w:szCs w:val="20"/>
                <w:color w:val="auto"/>
              </w:rPr>
            </w:pPr>
            <w:r>
              <w:rPr>
                <w:rFonts w:ascii="Arial" w:cs="Arial" w:eastAsia="Arial" w:hAnsi="Arial"/>
                <w:sz w:val="18"/>
                <w:szCs w:val="18"/>
                <w:color w:val="auto"/>
              </w:rPr>
              <w:t>outstanding used to compute net loss per share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w w:val="97"/>
              </w:rPr>
              <w:t>33,998,591</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35,683,789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32,837,855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net loss per share attributable to common</w:t>
            </w: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7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(0.29)</w:t>
            </w: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40" w:type="dxa"/>
            <w:vAlign w:val="bottom"/>
            <w:gridSpan w:val="2"/>
          </w:tcPr>
          <w:p>
            <w:pPr>
              <w:jc w:val="right"/>
              <w:ind w:right="129"/>
              <w:spacing w:after="0"/>
              <w:rPr>
                <w:sz w:val="20"/>
                <w:szCs w:val="20"/>
                <w:color w:val="auto"/>
              </w:rPr>
            </w:pPr>
            <w:r>
              <w:rPr>
                <w:rFonts w:ascii="Arial" w:cs="Arial" w:eastAsia="Arial" w:hAnsi="Arial"/>
                <w:sz w:val="18"/>
                <w:szCs w:val="18"/>
                <w:color w:val="auto"/>
              </w:rPr>
              <w:t>F-28</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right="6900" w:hanging="553"/>
        <w:spacing w:after="0" w:line="391" w:lineRule="auto"/>
        <w:tabs>
          <w:tab w:leader="none" w:pos="709"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Supplemental Disclosures </w:t>
      </w:r>
      <w:r>
        <w:rPr>
          <w:rFonts w:ascii="Arial" w:cs="Arial" w:eastAsia="Arial" w:hAnsi="Arial"/>
          <w:sz w:val="17"/>
          <w:szCs w:val="17"/>
          <w:i w:val="1"/>
          <w:iCs w:val="1"/>
          <w:color w:val="auto"/>
        </w:rPr>
        <w:t>Accumulated Other Comprehensive Income</w:t>
      </w:r>
    </w:p>
    <w:p>
      <w:pPr>
        <w:ind w:left="720" w:right="160"/>
        <w:spacing w:after="0" w:line="239" w:lineRule="auto"/>
        <w:rPr>
          <w:rFonts w:ascii="Arial" w:cs="Arial" w:eastAsia="Arial" w:hAnsi="Arial"/>
          <w:sz w:val="17"/>
          <w:szCs w:val="17"/>
          <w:b w:val="1"/>
          <w:bCs w:val="1"/>
          <w:color w:val="auto"/>
        </w:rPr>
      </w:pPr>
      <w:r>
        <w:rPr>
          <w:rFonts w:ascii="Arial" w:cs="Arial" w:eastAsia="Arial" w:hAnsi="Arial"/>
          <w:sz w:val="18"/>
          <w:szCs w:val="18"/>
          <w:color w:val="auto"/>
        </w:rPr>
        <w:t>The changes in composition of accumulated other comprehensive income, net of tax, as of December 31, 2020 and 2019 were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Translation Adjustment</w:t>
            </w:r>
          </w:p>
        </w:tc>
      </w:tr>
      <w:tr>
        <w:trPr>
          <w:trHeight w:val="194"/>
        </w:trPr>
        <w:tc>
          <w:tcPr>
            <w:tcW w:w="8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as of December 31, 2019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ind w:left="1160"/>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6"/>
                <w:szCs w:val="16"/>
                <w:color w:val="auto"/>
              </w:rPr>
            </w:pP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40"/>
              <w:spacing w:after="0" w:line="201" w:lineRule="exact"/>
              <w:rPr>
                <w:sz w:val="20"/>
                <w:szCs w:val="20"/>
                <w:color w:val="auto"/>
              </w:rPr>
            </w:pPr>
            <w:r>
              <w:rPr>
                <w:rFonts w:ascii="Arial" w:cs="Arial" w:eastAsia="Arial" w:hAnsi="Arial"/>
                <w:sz w:val="18"/>
                <w:szCs w:val="18"/>
                <w:color w:val="auto"/>
                <w:w w:val="99"/>
              </w:rPr>
              <w:t>210</w:t>
            </w:r>
          </w:p>
        </w:tc>
        <w:tc>
          <w:tcPr>
            <w:tcW w:w="40" w:type="dxa"/>
            <w:vAlign w:val="bottom"/>
          </w:tcPr>
          <w:p>
            <w:pPr>
              <w:spacing w:after="0"/>
              <w:rPr>
                <w:sz w:val="17"/>
                <w:szCs w:val="17"/>
                <w:color w:val="auto"/>
              </w:rPr>
            </w:pP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160"/>
              <w:spacing w:after="0" w:line="201" w:lineRule="exact"/>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7"/>
                <w:szCs w:val="17"/>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w w:val="99"/>
              </w:rPr>
              <w:t>210</w:t>
            </w:r>
          </w:p>
        </w:tc>
        <w:tc>
          <w:tcPr>
            <w:tcW w:w="40" w:type="dxa"/>
            <w:vAlign w:val="bottom"/>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in composition of accumulated other comprehensive income, net of tax, as of March 31, 2021 and 2020 (unaudited)</w:t>
      </w:r>
    </w:p>
    <w:p>
      <w:pPr>
        <w:ind w:left="720"/>
        <w:spacing w:after="0"/>
        <w:rPr>
          <w:sz w:val="20"/>
          <w:szCs w:val="20"/>
          <w:color w:val="auto"/>
        </w:rPr>
      </w:pPr>
      <w:r>
        <w:rPr>
          <w:rFonts w:ascii="Arial" w:cs="Arial" w:eastAsia="Arial" w:hAnsi="Arial"/>
          <w:sz w:val="18"/>
          <w:szCs w:val="18"/>
          <w:color w:val="auto"/>
        </w:rPr>
        <w:t>were as follows (in thousands):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832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Adjustment</w:t>
            </w:r>
          </w:p>
        </w:tc>
      </w:tr>
      <w:tr>
        <w:trPr>
          <w:trHeight w:val="154"/>
        </w:trPr>
        <w:tc>
          <w:tcPr>
            <w:tcW w:w="8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1"/>
        </w:trPr>
        <w:tc>
          <w:tcPr>
            <w:tcW w:w="83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loss</w:t>
            </w:r>
          </w:p>
        </w:tc>
        <w:tc>
          <w:tcPr>
            <w:tcW w:w="160" w:type="dxa"/>
            <w:vAlign w:val="bottom"/>
          </w:tcPr>
          <w:p>
            <w:pPr>
              <w:spacing w:after="0"/>
              <w:rPr>
                <w:sz w:val="17"/>
                <w:szCs w:val="17"/>
                <w:color w:val="auto"/>
              </w:rPr>
            </w:pPr>
          </w:p>
        </w:tc>
        <w:tc>
          <w:tcPr>
            <w:tcW w:w="1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(49)</w:t>
            </w: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2020 (unaudited)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8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6"/>
                <w:szCs w:val="16"/>
                <w:color w:val="auto"/>
              </w:rPr>
            </w:pPr>
          </w:p>
        </w:tc>
      </w:tr>
      <w:tr>
        <w:trPr>
          <w:trHeight w:val="201"/>
        </w:trPr>
        <w:tc>
          <w:tcPr>
            <w:tcW w:w="83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30</w:t>
            </w: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2021 (unaudited)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22" w:lineRule="exact"/>
        <w:rPr>
          <w:rFonts w:ascii="Arial" w:cs="Arial" w:eastAsia="Arial" w:hAnsi="Arial"/>
          <w:sz w:val="18"/>
          <w:szCs w:val="18"/>
          <w:b w:val="1"/>
          <w:bCs w:val="1"/>
          <w:color w:val="auto"/>
        </w:rPr>
      </w:pPr>
    </w:p>
    <w:p>
      <w:pPr>
        <w:ind w:left="720"/>
        <w:spacing w:after="0" w:line="246" w:lineRule="auto"/>
        <w:rPr>
          <w:rFonts w:ascii="Arial" w:cs="Arial" w:eastAsia="Arial" w:hAnsi="Arial"/>
          <w:sz w:val="18"/>
          <w:szCs w:val="18"/>
          <w:b w:val="1"/>
          <w:bCs w:val="1"/>
          <w:color w:val="auto"/>
        </w:rPr>
      </w:pPr>
      <w:r>
        <w:rPr>
          <w:rFonts w:ascii="Arial" w:cs="Arial" w:eastAsia="Arial" w:hAnsi="Arial"/>
          <w:sz w:val="17"/>
          <w:szCs w:val="17"/>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can borrow up to $15 million under a term loan, all of which became available to the Company immediately on the agreement date. The Company had borrowings under the term loan of $15 million as of March 31, 2021 (unaudited), December 31, 2020 and $11 million as of December 31, 2019. As of March 31, 2021 (unaudited) and December 31, 2020, the loan pays interest at the greater of (i) 8.7% per annum or (ii) 8.7% per annum plus the prime rate minus</w:t>
      </w:r>
    </w:p>
    <w:p>
      <w:pPr>
        <w:spacing w:after="0" w:line="1"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4.75% per annum. The term loan agreement requires a maximum $1.2 million end of term fee due and payable on the maturity date of May 1, 2022, however, if the term loan is repaid prior to November 1, 2021, the amount owed would be $0.9 million. As of March 31, 2021 (unaudited) and December 31, 2020, the Company owed $15.8 million on this term loan, including principal borrowings and accrued end of term fee. As Xometry intends to repay this term loan in 2021, the Company has classified this term loan as a current liability on the Consolidated Balance Sheet. Xometry’s obligations under the Amended Loan and Security Agreement are secured by substantially all of Xometry’s assets.</w:t>
      </w:r>
    </w:p>
    <w:p>
      <w:pPr>
        <w:spacing w:after="0" w:line="94" w:lineRule="exact"/>
        <w:rPr>
          <w:rFonts w:ascii="Arial" w:cs="Arial" w:eastAsia="Arial" w:hAnsi="Arial"/>
          <w:sz w:val="18"/>
          <w:szCs w:val="18"/>
          <w:b w:val="1"/>
          <w:bCs w:val="1"/>
          <w:color w:val="auto"/>
        </w:rPr>
      </w:pPr>
    </w:p>
    <w:p>
      <w:pPr>
        <w:jc w:val="both"/>
        <w:ind w:left="720" w:right="1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has the right to terminate its obligation to make further advances to Xometry immediately and without notice upon the occurrence and during the continuance of an event of default.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840"/>
        <w:spacing w:after="0" w:line="239"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w:t>
      </w:r>
    </w:p>
    <w:p>
      <w:pPr>
        <w:spacing w:after="0" w:line="96" w:lineRule="exact"/>
        <w:rPr>
          <w:sz w:val="20"/>
          <w:szCs w:val="20"/>
          <w:color w:val="auto"/>
        </w:rPr>
      </w:pPr>
    </w:p>
    <w:p>
      <w:pPr>
        <w:ind w:left="720" w:right="20"/>
        <w:spacing w:after="0" w:line="235"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is in compliance with covenants and were in compliance with these covenants as of March 31, 2021 (unaudited) and December 31, 2020.</w:t>
      </w:r>
    </w:p>
    <w:p>
      <w:pPr>
        <w:spacing w:after="0" w:line="95"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The Company had a $ 2.5 million credit facility with Comerica Bank. The Company could borrow $2.5 million on a receivable revolver not to exceed 80% of eligible accounts receivables and bore interest at the Prime Reference rate plus 1.5%. Comerica had a first priority security interest in all assets of the Company with a negative pledge on intellectual property. The revolver was paid off on May 16, 2019 and terminated on June 30, 2019.</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Paycheck Protection Program</w:t>
      </w:r>
    </w:p>
    <w:p>
      <w:pPr>
        <w:spacing w:after="0" w:line="119"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Contingencies</w:t>
      </w:r>
    </w:p>
    <w:p>
      <w:pPr>
        <w:spacing w:after="0" w:line="119"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327" w:lineRule="exact"/>
        <w:rPr>
          <w:sz w:val="20"/>
          <w:szCs w:val="20"/>
          <w:color w:val="auto"/>
        </w:rPr>
      </w:pPr>
    </w:p>
    <w:p>
      <w:pPr>
        <w:ind w:left="700" w:hanging="533"/>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2"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MTS, a machine and tool supplier, for cash consideration of $0.7 million with the intent of supplementing the Company’s existing product offerings. In connection with the MTS acquisition, Xometry recognized net assets of $0.6 million, which primarily included customer receivables at the time of acquisition and approximately $0.1 million of goodwill related to expected synergies.</w:t>
      </w:r>
    </w:p>
    <w:p>
      <w:pPr>
        <w:spacing w:after="0" w:line="95"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Payments of $0.2 million were paid to the owners on the first and second anniversary of the transaction, subject to their continuous employment. As such, these payments were not included in the acquisition consideration.</w:t>
      </w:r>
    </w:p>
    <w:p>
      <w:pPr>
        <w:spacing w:after="0" w:line="95" w:lineRule="exact"/>
        <w:rPr>
          <w:rFonts w:ascii="Arial" w:cs="Arial" w:eastAsia="Arial" w:hAnsi="Arial"/>
          <w:sz w:val="18"/>
          <w:szCs w:val="18"/>
          <w:b w:val="1"/>
          <w:bCs w:val="1"/>
          <w:color w:val="auto"/>
        </w:rPr>
      </w:pPr>
    </w:p>
    <w:p>
      <w:pPr>
        <w:ind w:left="720" w:right="1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November 26, 2019, the Company acquired Munich, Germany based Shift GmbH, through a stock purchase for consideration of $3.6 million with the intent of expanding Xometry’s platform and network of sellers. The aggregate purchase price included $0.9 million of cash and 750,770 shares of Xometry common stock, which had a fair value of $2.7 million at the date of the acquisition. The goodwill of $1.4 million arising from the acquisition related to certain expected synergies.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60"/>
          </w:cols>
          <w:pgMar w:left="320" w:top="456"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660"/>
        <w:spacing w:after="0" w:line="239" w:lineRule="auto"/>
        <w:rPr>
          <w:sz w:val="20"/>
          <w:szCs w:val="20"/>
          <w:color w:val="auto"/>
        </w:rPr>
      </w:pPr>
      <w:r>
        <w:rPr>
          <w:rFonts w:ascii="Arial" w:cs="Arial" w:eastAsia="Arial" w:hAnsi="Arial"/>
          <w:sz w:val="18"/>
          <w:szCs w:val="18"/>
          <w:color w:val="auto"/>
        </w:rPr>
        <w:t>The following table (in thousands) summarizes the consideration paid for Shift and the fair value of the assets acquired and liabilities assumed on the acquisition date.</w:t>
      </w:r>
    </w:p>
    <w:p>
      <w:pPr>
        <w:spacing w:after="0" w:line="22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876</w:t>
            </w: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2,743</w:t>
            </w:r>
          </w:p>
        </w:tc>
        <w:tc>
          <w:tcPr>
            <w:tcW w:w="120" w:type="dxa"/>
            <w:vAlign w:val="bottom"/>
            <w:shd w:val="clear" w:color="auto" w:fill="CCEEFF"/>
          </w:tcPr>
          <w:p>
            <w:pPr>
              <w:spacing w:after="0"/>
              <w:rPr>
                <w:sz w:val="17"/>
                <w:szCs w:val="17"/>
                <w:color w:val="auto"/>
              </w:rPr>
            </w:pPr>
          </w:p>
        </w:tc>
      </w:tr>
      <w:tr>
        <w:trPr>
          <w:trHeight w:val="207"/>
        </w:trPr>
        <w:tc>
          <w:tcPr>
            <w:tcW w:w="9360" w:type="dxa"/>
            <w:vAlign w:val="bottom"/>
          </w:tcPr>
          <w:p>
            <w:pPr>
              <w:ind w:left="360"/>
              <w:spacing w:after="0"/>
              <w:rPr>
                <w:sz w:val="20"/>
                <w:szCs w:val="20"/>
                <w:color w:val="auto"/>
              </w:rPr>
            </w:pPr>
            <w:r>
              <w:rPr>
                <w:rFonts w:ascii="Arial" w:cs="Arial" w:eastAsia="Arial" w:hAnsi="Arial"/>
                <w:sz w:val="18"/>
                <w:szCs w:val="18"/>
                <w:color w:val="auto"/>
              </w:rPr>
              <w:t>Fair value of consideration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w:t>
            </w:r>
          </w:p>
        </w:tc>
        <w:tc>
          <w:tcPr>
            <w:tcW w:w="12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9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Acquisition costs included in general and administrative</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6"/>
                <w:szCs w:val="16"/>
                <w:color w:val="auto"/>
              </w:rPr>
            </w:pPr>
          </w:p>
        </w:tc>
      </w:tr>
      <w:tr>
        <w:trPr>
          <w:trHeight w:val="201"/>
        </w:trPr>
        <w:tc>
          <w:tcPr>
            <w:tcW w:w="9360" w:type="dxa"/>
            <w:vAlign w:val="bottom"/>
          </w:tcPr>
          <w:p>
            <w:pPr>
              <w:spacing w:after="0" w:line="201"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7"/>
                <w:szCs w:val="17"/>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2,170</w:t>
            </w:r>
          </w:p>
        </w:tc>
        <w:tc>
          <w:tcPr>
            <w:tcW w:w="120" w:type="dxa"/>
            <w:vAlign w:val="bottom"/>
            <w:shd w:val="clear" w:color="auto" w:fill="CCEEFF"/>
          </w:tcPr>
          <w:p>
            <w:pPr>
              <w:spacing w:after="0"/>
              <w:rPr>
                <w:sz w:val="17"/>
                <w:szCs w:val="17"/>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(500)</w:t>
            </w: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 identifiable net assets assumed</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2,265</w:t>
            </w:r>
          </w:p>
        </w:tc>
        <w:tc>
          <w:tcPr>
            <w:tcW w:w="120" w:type="dxa"/>
            <w:vAlign w:val="bottom"/>
          </w:tcPr>
          <w:p>
            <w:pPr>
              <w:spacing w:after="0"/>
              <w:rPr>
                <w:sz w:val="18"/>
                <w:szCs w:val="18"/>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1,354</w:t>
            </w:r>
          </w:p>
        </w:tc>
        <w:tc>
          <w:tcPr>
            <w:tcW w:w="120" w:type="dxa"/>
            <w:vAlign w:val="bottom"/>
            <w:shd w:val="clear" w:color="auto" w:fill="CCEEFF"/>
          </w:tcPr>
          <w:p>
            <w:pPr>
              <w:spacing w:after="0"/>
              <w:rPr>
                <w:sz w:val="17"/>
                <w:szCs w:val="17"/>
                <w:color w:val="auto"/>
              </w:rPr>
            </w:pP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w:t>
            </w:r>
          </w:p>
        </w:tc>
        <w:tc>
          <w:tcPr>
            <w:tcW w:w="12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acquired intangible assets, all of which are being amortized, were assigned weighted-average useful life of approximately three years. During 2020 and 2019, the Company recognized $3.1 million and $0.1 million of revenue, respectively from Shift.</w:t>
      </w:r>
    </w:p>
    <w:p>
      <w:pPr>
        <w:spacing w:after="0" w:line="96" w:lineRule="exact"/>
        <w:rPr>
          <w:sz w:val="20"/>
          <w:szCs w:val="20"/>
          <w:color w:val="auto"/>
        </w:rPr>
      </w:pPr>
    </w:p>
    <w:p>
      <w:pPr>
        <w:ind w:left="720" w:right="380"/>
        <w:spacing w:after="0" w:line="239" w:lineRule="auto"/>
        <w:rPr>
          <w:sz w:val="20"/>
          <w:szCs w:val="20"/>
          <w:color w:val="auto"/>
        </w:rPr>
      </w:pPr>
      <w:r>
        <w:rPr>
          <w:rFonts w:ascii="Arial" w:cs="Arial" w:eastAsia="Arial" w:hAnsi="Arial"/>
          <w:sz w:val="18"/>
          <w:szCs w:val="18"/>
          <w:color w:val="auto"/>
        </w:rPr>
        <w:t>The acquisitions of MTS and Shift were not considered material individually or in the aggregate to the Company for the periods presented, and therefore, pro forma information has not been presented.</w:t>
      </w:r>
    </w:p>
    <w:p>
      <w:pPr>
        <w:spacing w:after="0" w:line="328" w:lineRule="exact"/>
        <w:rPr>
          <w:sz w:val="20"/>
          <w:szCs w:val="20"/>
          <w:color w:val="auto"/>
        </w:rPr>
      </w:pPr>
    </w:p>
    <w:p>
      <w:pPr>
        <w:ind w:left="700" w:hanging="533"/>
        <w:spacing w:after="0"/>
        <w:tabs>
          <w:tab w:leader="none" w:pos="7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22" w:lineRule="exact"/>
        <w:rPr>
          <w:rFonts w:ascii="Arial" w:cs="Arial" w:eastAsia="Arial" w:hAnsi="Arial"/>
          <w:sz w:val="18"/>
          <w:szCs w:val="18"/>
          <w:b w:val="1"/>
          <w:bCs w:val="1"/>
          <w:color w:val="auto"/>
        </w:rPr>
      </w:pPr>
    </w:p>
    <w:p>
      <w:pPr>
        <w:ind w:left="720"/>
        <w:spacing w:after="0" w:line="248" w:lineRule="auto"/>
        <w:rPr>
          <w:rFonts w:ascii="Arial" w:cs="Arial" w:eastAsia="Arial" w:hAnsi="Arial"/>
          <w:sz w:val="18"/>
          <w:szCs w:val="18"/>
          <w:b w:val="1"/>
          <w:bCs w:val="1"/>
          <w:color w:val="auto"/>
        </w:rPr>
      </w:pPr>
      <w:r>
        <w:rPr>
          <w:rFonts w:ascii="Arial" w:cs="Arial" w:eastAsia="Arial" w:hAnsi="Arial"/>
          <w:sz w:val="17"/>
          <w:szCs w:val="17"/>
          <w:color w:val="auto"/>
        </w:rPr>
        <w:t>Xometry is organized in two segments referred to as the U.S. and Europe. Xometry’s operating segments are also the Company’s reportable segments. Xometry’s reportable segments, whose products and offerings are generally the same, are managed separately based on geography. The accounting policies of the reportable segments are the same as those described in Note 2— Summary of Significant Accounting Policies.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corporate overhead to the Europe segment. The Company’s CODM monitors assets of the consolidated Company, but does not use assets, by operating segment when assessing performance or making operating segment resource decisions. As of December 31, 2019, the Company only had one segment. For the year ended December 31, 2019, our Europe segment had revenue of approximately $0.1 million, a net loss of approximately $0.4 million, property and equipment of $42,000, depreciation and amortization of $0.1 million, and expenditures for property and equipment of $13,000.</w:t>
      </w:r>
    </w:p>
    <w:p>
      <w:pPr>
        <w:spacing w:after="0" w:line="8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reflect certain segment information for the year ended December 31, 2020 and the quarters ended March 31,</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2021 and 2020 (unaudited)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404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1"/>
        </w:trPr>
        <w:tc>
          <w:tcPr>
            <w:tcW w:w="2780" w:type="dxa"/>
            <w:vAlign w:val="bottom"/>
            <w:gridSpan w:val="2"/>
            <w:vMerge w:val="continue"/>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4240" w:type="dxa"/>
            <w:vAlign w:val="bottom"/>
            <w:gridSpan w:val="2"/>
            <w:shd w:val="clear" w:color="auto" w:fill="CCEEFF"/>
          </w:tcPr>
          <w:p>
            <w:pPr>
              <w:ind w:left="404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138,272</w:t>
            </w:r>
          </w:p>
        </w:tc>
        <w:tc>
          <w:tcPr>
            <w:tcW w:w="112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w w:val="98"/>
              </w:rPr>
              <w:t>$41,299</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5"/>
              </w:rPr>
              <w:t>$26,258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3,134</w:t>
            </w:r>
          </w:p>
        </w:tc>
        <w:tc>
          <w:tcPr>
            <w:tcW w:w="112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2,623</w:t>
            </w: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141,406</w:t>
            </w:r>
          </w:p>
        </w:tc>
        <w:tc>
          <w:tcPr>
            <w:tcW w:w="112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43,922</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26,689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40" w:type="dxa"/>
            <w:vAlign w:val="bottom"/>
            <w:gridSpan w:val="2"/>
          </w:tcPr>
          <w:p>
            <w:pPr>
              <w:ind w:left="2060"/>
              <w:spacing w:after="0"/>
              <w:rPr>
                <w:sz w:val="20"/>
                <w:szCs w:val="20"/>
                <w:color w:val="auto"/>
              </w:rPr>
            </w:pPr>
            <w:r>
              <w:rPr>
                <w:rFonts w:ascii="Arial" w:cs="Arial" w:eastAsia="Arial" w:hAnsi="Arial"/>
                <w:sz w:val="18"/>
                <w:szCs w:val="18"/>
                <w:color w:val="auto"/>
              </w:rPr>
              <w:t>F-31</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Losses</w:t>
            </w: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7"/>
          </w:tcPr>
          <w:p>
            <w:pPr>
              <w:jc w:val="center"/>
              <w:ind w:right="540"/>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2140" w:type="dxa"/>
            <w:vAlign w:val="bottom"/>
            <w:gridSpan w:val="4"/>
            <w:shd w:val="clear" w:color="auto" w:fill="CCEEFF"/>
          </w:tcPr>
          <w:p>
            <w:pPr>
              <w:ind w:left="1200"/>
              <w:spacing w:after="0" w:line="201" w:lineRule="exact"/>
              <w:rPr>
                <w:sz w:val="20"/>
                <w:szCs w:val="20"/>
                <w:color w:val="auto"/>
              </w:rPr>
            </w:pPr>
            <w:r>
              <w:rPr>
                <w:rFonts w:ascii="Arial" w:cs="Arial" w:eastAsia="Arial" w:hAnsi="Arial"/>
                <w:sz w:val="18"/>
                <w:szCs w:val="18"/>
                <w:color w:val="auto"/>
              </w:rPr>
              <w:t>$(22,130)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ind w:right="29"/>
              <w:spacing w:after="0" w:line="201" w:lineRule="exact"/>
              <w:rPr>
                <w:sz w:val="20"/>
                <w:szCs w:val="20"/>
                <w:color w:val="auto"/>
              </w:rPr>
            </w:pPr>
            <w:r>
              <w:rPr>
                <w:rFonts w:ascii="Arial" w:cs="Arial" w:eastAsia="Arial" w:hAnsi="Arial"/>
                <w:sz w:val="18"/>
                <w:szCs w:val="18"/>
                <w:color w:val="auto"/>
              </w:rPr>
              <w:t>$ (8,162)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$(7,442)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(8,955)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6"/>
          </w:tcPr>
          <w:p>
            <w:pPr>
              <w:jc w:val="right"/>
              <w:ind w:right="29"/>
              <w:spacing w:after="0" w:line="201" w:lineRule="exact"/>
              <w:rPr>
                <w:sz w:val="20"/>
                <w:szCs w:val="20"/>
                <w:color w:val="auto"/>
              </w:rPr>
            </w:pPr>
            <w:r>
              <w:rPr>
                <w:rFonts w:ascii="Arial" w:cs="Arial" w:eastAsia="Arial" w:hAnsi="Arial"/>
                <w:sz w:val="18"/>
                <w:szCs w:val="18"/>
                <w:color w:val="auto"/>
              </w:rPr>
              <w:t>(2,339)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2140" w:type="dxa"/>
            <w:vAlign w:val="bottom"/>
            <w:gridSpan w:val="4"/>
            <w:shd w:val="clear" w:color="auto" w:fill="CCEEFF"/>
          </w:tcPr>
          <w:p>
            <w:pPr>
              <w:ind w:left="120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ind w:right="29"/>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(8,607)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December</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Property and Equipment</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900"/>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5,612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501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900"/>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6,113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Depreciation and Amortization</w:t>
            </w:r>
          </w:p>
        </w:tc>
        <w:tc>
          <w:tcPr>
            <w:tcW w:w="1200" w:type="dxa"/>
            <w:vAlign w:val="bottom"/>
          </w:tcPr>
          <w:p>
            <w:pPr>
              <w:spacing w:after="0"/>
              <w:rPr>
                <w:sz w:val="24"/>
                <w:szCs w:val="24"/>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6"/>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6"/>
          </w:tcPr>
          <w:p>
            <w:pPr>
              <w:jc w:val="center"/>
              <w:ind w:right="320"/>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2,389</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3,120</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Expenditures for Property and Equipment and</w:t>
            </w:r>
          </w:p>
        </w:tc>
        <w:tc>
          <w:tcPr>
            <w:tcW w:w="1200" w:type="dxa"/>
            <w:vAlign w:val="bottom"/>
          </w:tcPr>
          <w:p>
            <w:pPr>
              <w:spacing w:after="0"/>
              <w:rPr>
                <w:sz w:val="22"/>
                <w:szCs w:val="22"/>
                <w:color w:val="auto"/>
              </w:rPr>
            </w:pPr>
          </w:p>
        </w:tc>
        <w:tc>
          <w:tcPr>
            <w:tcW w:w="1180" w:type="dxa"/>
            <w:vAlign w:val="bottom"/>
            <w:gridSpan w:val="5"/>
          </w:tcPr>
          <w:p>
            <w:pPr>
              <w:jc w:val="center"/>
              <w:ind w:right="189"/>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Long-Lived Assets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6"/>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6"/>
          </w:tcPr>
          <w:p>
            <w:pPr>
              <w:jc w:val="center"/>
              <w:ind w:right="320"/>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3,671</w:t>
            </w:r>
          </w:p>
        </w:tc>
        <w:tc>
          <w:tcPr>
            <w:tcW w:w="140" w:type="dxa"/>
            <w:vAlign w:val="bottom"/>
            <w:shd w:val="clear" w:color="auto" w:fill="CCEEFF"/>
          </w:tcPr>
          <w:p>
            <w:pPr>
              <w:spacing w:after="0"/>
              <w:rPr>
                <w:sz w:val="17"/>
                <w:szCs w:val="17"/>
                <w:color w:val="auto"/>
              </w:rPr>
            </w:pPr>
          </w:p>
        </w:tc>
        <w:tc>
          <w:tcPr>
            <w:tcW w:w="1060" w:type="dxa"/>
            <w:vAlign w:val="bottom"/>
            <w:gridSpan w:val="7"/>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4,190</w:t>
            </w:r>
          </w:p>
        </w:tc>
        <w:tc>
          <w:tcPr>
            <w:tcW w:w="140" w:type="dxa"/>
            <w:vAlign w:val="bottom"/>
            <w:shd w:val="clear" w:color="auto" w:fill="CCEEFF"/>
          </w:tcPr>
          <w:p>
            <w:pPr>
              <w:spacing w:after="0"/>
              <w:rPr>
                <w:sz w:val="17"/>
                <w:szCs w:val="17"/>
                <w:color w:val="auto"/>
              </w:rPr>
            </w:pPr>
          </w:p>
        </w:tc>
        <w:tc>
          <w:tcPr>
            <w:tcW w:w="1060" w:type="dxa"/>
            <w:vAlign w:val="bottom"/>
            <w:gridSpan w:val="7"/>
            <w:shd w:val="clear" w:color="auto" w:fill="CCEEFF"/>
          </w:tcPr>
          <w:p>
            <w:pPr>
              <w:jc w:val="right"/>
              <w:ind w:right="12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Impairments of Goodwill and Intangible Assets</w:t>
            </w:r>
          </w:p>
        </w:tc>
        <w:tc>
          <w:tcPr>
            <w:tcW w:w="1200" w:type="dxa"/>
            <w:vAlign w:val="bottom"/>
          </w:tcPr>
          <w:p>
            <w:pPr>
              <w:spacing w:after="0"/>
              <w:rPr>
                <w:sz w:val="22"/>
                <w:szCs w:val="22"/>
                <w:color w:val="auto"/>
              </w:rPr>
            </w:pPr>
          </w:p>
        </w:tc>
        <w:tc>
          <w:tcPr>
            <w:tcW w:w="1180" w:type="dxa"/>
            <w:vAlign w:val="bottom"/>
            <w:gridSpan w:val="5"/>
          </w:tcPr>
          <w:p>
            <w:pPr>
              <w:jc w:val="center"/>
              <w:ind w:right="189"/>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U.S.</w:t>
            </w:r>
          </w:p>
        </w:tc>
        <w:tc>
          <w:tcPr>
            <w:tcW w:w="1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1,592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Certain companies and/or affiliates of companies that are holders of the Company’s Convertible Preferred Stock acquire products and assemblies through the Xometry platform. As such, Xometry’s revenue and accounts receivable include amounts from these companies and/or affiliates of these companies. For the years ended December 31, 2020 and 2019, Xometry recognized revenue of approximately $1.5 million in each year from companies/and or affiliates of companies that are holders of the Company’s Convertible Preferred Stock. As of December 31, 2020 and 2019, the Company had approximately $0.4 million and approximately $0.5 million of accounts receivable from companies and/or affiliates of companies that are holders of the Company’s Convertible Preferred Stock.</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0940"/>
          </w:cols>
          <w:pgMar w:left="320" w:top="456" w:right="6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40"/>
        <w:spacing w:after="0" w:line="236" w:lineRule="auto"/>
        <w:rPr>
          <w:sz w:val="20"/>
          <w:szCs w:val="20"/>
          <w:color w:val="auto"/>
        </w:rPr>
      </w:pPr>
      <w:r>
        <w:rPr>
          <w:rFonts w:ascii="Arial" w:cs="Arial" w:eastAsia="Arial" w:hAnsi="Arial"/>
          <w:sz w:val="18"/>
          <w:szCs w:val="18"/>
          <w:color w:val="auto"/>
        </w:rPr>
        <w:t>For the quarters ended March 31, 2021 and 2020 (unaudited), Xometry recognized revenue of approximately $0.2 million and $0.4 million, respectively from companies/and or affiliates of companies that are holders of the Company’s Convertible Preferred Stock. As of March 31, 2021 (unaudited), the Company had approximately $ 0.5 million of accounts receivable from companies and/or affiliates of companies that are holders of the Company’s Convertible Preferred Stock.</w:t>
      </w:r>
    </w:p>
    <w:p>
      <w:pPr>
        <w:spacing w:after="0" w:line="202"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2020 and 2019, the Company paid Business Improvement Systems, Inc., $0.2 million. As of December 31, 2020 and 2019, the Company had approximately $0.1 million and approximately $0.04 million payable to Business Improvement Systems, Inc., respectively.</w:t>
      </w:r>
    </w:p>
    <w:p>
      <w:pPr>
        <w:spacing w:after="0" w:line="206" w:lineRule="exact"/>
        <w:rPr>
          <w:sz w:val="20"/>
          <w:szCs w:val="20"/>
          <w:color w:val="auto"/>
        </w:rPr>
      </w:pPr>
    </w:p>
    <w:p>
      <w:pPr>
        <w:ind w:left="720" w:right="80"/>
        <w:spacing w:after="0" w:line="237" w:lineRule="auto"/>
        <w:rPr>
          <w:sz w:val="20"/>
          <w:szCs w:val="20"/>
          <w:color w:val="auto"/>
        </w:rPr>
      </w:pPr>
      <w:r>
        <w:rPr>
          <w:rFonts w:ascii="Arial" w:cs="Arial" w:eastAsia="Arial" w:hAnsi="Arial"/>
          <w:sz w:val="18"/>
          <w:szCs w:val="18"/>
          <w:color w:val="auto"/>
        </w:rPr>
        <w:t>For the quarters ended March 31, 2021 and 2020 (unaudited), the Company paid Business Improvement Systems, Inc., approximately $0.1 million and $50,000, respectively. As of March 31, 2021 (unaudited), the Company had no amounts payable to Business Improvement Systems, Inc.</w:t>
      </w:r>
    </w:p>
    <w:p>
      <w:pPr>
        <w:spacing w:after="0" w:line="328" w:lineRule="exact"/>
        <w:rPr>
          <w:sz w:val="20"/>
          <w:szCs w:val="20"/>
          <w:color w:val="auto"/>
        </w:rPr>
      </w:pPr>
    </w:p>
    <w:p>
      <w:pPr>
        <w:ind w:left="700" w:hanging="533"/>
        <w:spacing w:after="0"/>
        <w:tabs>
          <w:tab w:leader="none" w:pos="7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ind w:left="35"/>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478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$ 1,586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1,269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1,332</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$ 1,652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80" w:type="dxa"/>
            <w:vAlign w:val="bottom"/>
            <w:gridSpan w:val="3"/>
            <w:vMerge w:val="restart"/>
          </w:tcPr>
          <w:p>
            <w:pPr>
              <w:jc w:val="right"/>
              <w:ind w:right="1120"/>
              <w:spacing w:after="0"/>
              <w:rPr>
                <w:sz w:val="20"/>
                <w:szCs w:val="20"/>
                <w:color w:val="auto"/>
              </w:rPr>
            </w:pPr>
            <w:r>
              <w:rPr>
                <w:rFonts w:ascii="Arial" w:cs="Arial" w:eastAsia="Arial" w:hAnsi="Arial"/>
                <w:sz w:val="18"/>
                <w:szCs w:val="18"/>
                <w:color w:val="auto"/>
              </w:rPr>
              <w:t>F-33</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840" w:type="dxa"/>
            <w:vAlign w:val="bottom"/>
          </w:tcPr>
          <w:p>
            <w:pPr>
              <w:spacing w:after="0"/>
              <w:rPr>
                <w:sz w:val="24"/>
                <w:szCs w:val="24"/>
                <w:color w:val="auto"/>
              </w:rPr>
            </w:pPr>
          </w:p>
        </w:tc>
        <w:tc>
          <w:tcPr>
            <w:tcW w:w="24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200" w:type="dxa"/>
            <w:vAlign w:val="bottom"/>
          </w:tcPr>
          <w:p>
            <w:pPr>
              <w:spacing w:after="0"/>
              <w:rPr>
                <w:sz w:val="12"/>
                <w:szCs w:val="12"/>
                <w:color w:val="auto"/>
              </w:rPr>
            </w:pPr>
          </w:p>
        </w:tc>
        <w:tc>
          <w:tcPr>
            <w:tcW w:w="14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200" w:type="dxa"/>
            <w:vAlign w:val="bottom"/>
          </w:tcPr>
          <w:p>
            <w:pPr>
              <w:spacing w:after="0"/>
              <w:rPr>
                <w:sz w:val="13"/>
                <w:szCs w:val="13"/>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200" w:type="dxa"/>
            <w:vAlign w:val="bottom"/>
          </w:tcPr>
          <w:p>
            <w:pPr>
              <w:spacing w:after="0"/>
              <w:rPr>
                <w:sz w:val="13"/>
                <w:szCs w:val="13"/>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r>
      <w:tr>
        <w:trPr>
          <w:trHeight w:val="160"/>
        </w:trPr>
        <w:tc>
          <w:tcPr>
            <w:tcW w:w="5200" w:type="dxa"/>
            <w:vAlign w:val="bottom"/>
          </w:tcPr>
          <w:p>
            <w:pPr>
              <w:spacing w:after="0"/>
              <w:rPr>
                <w:sz w:val="13"/>
                <w:szCs w:val="13"/>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period in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5200" w:type="dxa"/>
            <w:vAlign w:val="bottom"/>
          </w:tcPr>
          <w:p>
            <w:pPr>
              <w:spacing w:after="0"/>
              <w:rPr>
                <w:sz w:val="15"/>
                <w:szCs w:val="15"/>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years</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81"/>
        </w:trPr>
        <w:tc>
          <w:tcPr>
            <w:tcW w:w="52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8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520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2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148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80</w:t>
            </w:r>
          </w:p>
        </w:tc>
        <w:tc>
          <w:tcPr>
            <w:tcW w:w="4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26</w:t>
            </w:r>
          </w:p>
        </w:tc>
      </w:tr>
      <w:tr>
        <w:trPr>
          <w:trHeight w:val="201"/>
        </w:trPr>
        <w:tc>
          <w:tcPr>
            <w:tcW w:w="520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489</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437</w:t>
            </w:r>
          </w:p>
        </w:tc>
      </w:tr>
      <w:tr>
        <w:trPr>
          <w:trHeight w:val="201"/>
        </w:trPr>
        <w:tc>
          <w:tcPr>
            <w:tcW w:w="52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w:t>
            </w:r>
          </w:p>
        </w:tc>
        <w:tc>
          <w:tcPr>
            <w:tcW w:w="148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195</w:t>
            </w:r>
          </w:p>
        </w:tc>
      </w:tr>
      <w:tr>
        <w:trPr>
          <w:trHeight w:val="201"/>
        </w:trPr>
        <w:tc>
          <w:tcPr>
            <w:tcW w:w="520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148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708</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186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522</w:t>
            </w:r>
          </w:p>
        </w:tc>
      </w:tr>
      <w:tr>
        <w:trPr>
          <w:trHeight w:val="201"/>
        </w:trPr>
        <w:tc>
          <w:tcPr>
            <w:tcW w:w="52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148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1,269</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1,245</w:t>
            </w:r>
          </w:p>
        </w:tc>
      </w:tr>
      <w:tr>
        <w:trPr>
          <w:trHeight w:val="20"/>
        </w:trPr>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20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2,825</w:t>
            </w:r>
          </w:p>
        </w:tc>
        <w:tc>
          <w:tcPr>
            <w:tcW w:w="6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2,425</w:t>
            </w:r>
          </w:p>
        </w:tc>
      </w:tr>
      <w:tr>
        <w:trPr>
          <w:trHeight w:val="20"/>
        </w:trPr>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right="220"/>
        <w:spacing w:after="0" w:line="235" w:lineRule="auto"/>
        <w:rPr>
          <w:sz w:val="20"/>
          <w:szCs w:val="20"/>
          <w:color w:val="auto"/>
        </w:rPr>
      </w:pPr>
      <w:r>
        <w:rPr>
          <w:rFonts w:ascii="Arial" w:cs="Arial" w:eastAsia="Arial" w:hAnsi="Arial"/>
          <w:sz w:val="18"/>
          <w:szCs w:val="18"/>
          <w:color w:val="auto"/>
        </w:rPr>
        <w:t>Prior to recognizing the goodwill impairments in 2020 and 2019, Xometry evaluated the property and equipment and tangible and intangible long-lived assets for impairment. During 2020, Xometry recognized $0.1 million of impairment related to an intangible asset (a tradename) that Xometry ceased using in the U.S. reporting unit. Xometry wrote down the intangible asset to zero, its estimated fair value. The Company’s estimate of fair value considered discounted future cash flows associated with future use of the tradename. No impairments of intangible assets were recognized in 2019.</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provides a rollforward of the carrying amount of goodwill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8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$ 2,477</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impact of foreign exchange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Accumulated impairments</w:t>
            </w:r>
          </w:p>
        </w:tc>
        <w:tc>
          <w:tcPr>
            <w:tcW w:w="180" w:type="dxa"/>
            <w:vAlign w:val="bottom"/>
          </w:tcPr>
          <w:p>
            <w:pPr>
              <w:spacing w:after="0"/>
              <w:rPr>
                <w:sz w:val="18"/>
                <w:szCs w:val="18"/>
                <w:color w:val="auto"/>
              </w:rPr>
            </w:pPr>
          </w:p>
        </w:tc>
        <w:tc>
          <w:tcPr>
            <w:tcW w:w="1200" w:type="dxa"/>
            <w:vAlign w:val="bottom"/>
            <w:gridSpan w:val="3"/>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(1,719)</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goodwill as of January 1,</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2,188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17"/>
                <w:szCs w:val="17"/>
                <w:color w:val="auto"/>
              </w:rPr>
            </w:pPr>
          </w:p>
        </w:tc>
        <w:tc>
          <w:tcPr>
            <w:tcW w:w="1200" w:type="dxa"/>
            <w:vAlign w:val="bottom"/>
            <w:gridSpan w:val="3"/>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8"/>
                <w:szCs w:val="18"/>
                <w:color w:val="auto"/>
              </w:rPr>
            </w:pPr>
          </w:p>
        </w:tc>
        <w:tc>
          <w:tcPr>
            <w:tcW w:w="62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(1,509)</w:t>
            </w:r>
          </w:p>
        </w:tc>
        <w:tc>
          <w:tcPr>
            <w:tcW w:w="100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$ 2,188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$ 3,907</w:t>
            </w: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impairment expense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(3,228)</w:t>
            </w:r>
          </w:p>
        </w:tc>
        <w:tc>
          <w:tcPr>
            <w:tcW w:w="10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7"/>
        </w:trPr>
        <w:tc>
          <w:tcPr>
            <w:tcW w:w="6720" w:type="dxa"/>
            <w:vAlign w:val="bottom"/>
          </w:tcPr>
          <w:p>
            <w:pPr>
              <w:ind w:left="360"/>
              <w:spacing w:after="0"/>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During 2020 and 2019, the goodwill impairment analyses indicated that certain of reporting units with goodwill attributed to them had carrying amounts which exceeded their fair values. The underperformance of the reporting units relative to their expected performance drove the decline in the fair value of each reporting unit. As a result, during the years ended December 31, 2020 and 2019, Xometry recorded a pretax charge to reduce the carrying value of goodwill by $1.5 million and $1.7 million, respectively. As of March 31, 2021 (unaudited) and December 31, 2020, Xometry’s goodwill of $0.8 million is part of Xometry’s U.S. operating segment.</w:t>
      </w:r>
    </w:p>
    <w:p>
      <w:pPr>
        <w:spacing w:after="0" w:line="95" w:lineRule="exact"/>
        <w:rPr>
          <w:sz w:val="20"/>
          <w:szCs w:val="20"/>
          <w:color w:val="auto"/>
        </w:rPr>
      </w:pPr>
    </w:p>
    <w:p>
      <w:pPr>
        <w:ind w:left="720" w:right="1000"/>
        <w:spacing w:after="0" w:line="239" w:lineRule="auto"/>
        <w:rPr>
          <w:sz w:val="20"/>
          <w:szCs w:val="20"/>
          <w:color w:val="auto"/>
        </w:rPr>
      </w:pPr>
      <w:r>
        <w:rPr>
          <w:rFonts w:ascii="Arial" w:cs="Arial" w:eastAsia="Arial" w:hAnsi="Arial"/>
          <w:sz w:val="18"/>
          <w:szCs w:val="18"/>
          <w:color w:val="auto"/>
        </w:rPr>
        <w:t>Aggregate amortization expense for amortizing intangibles assets was $0.8 million and $0.3 million for the years ended December 31, 2020 and 2019, respectively. As of December 31,</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6"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420"/>
        <w:spacing w:after="0" w:line="239" w:lineRule="auto"/>
        <w:rPr>
          <w:sz w:val="20"/>
          <w:szCs w:val="20"/>
          <w:color w:val="auto"/>
        </w:rPr>
      </w:pPr>
      <w:r>
        <w:rPr>
          <w:rFonts w:ascii="Arial" w:cs="Arial" w:eastAsia="Arial" w:hAnsi="Arial"/>
          <w:sz w:val="18"/>
          <w:szCs w:val="18"/>
          <w:color w:val="auto"/>
        </w:rPr>
        <w:t>2020, estimated amortization expense for the next five years is: $0.3 million in 2021, $0.3 million in 2022, $0.1 million in 2023, $0.1 million in 2024, and $0.1 million in 2025.</w:t>
      </w:r>
    </w:p>
    <w:p>
      <w:pPr>
        <w:spacing w:after="0" w:line="96" w:lineRule="exact"/>
        <w:rPr>
          <w:sz w:val="20"/>
          <w:szCs w:val="20"/>
          <w:color w:val="auto"/>
        </w:rPr>
      </w:pPr>
    </w:p>
    <w:p>
      <w:pPr>
        <w:ind w:left="720" w:right="100"/>
        <w:spacing w:after="0" w:line="239" w:lineRule="auto"/>
        <w:rPr>
          <w:sz w:val="20"/>
          <w:szCs w:val="20"/>
          <w:color w:val="auto"/>
        </w:rPr>
      </w:pPr>
      <w:r>
        <w:rPr>
          <w:rFonts w:ascii="Arial" w:cs="Arial" w:eastAsia="Arial" w:hAnsi="Arial"/>
          <w:sz w:val="18"/>
          <w:szCs w:val="18"/>
          <w:color w:val="auto"/>
        </w:rPr>
        <w:t>As of March 31, 2021 (unaudited), estimated amortization expense for the remainder of 2021 and next five years is: $0.2 million in 2021, $0.3 million in 2022, $0.1 million in 2023, $0.1 million in 2024, $0.1 million in 2025 and $0.1 million in 2026.</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year ended December 31, 2020 and 2019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642</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833</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168</w:t>
            </w: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69</w:t>
            </w:r>
          </w:p>
        </w:tc>
      </w:tr>
      <w:tr>
        <w:trPr>
          <w:trHeight w:val="214"/>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2" w:lineRule="exact"/>
        <w:rPr>
          <w:rFonts w:ascii="Arial" w:cs="Arial" w:eastAsia="Arial" w:hAnsi="Arial"/>
          <w:sz w:val="18"/>
          <w:szCs w:val="18"/>
          <w:b w:val="1"/>
          <w:bCs w:val="1"/>
          <w:color w:val="auto"/>
        </w:rPr>
      </w:pPr>
    </w:p>
    <w:p>
      <w:pPr>
        <w:ind w:left="7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13, 2021 which is the date that the consolidated financial statements as of and for the year ended December 31, 2020 were available to be issued and no events were identified for disclosure in the consolidated financial statements.</w:t>
      </w:r>
    </w:p>
    <w:p>
      <w:pPr>
        <w:spacing w:after="0" w:line="202" w:lineRule="exact"/>
        <w:rPr>
          <w:rFonts w:ascii="Arial" w:cs="Arial" w:eastAsia="Arial" w:hAnsi="Arial"/>
          <w:sz w:val="18"/>
          <w:szCs w:val="18"/>
          <w:b w:val="1"/>
          <w:bCs w:val="1"/>
          <w:color w:val="auto"/>
        </w:rPr>
      </w:pPr>
    </w:p>
    <w:p>
      <w:pPr>
        <w:ind w:left="720" w:right="4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subsequent events were evaluated through May 18, 2021, the date on which the unaudited interim consolidated financial statements were available for issuance.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3" w:lineRule="exact"/>
        <w:rPr>
          <w:sz w:val="20"/>
          <w:szCs w:val="20"/>
          <w:color w:val="auto"/>
        </w:rPr>
      </w:pPr>
    </w:p>
    <w:p>
      <w:pPr>
        <w:ind w:left="720" w:right="280"/>
        <w:spacing w:after="0" w:line="239" w:lineRule="auto"/>
        <w:rPr>
          <w:sz w:val="20"/>
          <w:szCs w:val="20"/>
          <w:color w:val="auto"/>
        </w:rPr>
      </w:pPr>
      <w:r>
        <w:rPr>
          <w:rFonts w:ascii="Arial" w:cs="Arial" w:eastAsia="Arial" w:hAnsi="Arial"/>
          <w:sz w:val="18"/>
          <w:szCs w:val="18"/>
          <w:color w:val="auto"/>
        </w:rPr>
        <w:t>The table below details the activity of the allowance for doubtful accounts, for the years ended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Provision</w:t>
            </w:r>
          </w:p>
        </w:tc>
        <w:tc>
          <w:tcPr>
            <w:tcW w:w="38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Deduction or</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0"/>
        </w:trPr>
        <w:tc>
          <w:tcPr>
            <w:tcW w:w="4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Accounts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378</w:t>
            </w:r>
          </w:p>
        </w:tc>
        <w:tc>
          <w:tcPr>
            <w:tcW w:w="420" w:type="dxa"/>
            <w:vAlign w:val="bottom"/>
          </w:tcPr>
          <w:p>
            <w:pPr>
              <w:spacing w:after="0"/>
              <w:rPr>
                <w:sz w:val="17"/>
                <w:szCs w:val="17"/>
                <w:color w:val="auto"/>
              </w:rPr>
            </w:pPr>
          </w:p>
        </w:tc>
        <w:tc>
          <w:tcPr>
            <w:tcW w:w="6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315</w:t>
            </w:r>
          </w:p>
        </w:tc>
        <w:tc>
          <w:tcPr>
            <w:tcW w:w="5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(124)</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F-35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231775</wp:posOffset>
            </wp:positionV>
            <wp:extent cx="6828155" cy="9171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281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6,875,000 Shares</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Class A</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1319530</wp:posOffset>
            </wp:positionV>
            <wp:extent cx="1460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2381250</wp:posOffset>
            </wp:positionV>
            <wp:extent cx="14605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1583055</wp:posOffset>
            </wp:positionV>
            <wp:extent cx="2157095" cy="501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84"/>
        </w:trPr>
        <w:tc>
          <w:tcPr>
            <w:tcW w:w="4620" w:type="dxa"/>
            <w:vAlign w:val="bottom"/>
            <w:gridSpan w:val="2"/>
          </w:tcPr>
          <w:p>
            <w:pPr>
              <w:ind w:left="500"/>
              <w:spacing w:after="0"/>
              <w:rPr>
                <w:sz w:val="20"/>
                <w:szCs w:val="20"/>
                <w:color w:val="auto"/>
              </w:rPr>
            </w:pPr>
            <w:r>
              <w:rPr>
                <w:rFonts w:ascii="Arial" w:cs="Arial" w:eastAsia="Arial" w:hAnsi="Arial"/>
                <w:sz w:val="21"/>
                <w:szCs w:val="21"/>
                <w:b w:val="1"/>
                <w:bCs w:val="1"/>
                <w:color w:val="auto"/>
              </w:rPr>
              <w:t>Goldman Sachs &amp; Co. LLC</w:t>
            </w:r>
          </w:p>
        </w:tc>
        <w:tc>
          <w:tcPr>
            <w:tcW w:w="3040" w:type="dxa"/>
            <w:vAlign w:val="bottom"/>
          </w:tcPr>
          <w:p>
            <w:pPr>
              <w:ind w:left="360"/>
              <w:spacing w:after="0"/>
              <w:rPr>
                <w:sz w:val="20"/>
                <w:szCs w:val="20"/>
                <w:color w:val="auto"/>
              </w:rPr>
            </w:pPr>
            <w:r>
              <w:rPr>
                <w:rFonts w:ascii="Arial" w:cs="Arial" w:eastAsia="Arial" w:hAnsi="Arial"/>
                <w:sz w:val="21"/>
                <w:szCs w:val="21"/>
                <w:b w:val="1"/>
                <w:bCs w:val="1"/>
                <w:color w:val="auto"/>
              </w:rPr>
              <w:t>J.P. Morgan</w:t>
            </w:r>
          </w:p>
        </w:tc>
        <w:tc>
          <w:tcPr>
            <w:tcW w:w="3260" w:type="dxa"/>
            <w:vAlign w:val="bottom"/>
          </w:tcPr>
          <w:p>
            <w:pPr>
              <w:ind w:left="400"/>
              <w:spacing w:after="0"/>
              <w:rPr>
                <w:sz w:val="20"/>
                <w:szCs w:val="20"/>
                <w:color w:val="auto"/>
              </w:rPr>
            </w:pPr>
            <w:r>
              <w:rPr>
                <w:rFonts w:ascii="Arial" w:cs="Arial" w:eastAsia="Arial" w:hAnsi="Arial"/>
                <w:sz w:val="21"/>
                <w:szCs w:val="21"/>
                <w:b w:val="1"/>
                <w:bCs w:val="1"/>
                <w:color w:val="auto"/>
              </w:rPr>
              <w:t>UBS Investment Bank</w:t>
            </w:r>
          </w:p>
        </w:tc>
      </w:tr>
      <w:tr>
        <w:trPr>
          <w:trHeight w:val="481"/>
        </w:trPr>
        <w:tc>
          <w:tcPr>
            <w:tcW w:w="2180" w:type="dxa"/>
            <w:vAlign w:val="bottom"/>
          </w:tcPr>
          <w:p>
            <w:pPr>
              <w:ind w:left="780"/>
              <w:spacing w:after="0"/>
              <w:rPr>
                <w:sz w:val="20"/>
                <w:szCs w:val="20"/>
                <w:color w:val="auto"/>
              </w:rPr>
            </w:pPr>
            <w:r>
              <w:rPr>
                <w:rFonts w:ascii="Arial" w:cs="Arial" w:eastAsia="Arial" w:hAnsi="Arial"/>
                <w:sz w:val="21"/>
                <w:szCs w:val="21"/>
                <w:b w:val="1"/>
                <w:bCs w:val="1"/>
                <w:color w:val="auto"/>
              </w:rPr>
              <w:t>Citigroup</w:t>
            </w:r>
          </w:p>
        </w:tc>
        <w:tc>
          <w:tcPr>
            <w:tcW w:w="2440" w:type="dxa"/>
            <w:vAlign w:val="bottom"/>
          </w:tcPr>
          <w:p>
            <w:pPr>
              <w:ind w:left="460"/>
              <w:spacing w:after="0"/>
              <w:rPr>
                <w:sz w:val="20"/>
                <w:szCs w:val="20"/>
                <w:color w:val="auto"/>
              </w:rPr>
            </w:pPr>
            <w:r>
              <w:rPr>
                <w:rFonts w:ascii="Arial" w:cs="Arial" w:eastAsia="Arial" w:hAnsi="Arial"/>
                <w:sz w:val="21"/>
                <w:szCs w:val="21"/>
                <w:b w:val="1"/>
                <w:bCs w:val="1"/>
                <w:color w:val="auto"/>
              </w:rPr>
              <w:t>BofA Securities</w:t>
            </w:r>
          </w:p>
        </w:tc>
        <w:tc>
          <w:tcPr>
            <w:tcW w:w="3040" w:type="dxa"/>
            <w:vAlign w:val="bottom"/>
          </w:tcPr>
          <w:p>
            <w:pPr>
              <w:ind w:left="1340"/>
              <w:spacing w:after="0"/>
              <w:rPr>
                <w:sz w:val="20"/>
                <w:szCs w:val="20"/>
                <w:color w:val="auto"/>
              </w:rPr>
            </w:pPr>
            <w:r>
              <w:rPr>
                <w:rFonts w:ascii="Arial" w:cs="Arial" w:eastAsia="Arial" w:hAnsi="Arial"/>
                <w:sz w:val="21"/>
                <w:szCs w:val="21"/>
                <w:b w:val="1"/>
                <w:bCs w:val="1"/>
                <w:color w:val="auto"/>
              </w:rPr>
              <w:t>William Blair</w:t>
            </w:r>
          </w:p>
        </w:tc>
        <w:tc>
          <w:tcPr>
            <w:tcW w:w="3260" w:type="dxa"/>
            <w:vAlign w:val="bottom"/>
          </w:tcPr>
          <w:p>
            <w:pPr>
              <w:ind w:left="840"/>
              <w:spacing w:after="0"/>
              <w:rPr>
                <w:sz w:val="20"/>
                <w:szCs w:val="20"/>
                <w:color w:val="auto"/>
              </w:rPr>
            </w:pPr>
            <w:r>
              <w:rPr>
                <w:rFonts w:ascii="Arial" w:cs="Arial" w:eastAsia="Arial" w:hAnsi="Arial"/>
                <w:sz w:val="21"/>
                <w:szCs w:val="21"/>
                <w:b w:val="1"/>
                <w:bCs w:val="1"/>
                <w:color w:val="auto"/>
              </w:rPr>
              <w:t>RBC Capital Markets</w:t>
            </w:r>
          </w:p>
        </w:tc>
      </w:tr>
      <w:tr>
        <w:trPr>
          <w:trHeight w:val="495"/>
        </w:trPr>
        <w:tc>
          <w:tcPr>
            <w:tcW w:w="4620" w:type="dxa"/>
            <w:vAlign w:val="bottom"/>
            <w:gridSpan w:val="2"/>
          </w:tcPr>
          <w:p>
            <w:pPr>
              <w:ind w:left="1600"/>
              <w:spacing w:after="0"/>
              <w:rPr>
                <w:sz w:val="20"/>
                <w:szCs w:val="20"/>
                <w:color w:val="auto"/>
              </w:rPr>
            </w:pPr>
            <w:r>
              <w:rPr>
                <w:rFonts w:ascii="Arial" w:cs="Arial" w:eastAsia="Arial" w:hAnsi="Arial"/>
                <w:sz w:val="21"/>
                <w:szCs w:val="21"/>
                <w:b w:val="1"/>
                <w:bCs w:val="1"/>
                <w:color w:val="auto"/>
              </w:rPr>
              <w:t>C.L. King &amp; Associates</w:t>
            </w:r>
          </w:p>
        </w:tc>
        <w:tc>
          <w:tcPr>
            <w:tcW w:w="6300" w:type="dxa"/>
            <w:vAlign w:val="bottom"/>
            <w:gridSpan w:val="2"/>
          </w:tcPr>
          <w:p>
            <w:pPr>
              <w:ind w:left="2580"/>
              <w:spacing w:after="0"/>
              <w:rPr>
                <w:sz w:val="20"/>
                <w:szCs w:val="20"/>
                <w:color w:val="auto"/>
              </w:rPr>
            </w:pPr>
            <w:r>
              <w:rPr>
                <w:rFonts w:ascii="Arial" w:cs="Arial" w:eastAsia="Arial" w:hAnsi="Arial"/>
                <w:sz w:val="21"/>
                <w:szCs w:val="21"/>
                <w:b w:val="1"/>
                <w:bCs w:val="1"/>
                <w:color w:val="auto"/>
              </w:rPr>
              <w:t>Loop Capital Markets</w:t>
            </w:r>
          </w:p>
        </w:tc>
      </w:tr>
      <w:tr>
        <w:trPr>
          <w:trHeight w:val="1969"/>
        </w:trPr>
        <w:tc>
          <w:tcPr>
            <w:tcW w:w="2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94"/>
        </w:trPr>
        <w:tc>
          <w:tcPr>
            <w:tcW w:w="2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080"/>
      </w:cols>
      <w:pgMar w:left="320" w:top="45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decimal"/>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1)"/>
      <w:numFmt w:val="decimal"/>
      <w:start w:val="1"/>
    </w:lvl>
  </w:abstractNum>
  <w:abstractNum w:abstractNumId="17">
    <w:nsid w:val="1A32234B"/>
    <w:multiLevelType w:val="hybridMultilevel"/>
    <w:lvl w:ilvl="0">
      <w:lvlJc w:val="left"/>
      <w:lvlText w:val="(%1)"/>
      <w:numFmt w:val="decimal"/>
      <w:start w:val="1"/>
    </w:lvl>
  </w:abstractNum>
  <w:abstractNum w:abstractNumId="18">
    <w:nsid w:val="3B0FD379"/>
    <w:multiLevelType w:val="hybridMultilevel"/>
    <w:lvl w:ilvl="0">
      <w:lvlJc w:val="left"/>
      <w:lvlText w:val="(%1)"/>
      <w:numFmt w:val="decimal"/>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decimal"/>
      <w:start w:val="1"/>
    </w:lvl>
  </w:abstractNum>
  <w:abstractNum w:abstractNumId="31">
    <w:nsid w:val="94211F2"/>
    <w:multiLevelType w:val="hybridMultilevel"/>
    <w:lvl w:ilvl="0">
      <w:lvlJc w:val="left"/>
      <w:lvlText w:val="(%1)"/>
      <w:numFmt w:val="lowerRoman"/>
      <w:start w:val="4"/>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1)"/>
      <w:numFmt w:val="lowerRoman"/>
      <w:start w:val="2"/>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1"/>
    </w:lvl>
  </w:abstractNum>
  <w:abstractNum w:abstractNumId="55">
    <w:nsid w:val="5FB8011C"/>
    <w:multiLevelType w:val="hybridMultilevel"/>
    <w:lvl w:ilvl="0">
      <w:lvlJc w:val="left"/>
      <w:lvlText w:val="(%1)"/>
      <w:numFmt w:val="decimal"/>
      <w:start w:val="3"/>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8"/>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1)"/>
      <w:numFmt w:val="lowerLetter"/>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1)"/>
      <w:numFmt w:val="lowerRoman"/>
      <w:start w:val="3"/>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1)"/>
      <w:numFmt w:val="decimal"/>
      <w:start w:val="3"/>
    </w:lvl>
    <w:lvl w:ilvl="1">
      <w:lvlJc w:val="left"/>
      <w:lvlText w:val="(%2)"/>
      <w:numFmt w:val="lowerLetter"/>
      <w:start w:val="4"/>
    </w:lvl>
  </w:abstractNum>
  <w:abstractNum w:abstractNumId="71">
    <w:nsid w:val="1FBFE8E0"/>
    <w:multiLevelType w:val="hybridMultilevel"/>
    <w:lvl w:ilvl="0">
      <w:lvlJc w:val="left"/>
      <w:lvlText w:val="%1"/>
      <w:numFmt w:val="decimal"/>
      <w:start w:val="1"/>
    </w:lvl>
    <w:lvl w:ilvl="1">
      <w:lvlJc w:val="left"/>
      <w:lvlText w:val="(%2)"/>
      <w:numFmt w:val="lowerLetter"/>
      <w:start w:val="8"/>
    </w:lvl>
  </w:abstractNum>
  <w:abstractNum w:abstractNumId="72">
    <w:nsid w:val="5092CA79"/>
    <w:multiLevelType w:val="hybridMultilevel"/>
    <w:lvl w:ilvl="0">
      <w:lvlJc w:val="left"/>
      <w:lvlText w:val="(%1)"/>
      <w:numFmt w:val="decimal"/>
      <w:start w:val="4"/>
    </w:lvl>
    <w:lvl w:ilvl="1">
      <w:lvlJc w:val="left"/>
      <w:lvlText w:val="(%2)"/>
      <w:numFmt w:val="lowerLetter"/>
      <w:start w:val="4"/>
    </w:lvl>
  </w:abstractNum>
  <w:abstractNum w:abstractNumId="73">
    <w:nsid w:val="1D545C4D"/>
    <w:multiLevelType w:val="hybridMultilevel"/>
    <w:lvl w:ilvl="0">
      <w:lvlJc w:val="left"/>
      <w:lvlText w:val="(%1)"/>
      <w:numFmt w:val="decimal"/>
      <w:start w:val="9"/>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1)"/>
      <w:numFmt w:val="lowerLetter"/>
      <w:start w:val="2"/>
    </w:lvl>
  </w:abstractNum>
  <w:abstractNum w:abstractNumId="77">
    <w:nsid w:val="1D9F6E5F"/>
    <w:multiLevelType w:val="hybridMultilevel"/>
    <w:lvl w:ilvl="0">
      <w:lvlJc w:val="left"/>
      <w:lvlText w:val="(%1)"/>
      <w:numFmt w:val="decimal"/>
      <w:start w:val="3"/>
    </w:lvl>
  </w:abstractNum>
  <w:abstractNum w:abstractNumId="78">
    <w:nsid w:val="97E1B4E"/>
    <w:multiLevelType w:val="hybridMultilevel"/>
    <w:lvl w:ilvl="0">
      <w:lvlJc w:val="left"/>
      <w:lvlText w:val="(%1)"/>
      <w:numFmt w:val="decimal"/>
      <w:start w:val="1"/>
    </w:lvl>
  </w:abstractNum>
  <w:abstractNum w:abstractNumId="79">
    <w:nsid w:val="51088277"/>
    <w:multiLevelType w:val="hybridMultilevel"/>
    <w:lvl w:ilvl="0">
      <w:lvlJc w:val="left"/>
      <w:lvlText w:val="(%1)"/>
      <w:numFmt w:val="lowerLetter"/>
      <w:start w:val="3"/>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1)"/>
      <w:numFmt w:val="lowerRoman"/>
      <w:start w:val="1"/>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1)"/>
      <w:numFmt w:val="lowerLetter"/>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1)"/>
      <w:numFmt w:val="decimal"/>
      <w:start w:val="1"/>
    </w:lvl>
  </w:abstractNum>
  <w:abstractNum w:abstractNumId="91">
    <w:nsid w:val="39B7AAA2"/>
    <w:multiLevelType w:val="hybridMultilevel"/>
    <w:lvl w:ilvl="0">
      <w:lvlJc w:val="left"/>
      <w:lvlText w:val="(%1)"/>
      <w:numFmt w:val="lowerLetter"/>
      <w:start w:val="1"/>
    </w:lvl>
  </w:abstractNum>
  <w:abstractNum w:abstractNumId="92">
    <w:nsid w:val="2B0D8DBE"/>
    <w:multiLevelType w:val="hybridMultilevel"/>
    <w:lvl w:ilvl="0">
      <w:lvlJc w:val="left"/>
      <w:lvlText w:val="(%1)"/>
      <w:numFmt w:val="lowerLetter"/>
      <w:start w:val="2"/>
    </w:lvl>
  </w:abstractNum>
  <w:abstractNum w:abstractNumId="93">
    <w:nsid w:val="6C80EC70"/>
    <w:multiLevelType w:val="hybridMultilevel"/>
    <w:lvl w:ilvl="0">
      <w:lvlJc w:val="left"/>
      <w:lvlText w:val="(%1)"/>
      <w:numFmt w:val="lowerLetter"/>
      <w:start w:val="3"/>
    </w:lvl>
  </w:abstractNum>
  <w:abstractNum w:abstractNumId="94">
    <w:nsid w:val="379E21B5"/>
    <w:multiLevelType w:val="hybridMultilevel"/>
    <w:lvl w:ilvl="0">
      <w:lvlJc w:val="left"/>
      <w:lvlText w:val="(%1)"/>
      <w:numFmt w:val="lowerLetter"/>
      <w:start w:val="4"/>
    </w:lvl>
  </w:abstractNum>
  <w:abstractNum w:abstractNumId="95">
    <w:nsid w:val="69E373"/>
    <w:multiLevelType w:val="hybridMultilevel"/>
    <w:lvl w:ilvl="0">
      <w:lvlJc w:val="left"/>
      <w:lvlText w:val="(%1)"/>
      <w:numFmt w:val="lowerLetter"/>
      <w:start w:val="5"/>
    </w:lvl>
  </w:abstractNum>
  <w:abstractNum w:abstractNumId="96">
    <w:nsid w:val="2C27173B"/>
    <w:multiLevelType w:val="hybridMultilevel"/>
    <w:lvl w:ilvl="0">
      <w:lvlJc w:val="left"/>
      <w:lvlText w:val="(%1)"/>
      <w:numFmt w:val="lowerLetter"/>
      <w:start w:val="6"/>
    </w:lvl>
  </w:abstractNum>
  <w:abstractNum w:abstractNumId="97">
    <w:nsid w:val="4C9B0904"/>
    <w:multiLevelType w:val="hybridMultilevel"/>
    <w:lvl w:ilvl="0">
      <w:lvlJc w:val="left"/>
      <w:lvlText w:val="(%1)"/>
      <w:numFmt w:val="lowerLetter"/>
      <w:start w:val="7"/>
    </w:lvl>
  </w:abstractNum>
  <w:abstractNum w:abstractNumId="98">
    <w:nsid w:val="6AA7B75C"/>
    <w:multiLevelType w:val="hybridMultilevel"/>
    <w:lvl w:ilvl="0">
      <w:lvlJc w:val="left"/>
      <w:lvlText w:val="(%1)"/>
      <w:numFmt w:val="lowerLetter"/>
      <w:start w:val="8"/>
    </w:lvl>
  </w:abstractNum>
  <w:abstractNum w:abstractNumId="99">
    <w:nsid w:val="1DF029D3"/>
    <w:multiLevelType w:val="hybridMultilevel"/>
    <w:lvl w:ilvl="0">
      <w:lvlJc w:val="left"/>
      <w:lvlText w:val="(%1)"/>
      <w:numFmt w:val="lowerRoman"/>
      <w:start w:val="1"/>
    </w:lvl>
  </w:abstractNum>
  <w:abstractNum w:abstractNumId="100">
    <w:nsid w:val="5675FF36"/>
    <w:multiLevelType w:val="hybridMultilevel"/>
    <w:lvl w:ilvl="0">
      <w:lvlJc w:val="left"/>
      <w:lvlText w:val="(%1)"/>
      <w:numFmt w:val="lowerLetter"/>
      <w:start w:val="10"/>
    </w:lvl>
  </w:abstractNum>
  <w:abstractNum w:abstractNumId="101">
    <w:nsid w:val="3DD15094"/>
    <w:multiLevelType w:val="hybridMultilevel"/>
    <w:lvl w:ilvl="0">
      <w:lvlJc w:val="left"/>
      <w:lvlText w:val="(%1)"/>
      <w:numFmt w:val="lowerLetter"/>
      <w:start w:val="11"/>
    </w:lvl>
  </w:abstractNum>
  <w:abstractNum w:abstractNumId="102">
    <w:nsid w:val="3DB012B3"/>
    <w:multiLevelType w:val="hybridMultilevel"/>
    <w:lvl w:ilvl="0">
      <w:lvlJc w:val="left"/>
      <w:lvlText w:val="(%1)"/>
      <w:numFmt w:val="lowerLetter"/>
      <w:start w:val="12"/>
    </w:lvl>
  </w:abstractNum>
  <w:abstractNum w:abstractNumId="103">
    <w:nsid w:val="2708C9AF"/>
    <w:multiLevelType w:val="hybridMultilevel"/>
    <w:lvl w:ilvl="0">
      <w:lvlJc w:val="left"/>
      <w:lvlText w:val="(%1)"/>
      <w:numFmt w:val="lowerLetter"/>
      <w:start w:val="13"/>
    </w:lvl>
  </w:abstractNum>
  <w:abstractNum w:abstractNumId="104">
    <w:nsid w:val="5B25ACE2"/>
    <w:multiLevelType w:val="hybridMultilevel"/>
    <w:lvl w:ilvl="0">
      <w:lvlJc w:val="left"/>
      <w:lvlText w:val="(%1)"/>
      <w:numFmt w:val="lowerLetter"/>
      <w:start w:val="14"/>
    </w:lvl>
  </w:abstractNum>
  <w:abstractNum w:abstractNumId="105">
    <w:nsid w:val="175DFCF0"/>
    <w:multiLevelType w:val="hybridMultilevel"/>
    <w:lvl w:ilvl="0">
      <w:lvlJc w:val="left"/>
      <w:lvlText w:val="(%1)"/>
      <w:numFmt w:val="lowerLetter"/>
      <w:start w:val="15"/>
    </w:lvl>
  </w:abstractNum>
  <w:abstractNum w:abstractNumId="106">
    <w:nsid w:val="4F97E3E4"/>
    <w:multiLevelType w:val="hybridMultilevel"/>
    <w:lvl w:ilvl="0">
      <w:lvlJc w:val="left"/>
      <w:lvlText w:val="(%1)"/>
      <w:numFmt w:val="lowerLetter"/>
      <w:start w:val="16"/>
    </w:lvl>
  </w:abstractNum>
  <w:abstractNum w:abstractNumId="107">
    <w:nsid w:val="53B0A9E"/>
    <w:multiLevelType w:val="hybridMultilevel"/>
    <w:lvl w:ilvl="0">
      <w:lvlJc w:val="left"/>
      <w:lvlText w:val="(%1)"/>
      <w:numFmt w:val="lowerLetter"/>
      <w:start w:val="17"/>
    </w:lvl>
  </w:abstractNum>
  <w:abstractNum w:abstractNumId="108">
    <w:nsid w:val="34FD6B4F"/>
    <w:multiLevelType w:val="hybridMultilevel"/>
    <w:lvl w:ilvl="0">
      <w:lvlJc w:val="left"/>
      <w:lvlText w:val="(%1)"/>
      <w:numFmt w:val="lowerLetter"/>
      <w:start w:val="18"/>
    </w:lvl>
  </w:abstractNum>
  <w:abstractNum w:abstractNumId="109">
    <w:nsid w:val="5915FF32"/>
    <w:multiLevelType w:val="hybridMultilevel"/>
    <w:lvl w:ilvl="0">
      <w:lvlJc w:val="left"/>
      <w:lvlText w:val="(%1)"/>
      <w:numFmt w:val="lowerLetter"/>
      <w:start w:val="19"/>
    </w:lvl>
  </w:abstractNum>
  <w:abstractNum w:abstractNumId="110">
    <w:nsid w:val="56438D15"/>
    <w:multiLevelType w:val="hybridMultilevel"/>
    <w:lvl w:ilvl="0">
      <w:lvlJc w:val="left"/>
      <w:lvlText w:val="(%1)"/>
      <w:numFmt w:val="lowerLetter"/>
      <w:start w:val="20"/>
    </w:lvl>
  </w:abstractNum>
  <w:abstractNum w:abstractNumId="111">
    <w:nsid w:val="519E3149"/>
    <w:multiLevelType w:val="hybridMultilevel"/>
    <w:lvl w:ilvl="0">
      <w:lvlJc w:val="left"/>
      <w:lvlText w:val="•"/>
      <w:numFmt w:val="bullet"/>
      <w:start w:val="1"/>
    </w:lvl>
  </w:abstractNum>
  <w:abstractNum w:abstractNumId="112">
    <w:nsid w:val="2C6E4AFD"/>
    <w:multiLevelType w:val="hybridMultilevel"/>
    <w:lvl w:ilvl="0">
      <w:lvlJc w:val="left"/>
      <w:lvlText w:val="(%1)"/>
      <w:numFmt w:val="lowerLetter"/>
      <w:start w:val="21"/>
    </w:lvl>
  </w:abstractNum>
  <w:abstractNum w:abstractNumId="113">
    <w:nsid w:val="17A1B582"/>
    <w:multiLevelType w:val="hybridMultilevel"/>
    <w:lvl w:ilvl="0">
      <w:lvlJc w:val="left"/>
      <w:lvlText w:val="(%1)"/>
      <w:numFmt w:val="lowerRoman"/>
      <w:start w:val="5"/>
    </w:lvl>
  </w:abstractNum>
  <w:abstractNum w:abstractNumId="114">
    <w:nsid w:val="4DF72E4E"/>
    <w:multiLevelType w:val="hybridMultilevel"/>
    <w:lvl w:ilvl="0">
      <w:lvlJc w:val="left"/>
      <w:lvlText w:val="(%1)"/>
      <w:numFmt w:val="lowerLetter"/>
      <w:start w:val="23"/>
    </w:lvl>
  </w:abstractNum>
  <w:abstractNum w:abstractNumId="115">
    <w:nsid w:val="5046B5A9"/>
    <w:multiLevelType w:val="hybridMultilevel"/>
    <w:lvl w:ilvl="0">
      <w:lvlJc w:val="left"/>
      <w:lvlText w:val="(%1)"/>
      <w:numFmt w:val="lowerRoman"/>
      <w:start w:val="10"/>
    </w:lvl>
  </w:abstractNum>
  <w:abstractNum w:abstractNumId="116">
    <w:nsid w:val="5D888A08"/>
    <w:multiLevelType w:val="hybridMultilevel"/>
    <w:lvl w:ilvl="0">
      <w:lvlJc w:val="left"/>
      <w:lvlText w:val="(%1)"/>
      <w:numFmt w:val="lowerLetter"/>
      <w:start w:val="25"/>
    </w:lvl>
  </w:abstractNum>
  <w:abstractNum w:abstractNumId="117">
    <w:nsid w:val="2A082C70"/>
    <w:multiLevelType w:val="hybridMultilevel"/>
    <w:lvl w:ilvl="0">
      <w:lvlJc w:val="left"/>
      <w:lvlText w:val="(%1)"/>
      <w:numFmt w:val="lowerLetter"/>
      <w:start w:val="26"/>
    </w:lvl>
  </w:abstractNum>
  <w:abstractNum w:abstractNumId="118">
    <w:nsid w:val="5EC6AFD4"/>
    <w:multiLevelType w:val="hybridMultilevel"/>
    <w:lvl w:ilvl="0">
      <w:lvlJc w:val="left"/>
      <w:lvlText w:val="(%1)"/>
      <w:numFmt w:val="lowerLetter"/>
      <w:start w:val="27"/>
    </w:lvl>
  </w:abstractNum>
  <w:abstractNum w:abstractNumId="119">
    <w:nsid w:val="19E21BB2"/>
    <w:multiLevelType w:val="hybridMultilevel"/>
    <w:lvl w:ilvl="0">
      <w:lvlJc w:val="left"/>
      <w:lvlText w:val="(%1)"/>
      <w:numFmt w:val="decimal"/>
      <w:start w:val="3"/>
    </w:lvl>
  </w:abstractNum>
  <w:abstractNum w:abstractNumId="120">
    <w:nsid w:val="75E0858A"/>
    <w:multiLevelType w:val="hybridMultilevel"/>
    <w:lvl w:ilvl="0">
      <w:lvlJc w:val="left"/>
      <w:lvlText w:val="(%1)"/>
      <w:numFmt w:val="decimal"/>
      <w:start w:val="4"/>
    </w:lvl>
  </w:abstractNum>
  <w:abstractNum w:abstractNumId="121">
    <w:nsid w:val="57A61A29"/>
    <w:multiLevelType w:val="hybridMultilevel"/>
    <w:lvl w:ilvl="0">
      <w:lvlJc w:val="left"/>
      <w:lvlText w:val="(%1)"/>
      <w:numFmt w:val="decimal"/>
      <w:start w:val="5"/>
    </w:lvl>
  </w:abstractNum>
  <w:abstractNum w:abstractNumId="122">
    <w:nsid w:val="5399C654"/>
    <w:multiLevelType w:val="hybridMultilevel"/>
    <w:lvl w:ilvl="0">
      <w:lvlJc w:val="left"/>
      <w:lvlText w:val="(%1)"/>
      <w:numFmt w:val="decimal"/>
      <w:start w:val="6"/>
    </w:lvl>
  </w:abstractNum>
  <w:abstractNum w:abstractNumId="123">
    <w:nsid w:val="20EE1348"/>
    <w:multiLevelType w:val="hybridMultilevel"/>
    <w:lvl w:ilvl="0">
      <w:lvlJc w:val="left"/>
      <w:lvlText w:val="(%1)"/>
      <w:numFmt w:val="decimal"/>
      <w:start w:val="7"/>
    </w:lvl>
  </w:abstractNum>
  <w:abstractNum w:abstractNumId="124">
    <w:nsid w:val="4427069A"/>
    <w:multiLevelType w:val="hybridMultilevel"/>
    <w:lvl w:ilvl="0">
      <w:lvlJc w:val="left"/>
      <w:lvlText w:val="(%1)"/>
      <w:numFmt w:val="decimal"/>
      <w:start w:val="1"/>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lowerLetter"/>
      <w:start w:val="2"/>
    </w:lvl>
  </w:abstractNum>
  <w:abstractNum w:abstractNumId="127">
    <w:nsid w:val="704E1DD5"/>
    <w:multiLevelType w:val="hybridMultilevel"/>
    <w:lvl w:ilvl="0">
      <w:lvlJc w:val="left"/>
      <w:lvlText w:val="(%1)"/>
      <w:numFmt w:val="lowerLetter"/>
      <w:start w:val="3"/>
    </w:lvl>
  </w:abstractNum>
  <w:abstractNum w:abstractNumId="128">
    <w:nsid w:val="57D2F10E"/>
    <w:multiLevelType w:val="hybridMultilevel"/>
    <w:lvl w:ilvl="0">
      <w:lvlJc w:val="left"/>
      <w:lvlText w:val="(%1)"/>
      <w:numFmt w:val="lowerLetter"/>
      <w:start w:val="4"/>
    </w:lvl>
  </w:abstractNum>
  <w:abstractNum w:abstractNumId="129">
    <w:nsid w:val="BFFAE18"/>
    <w:multiLevelType w:val="hybridMultilevel"/>
    <w:lvl w:ilvl="0">
      <w:lvlJc w:val="left"/>
      <w:lvlText w:val="(%1)"/>
      <w:numFmt w:val="lowerLetter"/>
      <w:start w:val="5"/>
    </w:lvl>
  </w:abstractNum>
  <w:abstractNum w:abstractNumId="130">
    <w:nsid w:val="E3E47A8"/>
    <w:multiLevelType w:val="hybridMultilevel"/>
    <w:lvl w:ilvl="0">
      <w:lvlJc w:val="left"/>
      <w:lvlText w:val="(%1)"/>
      <w:numFmt w:val="decimal"/>
      <w:start w:val="9"/>
    </w:lvl>
  </w:abstractNum>
  <w:abstractNum w:abstractNumId="131">
    <w:nsid w:val="2E48F044"/>
    <w:multiLevelType w:val="hybridMultilevel"/>
    <w:lvl w:ilvl="0">
      <w:lvlJc w:val="left"/>
      <w:lvlText w:val="(%1)"/>
      <w:numFmt w:val="decimal"/>
      <w:start w:val="10"/>
    </w:lvl>
  </w:abstractNum>
  <w:abstractNum w:abstractNumId="132">
    <w:nsid w:val="49D0FEAC"/>
    <w:multiLevelType w:val="hybridMultilevel"/>
    <w:lvl w:ilvl="0">
      <w:lvlJc w:val="left"/>
      <w:lvlText w:val="(%1)"/>
      <w:numFmt w:val="decimal"/>
      <w:start w:val="11"/>
    </w:lvl>
  </w:abstractNum>
  <w:abstractNum w:abstractNumId="133">
    <w:nsid w:val="4BEE5A5B"/>
    <w:multiLevelType w:val="hybridMultilevel"/>
    <w:lvl w:ilvl="0">
      <w:lvlJc w:val="left"/>
      <w:lvlText w:val="(%1)"/>
      <w:numFmt w:val="decimal"/>
      <w:start w:val="12"/>
    </w:lvl>
  </w:abstractNum>
  <w:abstractNum w:abstractNumId="134">
    <w:nsid w:val="5551B9F3"/>
    <w:multiLevelType w:val="hybridMultilevel"/>
    <w:lvl w:ilvl="0">
      <w:lvlJc w:val="left"/>
      <w:lvlText w:val="(%1)"/>
      <w:numFmt w:val="decimal"/>
      <w:start w:val="13"/>
    </w:lvl>
  </w:abstractNum>
  <w:abstractNum w:abstractNumId="135">
    <w:nsid w:val="24F6AB8E"/>
    <w:multiLevelType w:val="hybridMultilevel"/>
    <w:lvl w:ilvl="0">
      <w:lvlJc w:val="left"/>
      <w:lvlText w:val="(%1)"/>
      <w:numFmt w:val="decimal"/>
      <w:start w:val="14"/>
    </w:lvl>
  </w:abstractNum>
  <w:abstractNum w:abstractNumId="136">
    <w:nsid w:val="634C574C"/>
    <w:multiLevelType w:val="hybridMultilevel"/>
    <w:lvl w:ilvl="0">
      <w:lvlJc w:val="left"/>
      <w:lvlText w:val="(%1)"/>
      <w:numFmt w:val="decimal"/>
      <w:start w:val="15"/>
    </w:lvl>
  </w:abstractNum>
  <w:abstractNum w:abstractNumId="137">
    <w:nsid w:val="24E99DD7"/>
    <w:multiLevelType w:val="hybridMultilevel"/>
    <w:lvl w:ilvl="0">
      <w:lvlJc w:val="left"/>
      <w:lvlText w:val="(%1)"/>
      <w:numFmt w:val="decimal"/>
      <w:start w:val="16"/>
    </w:lvl>
  </w:abstractNum>
  <w:abstractNum w:abstractNumId="138">
    <w:nsid w:val="2A31B62D"/>
    <w:multiLevelType w:val="hybridMultilevel"/>
    <w:lvl w:ilvl="0">
      <w:lvlJc w:val="left"/>
      <w:lvlText w:val="(%1)"/>
      <w:numFmt w:val="decimal"/>
      <w:start w:val="17"/>
    </w:lvl>
  </w:abstractNum>
  <w:abstractNum w:abstractNumId="139">
    <w:nsid w:val="1849C29B"/>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2021-07-01T16:20:45Z</dcterms:created>
  <dcterms:modified xsi:type="dcterms:W3CDTF">2021-07-01T16:20:45Z</dcterms:modified>
</cp:coreProperties>
</file>