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176,443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in a transaction that was effected automatically pursuant to a Rule 10b5-1 trading plan adopted by the reporting person at least 90 days prior to the trading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011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2025-06-11T15:16:28Z</dcterms:created>
  <dcterms:modified xsi:type="dcterms:W3CDTF">2025-06-11T15:16:28Z</dcterms:modified>
</cp:coreProperties>
</file>