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xmtr-20230331.htm"/>
      <w:bookmarkStart w:id="1" w:name="ksxmtr20230331"/>
      <w:bookmarkEnd w:id="0"/>
      <w:bookmarkEnd w:id="1"/>
      <w:r>
        <w:rPr/>
        <w:t> </w:t>
      </w:r>
    </w:p>
    <w:p>
      <w:pPr>
        <w:pStyle w:val="TextBody"/>
        <w:pBdr>
          <w:top w:val="double" w:sz="6" w:space="1" w:color="000000"/>
        </w:pBdr>
        <w:spacing w:before="0" w:after="0"/>
        <w:jc w:val="left"/>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60" w:after="120"/>
        <w:jc w:val="center"/>
        <w:rPr/>
      </w:pPr>
      <w:r>
        <w:rPr/>
        <w:t> </w:t>
      </w:r>
    </w:p>
    <w:p>
      <w:pPr>
        <w:pStyle w:val="TextBody"/>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spacing w:before="60" w:after="120"/>
        <w:jc w:val="center"/>
        <w:rPr/>
      </w:pPr>
      <w:r>
        <w:rPr/>
        <w:t> </w:t>
      </w:r>
    </w:p>
    <w:p>
      <w:pPr>
        <w:pStyle w:val="TextBody"/>
        <w:spacing w:before="9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spacing w:before="8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8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12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before="8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spacing w:before="80" w:after="0"/>
        <w:jc w:val="center"/>
        <w:rPr>
          <w:rFonts w:ascii="Times New Roman" w:hAnsi="Times New Roman"/>
          <w:sz w:val="20"/>
        </w:rPr>
      </w:pPr>
      <w:r>
        <w:rPr>
          <w:rFonts w:ascii="Times New Roman;serif" w:hAnsi="Times New Roman;serif"/>
          <w:b/>
          <w:sz w:val="20"/>
        </w:rPr>
        <w:t>For the transition period from __________ to __________</w:t>
      </w:r>
      <w:r>
        <w:rPr>
          <w:rFonts w:ascii="Times New Roman" w:hAnsi="Times New Roman"/>
          <w:sz w:val="20"/>
        </w:rPr>
        <w:t xml:space="preserve"> </w:t>
      </w:r>
    </w:p>
    <w:p>
      <w:pPr>
        <w:pStyle w:val="TextBody"/>
        <w:spacing w:before="80" w:after="0"/>
        <w:jc w:val="center"/>
        <w:rPr>
          <w:rFonts w:ascii="Times New Roman;serif" w:hAnsi="Times New Roman;serif"/>
          <w:b/>
          <w:sz w:val="20"/>
        </w:rPr>
      </w:pPr>
      <w:r>
        <w:rPr>
          <w:rFonts w:ascii="Times New Roman;serif" w:hAnsi="Times New Roman;serif"/>
          <w:b/>
          <w:sz w:val="20"/>
        </w:rPr>
        <w:t>Commission File Number: 001-40546</w:t>
      </w:r>
    </w:p>
    <w:p>
      <w:pPr>
        <w:pStyle w:val="TextBody"/>
        <w:pBdr>
          <w:bottom w:val="single" w:sz="4" w:space="1" w:color="000000"/>
        </w:pBdr>
        <w:spacing w:before="60" w:after="120"/>
        <w:jc w:val="center"/>
        <w:rPr/>
      </w:pPr>
      <w:r>
        <w:rPr/>
        <w:t> </w:t>
      </w:r>
    </w:p>
    <w:p>
      <w:pPr>
        <w:pStyle w:val="TextBody"/>
        <w:spacing w:before="0" w:after="0"/>
        <w:jc w:val="center"/>
        <w:rPr>
          <w:rFonts w:ascii="Times New Roman;serif" w:hAnsi="Times New Roman;serif"/>
          <w:b/>
          <w:sz w:val="48"/>
        </w:rPr>
      </w:pPr>
      <w:r>
        <w:rPr>
          <w:rFonts w:ascii="Times New Roman;serif" w:hAnsi="Times New Roman;serif"/>
          <w:b/>
          <w:sz w:val="48"/>
        </w:rPr>
        <w:t>XOMETRY, INC.</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spacing w:before="60" w:after="0"/>
        <w:jc w:val="center"/>
        <w:rPr/>
      </w:pPr>
      <w:r>
        <w:rPr/>
        <w:t> </w:t>
      </w:r>
    </w:p>
    <w:p>
      <w:pPr>
        <w:pStyle w:val="TextBody"/>
        <w:spacing w:before="0" w:after="0"/>
        <w:jc w:val="left"/>
        <w:rPr/>
      </w:pPr>
      <w:r>
        <w:rPr/>
        <w:t> </w:t>
      </w:r>
    </w:p>
    <w:tbl>
      <w:tblPr>
        <w:tblW w:w="3677" w:type="dxa"/>
        <w:jc w:val="left"/>
        <w:tblInd w:w="0" w:type="dxa"/>
        <w:tblCellMar>
          <w:top w:w="28" w:type="dxa"/>
          <w:left w:w="28" w:type="dxa"/>
          <w:bottom w:w="28" w:type="dxa"/>
          <w:right w:w="28" w:type="dxa"/>
        </w:tblCellMar>
      </w:tblPr>
      <w:tblGrid>
        <w:gridCol w:w="2431"/>
        <w:gridCol w:w="1246"/>
      </w:tblGrid>
      <w:tr>
        <w:trPr/>
        <w:tc>
          <w:tcPr>
            <w:tcW w:w="2431"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Delaware</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32-0415449</w:t>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18"/>
              </w:rPr>
              <w:t>6116 Executive Blvd</w:t>
            </w:r>
            <w:r>
              <w:rPr>
                <w:rFonts w:ascii="Times New Roman" w:hAnsi="Times New Roman"/>
                <w:sz w:val="20"/>
              </w:rPr>
              <w:t xml:space="preserve"> </w:t>
            </w:r>
          </w:p>
          <w:p>
            <w:pPr>
              <w:pStyle w:val="TableContents"/>
              <w:spacing w:before="0" w:after="0"/>
              <w:ind w:left="0" w:right="0" w:hanging="0"/>
              <w:jc w:val="center"/>
              <w:rPr>
                <w:rFonts w:ascii="Times New Roman" w:hAnsi="Times New Roman"/>
                <w:sz w:val="20"/>
              </w:rPr>
            </w:pPr>
            <w:r>
              <w:rPr>
                <w:rFonts w:ascii="Times New Roman;serif" w:hAnsi="Times New Roman;serif"/>
                <w:b/>
                <w:sz w:val="18"/>
              </w:rPr>
              <w:t>Suite 800</w:t>
            </w:r>
            <w:r>
              <w:rPr>
                <w:rFonts w:ascii="Times New Roman" w:hAnsi="Times New Roman"/>
                <w:sz w:val="20"/>
              </w:rPr>
              <w:t xml:space="preserve"> </w:t>
            </w:r>
          </w:p>
          <w:p>
            <w:pPr>
              <w:pStyle w:val="TableContents"/>
              <w:spacing w:before="0" w:after="0"/>
              <w:ind w:left="0" w:right="0" w:hanging="0"/>
              <w:jc w:val="center"/>
              <w:rPr>
                <w:rFonts w:ascii="Times New Roman" w:hAnsi="Times New Roman"/>
                <w:sz w:val="20"/>
              </w:rPr>
            </w:pPr>
            <w:r>
              <w:rPr>
                <w:rFonts w:ascii="Times New Roman;serif" w:hAnsi="Times New Roman;serif"/>
                <w:b/>
                <w:sz w:val="18"/>
              </w:rPr>
              <w:t>North Bethesda, MD</w:t>
            </w:r>
            <w:r>
              <w:rPr>
                <w:rFonts w:ascii="Times New Roman" w:hAnsi="Times New Roman"/>
                <w:sz w:val="20"/>
              </w:rPr>
              <w:t xml:space="preserve"> </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20852</w:t>
            </w:r>
          </w:p>
        </w:tc>
      </w:tr>
      <w:tr>
        <w:trPr/>
        <w:tc>
          <w:tcPr>
            <w:tcW w:w="24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spacing w:before="80" w:after="0"/>
        <w:jc w:val="center"/>
        <w:rPr>
          <w:rFonts w:ascii="Times New Roman;serif" w:hAnsi="Times New Roman;serif"/>
          <w:b/>
          <w:sz w:val="20"/>
        </w:rPr>
      </w:pPr>
      <w:r>
        <w:rPr>
          <w:rFonts w:ascii="Times New Roman;serif" w:hAnsi="Times New Roman;serif"/>
          <w:b/>
          <w:sz w:val="20"/>
        </w:rPr>
        <w:t>Registrant’s telephone number, including area code: (240) 335-7914</w:t>
      </w:r>
    </w:p>
    <w:p>
      <w:pPr>
        <w:pStyle w:val="TextBody"/>
        <w:pBdr>
          <w:bottom w:val="single" w:sz="4" w:space="1" w:color="000000"/>
        </w:pBdr>
        <w:spacing w:before="60" w:after="0"/>
        <w:jc w:val="center"/>
        <w:rPr/>
      </w:pPr>
      <w:r>
        <w:rPr/>
        <w:t> </w:t>
      </w:r>
    </w:p>
    <w:p>
      <w:pPr>
        <w:pStyle w:val="TextBody"/>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8440" w:type="dxa"/>
        <w:jc w:val="left"/>
        <w:tblInd w:w="0" w:type="dxa"/>
        <w:tblCellMar>
          <w:top w:w="28" w:type="dxa"/>
          <w:left w:w="28" w:type="dxa"/>
          <w:bottom w:w="28" w:type="dxa"/>
          <w:right w:w="28" w:type="dxa"/>
        </w:tblCellMar>
      </w:tblPr>
      <w:tblGrid>
        <w:gridCol w:w="4006"/>
        <w:gridCol w:w="146"/>
        <w:gridCol w:w="826"/>
        <w:gridCol w:w="146"/>
        <w:gridCol w:w="3316"/>
      </w:tblGrid>
      <w:tr>
        <w:trPr/>
        <w:tc>
          <w:tcPr>
            <w:tcW w:w="4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4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Class A common stock, par value $0.000001 per share</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XMTR</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Global Select Market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5197" w:type="dxa"/>
        <w:jc w:val="left"/>
        <w:tblInd w:w="0" w:type="dxa"/>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7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0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spacing w:before="80" w:after="0"/>
        <w:jc w:val="left"/>
        <w:rPr>
          <w:rFonts w:ascii="Times New Roman" w:hAnsi="Times New Roman"/>
          <w:sz w:val="20"/>
        </w:rPr>
      </w:pPr>
      <w:r>
        <w:rPr>
          <w:rFonts w:ascii="Times New Roman;serif" w:hAnsi="Times New Roman;serif"/>
          <w:b w:val="false"/>
          <w:sz w:val="18"/>
        </w:rPr>
        <w:t>As of May 1, 2023, the registrant had 45,168,110</w:t>
      </w:r>
      <w:r>
        <w:rPr>
          <w:rFonts w:ascii="Times New Roman" w:hAnsi="Times New Roman"/>
          <w:sz w:val="20"/>
        </w:rPr>
        <w:t xml:space="preserve"> </w:t>
      </w:r>
      <w:r>
        <w:rPr>
          <w:rFonts w:ascii="Times New Roman;serif" w:hAnsi="Times New Roman;serif"/>
          <w:b w:val="false"/>
          <w:sz w:val="18"/>
        </w:rPr>
        <w:t>shares of Class A common stock, $0.000001 par value per share, outstanding.</w:t>
      </w:r>
    </w:p>
    <w:p>
      <w:pPr>
        <w:pStyle w:val="TextBody"/>
        <w:pBdr>
          <w:bottom w:val="double" w:sz="6" w:space="1" w:color="000000"/>
        </w:pBdr>
        <w:spacing w:before="0" w:after="0"/>
        <w:jc w:val="left"/>
        <w:rPr/>
      </w:pPr>
      <w:r>
        <w:rPr/>
        <w:t> </w:t>
      </w:r>
    </w:p>
    <w:p>
      <w:pPr>
        <w:pStyle w:val="TextBody"/>
        <w:spacing w:before="0" w:after="0"/>
        <w:jc w:val="center"/>
        <w:rPr/>
      </w:pPr>
      <w:r>
        <w:rPr/>
        <w:t> </w:t>
      </w:r>
    </w:p>
    <w:p>
      <w:pPr>
        <w:pStyle w:val="TextBody"/>
        <w:spacing w:before="8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left"/>
        <w:rPr/>
      </w:pPr>
      <w:r>
        <w:rPr/>
        <w:t> </w:t>
      </w:r>
    </w:p>
    <w:tbl>
      <w:tblPr>
        <w:tblW w:w="8763" w:type="dxa"/>
        <w:jc w:val="left"/>
        <w:tblInd w:w="0" w:type="dxa"/>
        <w:tblCellMar>
          <w:top w:w="28" w:type="dxa"/>
          <w:left w:w="28" w:type="dxa"/>
          <w:bottom w:w="28" w:type="dxa"/>
          <w:right w:w="28" w:type="dxa"/>
        </w:tblCellMar>
      </w:tblPr>
      <w:tblGrid>
        <w:gridCol w:w="886"/>
        <w:gridCol w:w="7366"/>
        <w:gridCol w:w="511"/>
      </w:tblGrid>
      <w:tr>
        <w:trPr/>
        <w:tc>
          <w:tcPr>
            <w:tcW w:w="886"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
              <w:r>
                <w:rPr>
                  <w:rStyle w:val="InternetLink"/>
                  <w:rFonts w:ascii="Times New Roman;serif" w:hAnsi="Times New Roman;serif"/>
                  <w:b w:val="false"/>
                  <w:sz w:val="20"/>
                  <w:u w:val="single"/>
                </w:rPr>
                <w:t>FINANCIAL INFORMATION</w:t>
              </w:r>
            </w:hyperlink>
          </w:p>
        </w:tc>
        <w:tc>
          <w:tcPr>
            <w:tcW w:w="5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_item1">
              <w:r>
                <w:rPr>
                  <w:rStyle w:val="InternetLink"/>
                  <w:rFonts w:ascii="Times New Roman;serif" w:hAnsi="Times New Roman;serif"/>
                  <w:b w:val="false"/>
                  <w:sz w:val="20"/>
                  <w:u w:val="single"/>
                </w:rPr>
                <w:t>Financial Statements (Unaudited)</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balance_sheet">
              <w:r>
                <w:rPr>
                  <w:rStyle w:val="InternetLink"/>
                  <w:rFonts w:ascii="Times New Roman;serif" w:hAnsi="Times New Roman;serif"/>
                  <w:b w:val="false"/>
                  <w:sz w:val="20"/>
                  <w:u w:val="single"/>
                </w:rPr>
                <w:t>Condensed Consolidated Balance Sheets (Unaudited)</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tatement_of_operations">
              <w:r>
                <w:rPr>
                  <w:rStyle w:val="InternetLink"/>
                  <w:rFonts w:ascii="Times New Roman;serif" w:hAnsi="Times New Roman;serif"/>
                  <w:b w:val="false"/>
                  <w:sz w:val="20"/>
                  <w:u w:val="single"/>
                </w:rPr>
                <w:t>Condensed Consolidated Statements of Operations and Comprehensive Loss (Unaudited)</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tatements_of_equity">
              <w:r>
                <w:rPr>
                  <w:rStyle w:val="InternetLink"/>
                  <w:rFonts w:ascii="Times New Roman;serif" w:hAnsi="Times New Roman;serif"/>
                  <w:b w:val="false"/>
                  <w:sz w:val="20"/>
                  <w:u w:val="single"/>
                </w:rPr>
                <w:t>Condensed Consolidated Statements of Changes in Stockholders' Equity (Unaudited)</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ash_flows">
              <w:r>
                <w:rPr>
                  <w:rStyle w:val="InternetLink"/>
                  <w:rFonts w:ascii="Times New Roman;serif" w:hAnsi="Times New Roman;serif"/>
                  <w:b w:val="false"/>
                  <w:sz w:val="20"/>
                  <w:u w:val="single"/>
                </w:rPr>
                <w:t>Condensed Consolidated Statements of Cash Flows</w:t>
              </w:r>
            </w:hyperlink>
            <w:r>
              <w:rPr>
                <w:rFonts w:ascii="Times New Roman" w:hAnsi="Times New Roman"/>
                <w:sz w:val="20"/>
              </w:rPr>
              <w:t xml:space="preserve"> </w:t>
            </w:r>
            <w:hyperlink w:anchor="balance_sheet">
              <w:r>
                <w:rPr>
                  <w:rStyle w:val="InternetLink"/>
                  <w:rFonts w:ascii="Times New Roman;serif" w:hAnsi="Times New Roman;serif"/>
                  <w:b w:val="false"/>
                  <w:sz w:val="20"/>
                  <w:u w:val="single"/>
                </w:rPr>
                <w:t>(Unaudited)</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to_financial_statements">
              <w:r>
                <w:rPr>
                  <w:rStyle w:val="InternetLink"/>
                  <w:rFonts w:ascii="Times New Roman;serif" w:hAnsi="Times New Roman;serif"/>
                  <w:b w:val="false"/>
                  <w:sz w:val="20"/>
                  <w:u w:val="single"/>
                </w:rPr>
                <w:t>Notes to Condensed Consolidated Financial Statements (Unaudited)</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_item2">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_item3">
              <w:r>
                <w:rPr>
                  <w:rStyle w:val="InternetLink"/>
                  <w:rFonts w:ascii="Times New Roman;serif" w:hAnsi="Times New Roman;serif"/>
                  <w:b w:val="false"/>
                  <w:sz w:val="20"/>
                  <w:u w:val="single"/>
                </w:rPr>
                <w:t>Quantitative and Qualitative Disclosures About Market Risk</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_item4">
              <w:r>
                <w:rPr>
                  <w:rStyle w:val="InternetLink"/>
                  <w:rFonts w:ascii="Times New Roman;serif" w:hAnsi="Times New Roman;serif"/>
                  <w:b w:val="false"/>
                  <w:sz w:val="20"/>
                  <w:u w:val="single"/>
                </w:rPr>
                <w:t>Controls and Procedures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
              <w:r>
                <w:rPr>
                  <w:rStyle w:val="InternetLink"/>
                  <w:rFonts w:ascii="Times New Roman;serif" w:hAnsi="Times New Roman;serif"/>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i_item1">
              <w:r>
                <w:rPr>
                  <w:rStyle w:val="InternetLink"/>
                  <w:rFonts w:ascii="Times New Roman;serif" w:hAnsi="Times New Roman;serif"/>
                  <w:b w:val="false"/>
                  <w:sz w:val="20"/>
                  <w:u w:val="single"/>
                </w:rPr>
                <w:t>Legal Proceedings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i_item1a">
              <w:r>
                <w:rPr>
                  <w:rStyle w:val="InternetLink"/>
                  <w:rFonts w:ascii="Times New Roman;serif" w:hAnsi="Times New Roman;serif"/>
                  <w:b w:val="false"/>
                  <w:sz w:val="20"/>
                  <w:u w:val="single"/>
                </w:rPr>
                <w:t>Risk Factors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i_item2">
              <w:r>
                <w:rPr>
                  <w:rStyle w:val="InternetLink"/>
                  <w:rFonts w:ascii="Times New Roman;serif" w:hAnsi="Times New Roman;serif"/>
                  <w:b w:val="false"/>
                  <w:sz w:val="20"/>
                  <w:u w:val="single"/>
                </w:rPr>
                <w:t>Unregistered Sales of Equity Securities and Use of Proceeds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i_item3">
              <w:r>
                <w:rPr>
                  <w:rStyle w:val="InternetLink"/>
                  <w:rFonts w:ascii="Times New Roman;serif" w:hAnsi="Times New Roman;serif"/>
                  <w:b w:val="false"/>
                  <w:sz w:val="20"/>
                  <w:u w:val="single"/>
                </w:rPr>
                <w:t>Defaults Upon Senior Securities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i_item4">
              <w:r>
                <w:rPr>
                  <w:rStyle w:val="InternetLink"/>
                  <w:rFonts w:ascii="Times New Roman;serif" w:hAnsi="Times New Roman;serif"/>
                  <w:b w:val="false"/>
                  <w:sz w:val="20"/>
                  <w:u w:val="single"/>
                </w:rPr>
                <w:t>Mine Safety Disclosures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i_item5">
              <w:r>
                <w:rPr>
                  <w:rStyle w:val="InternetLink"/>
                  <w:rFonts w:ascii="Times New Roman;serif" w:hAnsi="Times New Roman;serif"/>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i_item6">
              <w:r>
                <w:rPr>
                  <w:rStyle w:val="InternetLink"/>
                  <w:rFonts w:ascii="Times New Roman;serif" w:hAnsi="Times New Roman;serif"/>
                  <w:b w:val="false"/>
                  <w:sz w:val="20"/>
                  <w:u w:val="single"/>
                </w:rPr>
                <w:t>Exhibits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r>
      <w:tr>
        <w:trPr/>
        <w:tc>
          <w:tcPr>
            <w:tcW w:w="825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SPECIAL NOTE REGARDING FORWARD-LOOKING STATEMENTS</w:t>
      </w:r>
    </w:p>
    <w:p>
      <w:pPr>
        <w:pStyle w:val="TextBody"/>
        <w:spacing w:before="0" w:after="0"/>
        <w:jc w:val="center"/>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spacing w:before="0" w:after="0"/>
        <w:jc w:val="left"/>
        <w:rPr/>
      </w:pPr>
      <w:r>
        <w:rPr/>
        <w:t> </w:t>
      </w:r>
    </w:p>
    <w:tbl>
      <w:tblPr>
        <w:tblW w:w="6984" w:type="dxa"/>
        <w:jc w:val="left"/>
        <w:tblInd w:w="0" w:type="dxa"/>
        <w:tblCellMar>
          <w:top w:w="28" w:type="dxa"/>
          <w:left w:w="28" w:type="dxa"/>
          <w:bottom w:w="28" w:type="dxa"/>
          <w:right w:w="28" w:type="dxa"/>
        </w:tblCellMar>
      </w:tblPr>
      <w:tblGrid>
        <w:gridCol w:w="161"/>
        <w:gridCol w:w="256"/>
        <w:gridCol w:w="146"/>
        <w:gridCol w:w="642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2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expectations regarding our revenue, expenses and other operating results;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anticipated growth of our business, including our ability to effectively manage or sustain our growth and to achieve or sustain profitability;</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the effects of public health crises or other macroeconomic factors and geopolitical tension, such as those associated with Russia's invasion of Ukraine, which may lead to periods of global economic uncertainty;</w:t>
            </w:r>
            <w:r>
              <w:rPr>
                <w:rFonts w:ascii="Times New Roman" w:hAnsi="Times New Roman"/>
                <w:sz w:val="20"/>
              </w:rPr>
              <w:t xml:space="preserve"> </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future investments in our business, our anticipated capital expenditures and our estimates regarding our capital requirements;</w:t>
            </w:r>
          </w:p>
        </w:tc>
      </w:tr>
    </w:tbl>
    <w:p>
      <w:pPr>
        <w:pStyle w:val="TextBody"/>
        <w:spacing w:before="0" w:after="0"/>
        <w:jc w:val="left"/>
        <w:rPr/>
      </w:pPr>
      <w:r>
        <w:rPr/>
        <w:t> </w:t>
      </w:r>
    </w:p>
    <w:tbl>
      <w:tblPr>
        <w:tblW w:w="9624" w:type="dxa"/>
        <w:jc w:val="left"/>
        <w:tblInd w:w="0" w:type="dxa"/>
        <w:tblCellMar>
          <w:top w:w="28" w:type="dxa"/>
          <w:left w:w="28" w:type="dxa"/>
          <w:bottom w:w="28" w:type="dxa"/>
          <w:right w:w="28" w:type="dxa"/>
        </w:tblCellMar>
      </w:tblPr>
      <w:tblGrid>
        <w:gridCol w:w="161"/>
        <w:gridCol w:w="256"/>
        <w:gridCol w:w="146"/>
        <w:gridCol w:w="906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06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0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ability to attract new buyers and suppliers and successfully engage new and existing buyers and suppliers;</w:t>
            </w:r>
          </w:p>
        </w:tc>
      </w:tr>
    </w:tbl>
    <w:p>
      <w:pPr>
        <w:pStyle w:val="TextBody"/>
        <w:spacing w:before="0" w:after="0"/>
        <w:jc w:val="left"/>
        <w:rPr/>
      </w:pPr>
      <w:r>
        <w:rPr/>
        <w:t> </w:t>
      </w:r>
    </w:p>
    <w:tbl>
      <w:tblPr>
        <w:tblW w:w="8244" w:type="dxa"/>
        <w:jc w:val="left"/>
        <w:tblInd w:w="0" w:type="dxa"/>
        <w:tblCellMar>
          <w:top w:w="28" w:type="dxa"/>
          <w:left w:w="28" w:type="dxa"/>
          <w:bottom w:w="28" w:type="dxa"/>
          <w:right w:w="28" w:type="dxa"/>
        </w:tblCellMar>
      </w:tblPr>
      <w:tblGrid>
        <w:gridCol w:w="161"/>
        <w:gridCol w:w="256"/>
        <w:gridCol w:w="146"/>
        <w:gridCol w:w="768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8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6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costs and success of our sales and marketing efforts, and our ability to promote our brand;</w:t>
            </w:r>
          </w:p>
        </w:tc>
      </w:tr>
    </w:tbl>
    <w:p>
      <w:pPr>
        <w:pStyle w:val="TextBody"/>
        <w:spacing w:before="0" w:after="0"/>
        <w:jc w:val="left"/>
        <w:rPr/>
      </w:pPr>
      <w:r>
        <w:rPr/>
        <w:t> </w:t>
      </w:r>
    </w:p>
    <w:tbl>
      <w:tblPr>
        <w:tblW w:w="8229" w:type="dxa"/>
        <w:jc w:val="left"/>
        <w:tblInd w:w="0" w:type="dxa"/>
        <w:tblCellMar>
          <w:top w:w="28" w:type="dxa"/>
          <w:left w:w="28" w:type="dxa"/>
          <w:bottom w:w="28" w:type="dxa"/>
          <w:right w:w="28" w:type="dxa"/>
        </w:tblCellMar>
      </w:tblPr>
      <w:tblGrid>
        <w:gridCol w:w="161"/>
        <w:gridCol w:w="256"/>
        <w:gridCol w:w="146"/>
        <w:gridCol w:w="766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6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6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reliance on key personnel and our ability to identify, recruit and retain skilled personnel;</w:t>
            </w:r>
          </w:p>
        </w:tc>
      </w:tr>
    </w:tbl>
    <w:p>
      <w:pPr>
        <w:pStyle w:val="TextBody"/>
        <w:spacing w:before="0" w:after="0"/>
        <w:jc w:val="left"/>
        <w:rPr/>
      </w:pPr>
      <w:r>
        <w:rPr/>
        <w:t> </w:t>
      </w:r>
    </w:p>
    <w:tbl>
      <w:tblPr>
        <w:tblW w:w="7569" w:type="dxa"/>
        <w:jc w:val="left"/>
        <w:tblInd w:w="0" w:type="dxa"/>
        <w:tblCellMar>
          <w:top w:w="28" w:type="dxa"/>
          <w:left w:w="28" w:type="dxa"/>
          <w:bottom w:w="28" w:type="dxa"/>
          <w:right w:w="28" w:type="dxa"/>
        </w:tblCellMar>
      </w:tblPr>
      <w:tblGrid>
        <w:gridCol w:w="161"/>
        <w:gridCol w:w="256"/>
        <w:gridCol w:w="146"/>
        <w:gridCol w:w="700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00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ability to effectively manage our growth, including any international expansion;</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ability to obtain, maintain, protect and enforce our intellectual property or other proprietary rights and any costs associated therewith;</w:t>
            </w:r>
          </w:p>
        </w:tc>
      </w:tr>
    </w:tbl>
    <w:p>
      <w:pPr>
        <w:pStyle w:val="TextBody"/>
        <w:spacing w:before="0" w:after="0"/>
        <w:jc w:val="left"/>
        <w:rPr/>
      </w:pPr>
      <w:r>
        <w:rPr/>
        <w:t> </w:t>
      </w:r>
    </w:p>
    <w:tbl>
      <w:tblPr>
        <w:tblW w:w="9414" w:type="dxa"/>
        <w:jc w:val="left"/>
        <w:tblInd w:w="0" w:type="dxa"/>
        <w:tblCellMar>
          <w:top w:w="28" w:type="dxa"/>
          <w:left w:w="28" w:type="dxa"/>
          <w:bottom w:w="28" w:type="dxa"/>
          <w:right w:w="28" w:type="dxa"/>
        </w:tblCellMar>
      </w:tblPr>
      <w:tblGrid>
        <w:gridCol w:w="161"/>
        <w:gridCol w:w="256"/>
        <w:gridCol w:w="146"/>
        <w:gridCol w:w="885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5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8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our ability to effectively manage our costs and expenses, which may be impacted by inflationary pressures;</w:t>
            </w:r>
            <w:r>
              <w:rPr>
                <w:rFonts w:ascii="Times New Roman" w:hAnsi="Times New Roman"/>
                <w:sz w:val="20"/>
              </w:rPr>
              <w:t xml:space="preserve"> </w:t>
            </w:r>
          </w:p>
        </w:tc>
      </w:tr>
    </w:tbl>
    <w:p>
      <w:pPr>
        <w:pStyle w:val="TextBody"/>
        <w:spacing w:before="0" w:after="0"/>
        <w:jc w:val="left"/>
        <w:rPr/>
      </w:pPr>
      <w:r>
        <w:rPr/>
        <w:t> </w:t>
      </w:r>
    </w:p>
    <w:tbl>
      <w:tblPr>
        <w:tblW w:w="7959" w:type="dxa"/>
        <w:jc w:val="left"/>
        <w:tblInd w:w="0" w:type="dxa"/>
        <w:tblCellMar>
          <w:top w:w="28" w:type="dxa"/>
          <w:left w:w="28" w:type="dxa"/>
          <w:bottom w:w="28" w:type="dxa"/>
          <w:right w:w="28" w:type="dxa"/>
        </w:tblCellMar>
      </w:tblPr>
      <w:tblGrid>
        <w:gridCol w:w="161"/>
        <w:gridCol w:w="256"/>
        <w:gridCol w:w="146"/>
        <w:gridCol w:w="739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9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9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ability to compete effectively with existing competitors and new market entrants; and</w:t>
            </w:r>
          </w:p>
        </w:tc>
      </w:tr>
    </w:tbl>
    <w:p>
      <w:pPr>
        <w:pStyle w:val="TextBody"/>
        <w:spacing w:before="0" w:after="0"/>
        <w:jc w:val="left"/>
        <w:rPr/>
      </w:pPr>
      <w:r>
        <w:rPr/>
        <w:t> </w:t>
      </w:r>
    </w:p>
    <w:tbl>
      <w:tblPr>
        <w:tblW w:w="4989" w:type="dxa"/>
        <w:jc w:val="left"/>
        <w:tblInd w:w="0" w:type="dxa"/>
        <w:tblCellMar>
          <w:top w:w="28" w:type="dxa"/>
          <w:left w:w="28" w:type="dxa"/>
          <w:bottom w:w="28" w:type="dxa"/>
          <w:right w:w="28" w:type="dxa"/>
        </w:tblCellMar>
      </w:tblPr>
      <w:tblGrid>
        <w:gridCol w:w="161"/>
        <w:gridCol w:w="256"/>
        <w:gridCol w:w="146"/>
        <w:gridCol w:w="442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2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4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growth rates of the markets in which we compete.</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II, Item 1A, and elsewhere in this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statements that “we believe” and similar statements reflect our beliefs and opinions on the relevant subject. These statements are based on information available to us as of the date of this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ii</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 w:name="part_i"/>
      <w:bookmarkEnd w:id="2"/>
      <w:r>
        <w:rPr>
          <w:rFonts w:ascii="Times New Roman;serif" w:hAnsi="Times New Roman;serif"/>
          <w:b/>
          <w:sz w:val="20"/>
        </w:rPr>
        <w:t>PART I—FINANCIAL INFORMATION</w:t>
      </w:r>
    </w:p>
    <w:p>
      <w:pPr>
        <w:pStyle w:val="TextBody"/>
        <w:spacing w:before="120" w:after="0"/>
        <w:jc w:val="left"/>
        <w:rPr>
          <w:rFonts w:ascii="Times New Roman;serif" w:hAnsi="Times New Roman;serif"/>
          <w:b/>
          <w:sz w:val="20"/>
        </w:rPr>
      </w:pPr>
      <w:bookmarkStart w:id="3" w:name="i_item1"/>
      <w:bookmarkEnd w:id="3"/>
      <w:r>
        <w:rPr>
          <w:rFonts w:ascii="Times New Roman;serif" w:hAnsi="Times New Roman;serif"/>
          <w:b/>
          <w:sz w:val="20"/>
        </w:rPr>
        <w:t>Item 1. Financial Statements.</w:t>
      </w:r>
    </w:p>
    <w:p>
      <w:pPr>
        <w:pStyle w:val="TextBody"/>
        <w:spacing w:before="120" w:after="0"/>
        <w:jc w:val="center"/>
        <w:rPr>
          <w:rFonts w:ascii="Times New Roman" w:hAnsi="Times New Roman"/>
          <w:sz w:val="20"/>
        </w:rPr>
      </w:pPr>
      <w:r>
        <w:rPr>
          <w:rFonts w:ascii="Times New Roman;serif" w:hAnsi="Times New Roman;serif"/>
          <w:b/>
          <w:sz w:val="20"/>
        </w:rPr>
        <w:t>XOMETRY, INC. AND SUBSIDIARIES</w:t>
      </w:r>
      <w:r>
        <w:rPr>
          <w:rFonts w:ascii="Times New Roman" w:hAnsi="Times New Roman"/>
          <w:sz w:val="20"/>
        </w:rPr>
        <w:t xml:space="preserve"> </w:t>
      </w:r>
    </w:p>
    <w:p>
      <w:pPr>
        <w:pStyle w:val="TextBody"/>
        <w:spacing w:before="0" w:after="0"/>
        <w:jc w:val="center"/>
        <w:rPr>
          <w:rFonts w:ascii="Times New Roman" w:hAnsi="Times New Roman"/>
          <w:sz w:val="20"/>
        </w:rPr>
      </w:pPr>
      <w:bookmarkStart w:id="4" w:name="fin120843_2"/>
      <w:bookmarkEnd w:id="4"/>
      <w:r>
        <w:rPr>
          <w:rFonts w:ascii="Times New Roman;serif" w:hAnsi="Times New Roman;serif"/>
          <w:b w:val="false"/>
          <w:sz w:val="20"/>
        </w:rPr>
        <w:t xml:space="preserve">Condensed Consolidated </w:t>
      </w:r>
      <w:bookmarkStart w:id="5" w:name="balance_sheet"/>
      <w:bookmarkEnd w:id="5"/>
      <w:r>
        <w:rPr>
          <w:rFonts w:ascii="Times New Roman;serif" w:hAnsi="Times New Roman;serif"/>
          <w:b w:val="false"/>
          <w:sz w:val="20"/>
        </w:rPr>
        <w:t>Balance Sheets (Unaudited)</w:t>
      </w:r>
    </w:p>
    <w:p>
      <w:pPr>
        <w:pStyle w:val="TextBody"/>
        <w:spacing w:before="0" w:after="0"/>
        <w:jc w:val="center"/>
        <w:rPr>
          <w:rFonts w:ascii="Times New Roman" w:hAnsi="Times New Roman"/>
          <w:sz w:val="20"/>
        </w:rPr>
      </w:pPr>
      <w:r>
        <w:rPr>
          <w:rFonts w:ascii="Times New Roman;serif" w:hAnsi="Times New Roman;serif"/>
          <w:b w:val="false"/>
          <w:sz w:val="20"/>
        </w:rPr>
        <w:t>(In thousands, except share and per share data)</w:t>
      </w:r>
      <w:r>
        <w:rPr>
          <w:rFonts w:ascii="Times New Roman" w:hAnsi="Times New Roman"/>
          <w:sz w:val="20"/>
        </w:rPr>
        <w:t xml:space="preserve"> </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7196"/>
        <w:gridCol w:w="146"/>
        <w:gridCol w:w="196"/>
        <w:gridCol w:w="751"/>
        <w:gridCol w:w="166"/>
        <w:gridCol w:w="146"/>
        <w:gridCol w:w="209"/>
        <w:gridCol w:w="803"/>
        <w:gridCol w:w="592"/>
      </w:tblGrid>
      <w:tr>
        <w:trPr/>
        <w:tc>
          <w:tcPr>
            <w:tcW w:w="7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r>
      <w:tr>
        <w:trPr/>
        <w:tc>
          <w:tcPr>
            <w:tcW w:w="7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71" w:type="dxa"/>
            <w:gridSpan w:val="6"/>
            <w:tcBorders/>
            <w:shd w:fill="auto" w:val="clear"/>
            <w:vAlign w:val="center"/>
          </w:tcPr>
          <w:p>
            <w:pPr>
              <w:pStyle w:val="TableContents"/>
              <w:spacing w:before="0" w:after="0"/>
              <w:ind w:left="0" w:right="0" w:hanging="0"/>
              <w:jc w:val="center"/>
              <w:rPr/>
            </w:pPr>
            <w:r>
              <w:rPr/>
              <w:t> </w:t>
            </w:r>
          </w:p>
        </w:tc>
        <w:tc>
          <w:tcPr>
            <w:tcW w:w="592" w:type="dxa"/>
            <w:tcBorders/>
            <w:shd w:fill="auto" w:val="clear"/>
            <w:vAlign w:val="center"/>
          </w:tcPr>
          <w:p>
            <w:pPr>
              <w:pStyle w:val="TableContents"/>
              <w:spacing w:before="0" w:after="0"/>
              <w:ind w:left="0" w:right="0" w:hanging="0"/>
              <w:jc w:val="center"/>
              <w:rPr/>
            </w:pPr>
            <w:r>
              <w:rPr/>
              <w:t> </w:t>
            </w:r>
          </w:p>
        </w:tc>
      </w:tr>
      <w:tr>
        <w:trPr/>
        <w:tc>
          <w:tcPr>
            <w:tcW w:w="71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Assets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hanging="0"/>
              <w:jc w:val="right"/>
              <w:rPr/>
            </w:pPr>
            <w:r>
              <w:rPr/>
              <w:t> </w:t>
            </w:r>
          </w:p>
        </w:tc>
      </w:tr>
      <w:tr>
        <w:trPr/>
        <w:tc>
          <w:tcPr>
            <w:tcW w:w="71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firstLine="200"/>
              <w:jc w:val="righ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39,705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65,662</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256,458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253,770</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6"/>
              </w:rPr>
              <w:t>Accounts receivable, less allowance for credit losses of $1.9</w:t>
            </w:r>
            <w:r>
              <w:rPr>
                <w:rFonts w:ascii="Times New Roman" w:hAnsi="Times New Roman"/>
                <w:sz w:val="20"/>
              </w:rPr>
              <w:t> </w:t>
            </w:r>
            <w:r>
              <w:rPr>
                <w:rFonts w:ascii="Times New Roman;serif" w:hAnsi="Times New Roman;serif"/>
                <w:b w:val="false"/>
                <w:sz w:val="16"/>
              </w:rPr>
              <w:t>million and $2.0</w:t>
            </w:r>
            <w:r>
              <w:rPr>
                <w:rFonts w:ascii="Times New Roman" w:hAnsi="Times New Roman"/>
                <w:sz w:val="20"/>
              </w:rPr>
              <w:t> </w:t>
            </w:r>
            <w:r>
              <w:rPr>
                <w:rFonts w:ascii="Times New Roman;serif" w:hAnsi="Times New Roman;serif"/>
                <w:b w:val="false"/>
                <w:sz w:val="16"/>
              </w:rPr>
              <w:t>million as of March 31, 2023 and December 31, 2022</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52,217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49,188</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Inventory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1,571</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Prepaid expenses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7,591</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current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15,897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12,273</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196" w:type="dxa"/>
            <w:tcBorders/>
            <w:shd w:fill="auto" w:val="clear"/>
            <w:vAlign w:val="center"/>
          </w:tcPr>
          <w:p>
            <w:pPr>
              <w:pStyle w:val="TableContents"/>
              <w:spacing w:before="0" w:after="0"/>
              <w:ind w:left="400" w:right="0" w:hanging="0"/>
              <w:jc w:val="left"/>
              <w:rPr>
                <w:rFonts w:ascii="Times New Roman;serif" w:hAnsi="Times New Roman;serif"/>
                <w:b/>
                <w:sz w:val="16"/>
              </w:rPr>
            </w:pPr>
            <w:r>
              <w:rPr>
                <w:rFonts w:ascii="Times New Roman;serif" w:hAnsi="Times New Roman;serif"/>
                <w:b/>
                <w:sz w:val="16"/>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372,776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390,055</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21,597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19,079</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Operating lease right-of-use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24,303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25,923</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Investment in unconsolidated joint venture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4,068</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Intangible assets, net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39,041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39,351</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Goodwill</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262,441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258,036</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413</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196" w:type="dxa"/>
            <w:tcBorders/>
            <w:shd w:fill="auto" w:val="clear"/>
            <w:vAlign w:val="center"/>
          </w:tcPr>
          <w:p>
            <w:pPr>
              <w:pStyle w:val="TableContents"/>
              <w:spacing w:before="0" w:after="0"/>
              <w:ind w:left="400" w:right="0" w:hanging="0"/>
              <w:jc w:val="left"/>
              <w:rPr>
                <w:rFonts w:ascii="Times New Roman;serif" w:hAnsi="Times New Roman;serif"/>
                <w:b/>
                <w:sz w:val="16"/>
              </w:rPr>
            </w:pPr>
            <w:r>
              <w:rPr>
                <w:rFonts w:ascii="Times New Roman;serif" w:hAnsi="Times New Roman;serif"/>
                <w:b/>
                <w:sz w:val="16"/>
              </w:rPr>
              <w:t>Total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724,677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736,925</w:t>
            </w:r>
          </w:p>
        </w:tc>
        <w:tc>
          <w:tcPr>
            <w:tcW w:w="5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hanging="0"/>
              <w:jc w:val="right"/>
              <w:rPr/>
            </w:pPr>
            <w:r>
              <w:rPr/>
              <w:t> </w:t>
            </w:r>
          </w:p>
        </w:tc>
      </w:tr>
      <w:tr>
        <w:trPr/>
        <w:tc>
          <w:tcPr>
            <w:tcW w:w="71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firstLine="200"/>
              <w:jc w:val="righ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12,320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12,437</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Accrued expenses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32,121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33,430</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Contract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9,974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8,509</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Income taxes payable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3,956</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Operating lease liabilities, current portion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6,256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5,471</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196" w:type="dxa"/>
            <w:tcBorders/>
            <w:shd w:fill="auto" w:val="clear"/>
            <w:vAlign w:val="center"/>
          </w:tcPr>
          <w:p>
            <w:pPr>
              <w:pStyle w:val="TableContents"/>
              <w:spacing w:before="0" w:after="0"/>
              <w:ind w:left="400" w:right="0" w:hanging="0"/>
              <w:jc w:val="left"/>
              <w:rPr>
                <w:rFonts w:ascii="Times New Roman;serif" w:hAnsi="Times New Roman;serif"/>
                <w:b/>
                <w:sz w:val="16"/>
              </w:rPr>
            </w:pPr>
            <w:r>
              <w:rPr>
                <w:rFonts w:ascii="Times New Roman;serif" w:hAnsi="Times New Roman;serif"/>
                <w:b/>
                <w:sz w:val="16"/>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64,784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63,803</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Convertible notes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280,375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279,909</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Operating lease liabilities,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15,500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16,940</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Deferred income taxes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429</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1,011</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196" w:type="dxa"/>
            <w:tcBorders/>
            <w:shd w:fill="auto" w:val="clear"/>
            <w:vAlign w:val="center"/>
          </w:tcPr>
          <w:p>
            <w:pPr>
              <w:pStyle w:val="TableContents"/>
              <w:spacing w:before="0" w:after="0"/>
              <w:ind w:left="400" w:right="0" w:hanging="0"/>
              <w:jc w:val="left"/>
              <w:rPr>
                <w:rFonts w:ascii="Times New Roman;serif" w:hAnsi="Times New Roman;serif"/>
                <w:b/>
                <w:sz w:val="16"/>
              </w:rPr>
            </w:pPr>
            <w:r>
              <w:rPr>
                <w:rFonts w:ascii="Times New Roman;serif" w:hAnsi="Times New Roman;serif"/>
                <w:b/>
                <w:sz w:val="16"/>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362,325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362,092</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9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16"/>
              </w:rPr>
              <w:t>Commitments and contingencies</w:t>
            </w:r>
            <w:r>
              <w:rPr>
                <w:rFonts w:ascii="Times New Roman" w:hAnsi="Times New Roman"/>
                <w:sz w:val="20"/>
              </w:rPr>
              <w:t> </w:t>
            </w:r>
            <w:r>
              <w:rPr>
                <w:rFonts w:ascii="Times New Roman;serif" w:hAnsi="Times New Roman;serif"/>
                <w:b/>
                <w:sz w:val="16"/>
              </w:rPr>
              <w:t>(Note 13)</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hanging="0"/>
              <w:jc w:val="right"/>
              <w:rPr/>
            </w:pPr>
            <w:r>
              <w:rPr/>
              <w:t> </w:t>
            </w:r>
          </w:p>
        </w:tc>
      </w:tr>
      <w:tr>
        <w:trPr/>
        <w:tc>
          <w:tcPr>
            <w:tcW w:w="71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firstLine="200"/>
              <w:jc w:val="righ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6"/>
              </w:rPr>
              <w:t>Preferred stock, $0.000001</w:t>
            </w:r>
            <w:r>
              <w:rPr>
                <w:rFonts w:ascii="Times New Roman" w:hAnsi="Times New Roman"/>
                <w:sz w:val="20"/>
              </w:rPr>
              <w:t> </w:t>
            </w:r>
            <w:r>
              <w:rPr>
                <w:rFonts w:ascii="Times New Roman;serif" w:hAnsi="Times New Roman;serif"/>
                <w:b w:val="false"/>
                <w:sz w:val="16"/>
              </w:rPr>
              <w:t>par value. Authorized; 50,000,000</w:t>
            </w:r>
            <w:r>
              <w:rPr>
                <w:rFonts w:ascii="Times New Roman" w:hAnsi="Times New Roman"/>
                <w:sz w:val="20"/>
              </w:rPr>
              <w:t> </w:t>
            </w:r>
            <w:r>
              <w:rPr>
                <w:rFonts w:ascii="Times New Roman;serif" w:hAnsi="Times New Roman;serif"/>
                <w:b w:val="false"/>
                <w:sz w:val="16"/>
              </w:rPr>
              <w:t>shares; zero</w:t>
            </w:r>
            <w:r>
              <w:rPr>
                <w:rFonts w:ascii="Times New Roman" w:hAnsi="Times New Roman"/>
                <w:sz w:val="20"/>
              </w:rPr>
              <w:t> </w:t>
            </w:r>
            <w:r>
              <w:rPr>
                <w:rFonts w:ascii="Times New Roman;serif" w:hAnsi="Times New Roman;serif"/>
                <w:b w:val="false"/>
                <w:sz w:val="16"/>
              </w:rPr>
              <w:t>shares issued and outstanding as of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pPr>
            <w:r>
              <w:rPr/>
              <w:t>—</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6"/>
              </w:rPr>
              <w:t>Class A Common stock, $0.000001</w:t>
            </w:r>
            <w:r>
              <w:rPr>
                <w:rFonts w:ascii="Times New Roman" w:hAnsi="Times New Roman"/>
                <w:sz w:val="20"/>
              </w:rPr>
              <w:t> </w:t>
            </w:r>
            <w:r>
              <w:rPr>
                <w:rFonts w:ascii="Times New Roman;serif" w:hAnsi="Times New Roman;serif"/>
                <w:b w:val="false"/>
                <w:sz w:val="16"/>
              </w:rPr>
              <w:t>par value. Authorized; 750,000,000</w:t>
            </w:r>
            <w:r>
              <w:rPr>
                <w:rFonts w:ascii="Times New Roman" w:hAnsi="Times New Roman"/>
                <w:sz w:val="20"/>
              </w:rPr>
              <w:t> </w:t>
            </w:r>
            <w:r>
              <w:rPr>
                <w:rFonts w:ascii="Times New Roman;serif" w:hAnsi="Times New Roman;serif"/>
                <w:b w:val="false"/>
                <w:sz w:val="16"/>
              </w:rPr>
              <w:t>shares; 45,098,314</w:t>
            </w:r>
            <w:r>
              <w:rPr>
                <w:rFonts w:ascii="Times New Roman" w:hAnsi="Times New Roman"/>
                <w:sz w:val="20"/>
              </w:rPr>
              <w:t> </w:t>
            </w:r>
            <w:r>
              <w:rPr>
                <w:rFonts w:ascii="Times New Roman;serif" w:hAnsi="Times New Roman;serif"/>
                <w:b w:val="false"/>
                <w:sz w:val="16"/>
              </w:rPr>
              <w:t>shares and 44,822,264</w:t>
            </w:r>
            <w:r>
              <w:rPr>
                <w:rFonts w:ascii="Times New Roman" w:hAnsi="Times New Roman"/>
                <w:sz w:val="20"/>
              </w:rPr>
              <w:t> </w:t>
            </w:r>
            <w:r>
              <w:rPr>
                <w:rFonts w:ascii="Times New Roman;serif" w:hAnsi="Times New Roman;serif"/>
                <w:b w:val="false"/>
                <w:sz w:val="16"/>
              </w:rPr>
              <w:t>shares issued and outstanding as of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pPr>
            <w:r>
              <w:rPr/>
              <w:t>—</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6"/>
              </w:rPr>
              <w:t>Class B Common stock, $0.000001</w:t>
            </w:r>
            <w:r>
              <w:rPr>
                <w:rFonts w:ascii="Times New Roman" w:hAnsi="Times New Roman"/>
                <w:sz w:val="20"/>
              </w:rPr>
              <w:t> </w:t>
            </w:r>
            <w:r>
              <w:rPr>
                <w:rFonts w:ascii="Times New Roman;serif" w:hAnsi="Times New Roman;serif"/>
                <w:b w:val="false"/>
                <w:sz w:val="16"/>
              </w:rPr>
              <w:t>par value. Authorized; 5,000,000</w:t>
            </w:r>
            <w:r>
              <w:rPr>
                <w:rFonts w:ascii="Times New Roman" w:hAnsi="Times New Roman"/>
                <w:sz w:val="20"/>
              </w:rPr>
              <w:t> </w:t>
            </w:r>
            <w:r>
              <w:rPr>
                <w:rFonts w:ascii="Times New Roman;serif" w:hAnsi="Times New Roman;serif"/>
                <w:b w:val="false"/>
                <w:sz w:val="16"/>
              </w:rPr>
              <w:t>shares; 2,676,154</w:t>
            </w:r>
            <w:r>
              <w:rPr>
                <w:rFonts w:ascii="Times New Roman" w:hAnsi="Times New Roman"/>
                <w:sz w:val="20"/>
              </w:rPr>
              <w:t> </w:t>
            </w:r>
            <w:r>
              <w:rPr>
                <w:rFonts w:ascii="Times New Roman;serif" w:hAnsi="Times New Roman;serif"/>
                <w:b w:val="false"/>
                <w:sz w:val="16"/>
              </w:rPr>
              <w:t>shares issued and outstanding as of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pPr>
            <w:r>
              <w:rPr/>
              <w:t>—</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628,808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623,081</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Accumulated other comprehensive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592" w:type="dxa"/>
            <w:tcBorders/>
            <w:shd w:fill="auto" w:val="clear"/>
            <w:vAlign w:val="center"/>
          </w:tcPr>
          <w:p>
            <w:pPr>
              <w:pStyle w:val="TableContents"/>
              <w:spacing w:before="0" w:after="0"/>
              <w:ind w:left="0" w:right="0" w:firstLine="200"/>
              <w:jc w:val="left"/>
              <w:rPr/>
            </w:pPr>
            <w:r>
              <w:rPr/>
              <w:t> </w:t>
            </w:r>
          </w:p>
        </w:tc>
      </w:tr>
      <w:tr>
        <w:trPr/>
        <w:tc>
          <w:tcPr>
            <w:tcW w:w="719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(267,710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(249,366</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71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361,257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373,743</w:t>
            </w:r>
          </w:p>
        </w:tc>
        <w:tc>
          <w:tcPr>
            <w:tcW w:w="592" w:type="dxa"/>
            <w:tcBorders/>
            <w:shd w:fill="auto" w:val="clear"/>
            <w:vAlign w:val="center"/>
          </w:tcPr>
          <w:p>
            <w:pPr>
              <w:pStyle w:val="TableContents"/>
              <w:spacing w:before="0" w:after="0"/>
              <w:ind w:left="0" w:right="0" w:firstLine="400"/>
              <w:jc w:val="left"/>
              <w:rPr/>
            </w:pPr>
            <w:r>
              <w:rPr/>
              <w:t> </w:t>
            </w:r>
          </w:p>
        </w:tc>
      </w:tr>
      <w:tr>
        <w:trPr/>
        <w:tc>
          <w:tcPr>
            <w:tcW w:w="7196" w:type="dxa"/>
            <w:tcBorders/>
            <w:shd w:fill="auto" w:val="clear"/>
            <w:vAlign w:val="center"/>
          </w:tcPr>
          <w:p>
            <w:pPr>
              <w:pStyle w:val="TableContents"/>
              <w:spacing w:before="0" w:after="0"/>
              <w:ind w:left="400" w:right="0" w:hanging="0"/>
              <w:jc w:val="left"/>
              <w:rPr>
                <w:rFonts w:ascii="Times New Roman;serif" w:hAnsi="Times New Roman;serif"/>
                <w:b/>
                <w:sz w:val="16"/>
              </w:rPr>
            </w:pPr>
            <w:r>
              <w:rPr>
                <w:rFonts w:ascii="Times New Roman;serif" w:hAnsi="Times New Roman;serif"/>
                <w:b/>
                <w:sz w:val="16"/>
              </w:rPr>
              <w:t>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1,095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1,090</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196" w:type="dxa"/>
            <w:tcBorders/>
            <w:shd w:fill="auto" w:val="clear"/>
            <w:vAlign w:val="center"/>
          </w:tcPr>
          <w:p>
            <w:pPr>
              <w:pStyle w:val="TableContents"/>
              <w:spacing w:before="0" w:after="0"/>
              <w:ind w:left="400" w:right="0" w:hanging="0"/>
              <w:jc w:val="left"/>
              <w:rPr>
                <w:rFonts w:ascii="Times New Roman;serif" w:hAnsi="Times New Roman;serif"/>
                <w:b/>
                <w:sz w:val="16"/>
              </w:rPr>
            </w:pPr>
            <w:r>
              <w:rPr>
                <w:rFonts w:ascii="Times New Roman;serif" w:hAnsi="Times New Roman;serif"/>
                <w:b/>
                <w:sz w:val="16"/>
              </w:rPr>
              <w:t>Total equity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362,352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374,833</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724,677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736,925</w:t>
            </w:r>
          </w:p>
        </w:tc>
        <w:tc>
          <w:tcPr>
            <w:tcW w:w="5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rFonts w:ascii="Times New Roman" w:hAnsi="Times New Roman"/>
          <w:sz w:val="20"/>
        </w:rPr>
      </w:pPr>
      <w:r>
        <w:rPr>
          <w:rFonts w:ascii="Times New Roman;serif" w:hAnsi="Times New Roman;serif"/>
          <w:b/>
          <w:sz w:val="20"/>
        </w:rPr>
        <w:t>See accompanying notes to the unaudited condensed consolidated financial statements.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XOMETRY, INC. AND SUBSIDIARIES</w:t>
      </w:r>
      <w:r>
        <w:rPr>
          <w:rFonts w:ascii="Times New Roman" w:hAnsi="Times New Roman"/>
          <w:sz w:val="20"/>
        </w:rPr>
        <w:t xml:space="preserve"> </w:t>
      </w:r>
    </w:p>
    <w:p>
      <w:pPr>
        <w:pStyle w:val="TextBody"/>
        <w:spacing w:before="0" w:after="0"/>
        <w:jc w:val="center"/>
        <w:rPr>
          <w:rFonts w:ascii="Times New Roman" w:hAnsi="Times New Roman"/>
          <w:sz w:val="20"/>
        </w:rPr>
      </w:pPr>
      <w:bookmarkStart w:id="6" w:name="fin120843_3"/>
      <w:bookmarkEnd w:id="6"/>
      <w:r>
        <w:rPr>
          <w:rFonts w:ascii="Times New Roman;serif" w:hAnsi="Times New Roman;serif"/>
          <w:b w:val="false"/>
          <w:sz w:val="20"/>
        </w:rPr>
        <w:t>Condensed Consolidated St</w:t>
      </w:r>
      <w:bookmarkStart w:id="7" w:name="statement_of_operations"/>
      <w:bookmarkEnd w:id="7"/>
      <w:r>
        <w:rPr>
          <w:rFonts w:ascii="Times New Roman;serif" w:hAnsi="Times New Roman;serif"/>
          <w:b w:val="false"/>
          <w:sz w:val="20"/>
        </w:rPr>
        <w:t>atements of Operations and Comprehensive Loss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spacing w:before="0" w:after="0"/>
        <w:jc w:val="center"/>
        <w:rPr>
          <w:rFonts w:ascii="Times New Roman" w:hAnsi="Times New Roman"/>
          <w:sz w:val="20"/>
        </w:rPr>
      </w:pPr>
      <w:r>
        <w:rPr>
          <w:rFonts w:ascii="Times New Roman;serif" w:hAnsi="Times New Roman;serif"/>
          <w:b w:val="false"/>
          <w:sz w:val="20"/>
        </w:rPr>
        <w:t>(In thousands, except share and per share data)</w:t>
      </w:r>
      <w:r>
        <w:rPr>
          <w:rFonts w:ascii="Times New Roman" w:hAnsi="Times New Roman"/>
          <w:sz w:val="20"/>
        </w:rPr>
        <w:t xml:space="preserve"> </w:t>
      </w:r>
    </w:p>
    <w:tbl>
      <w:tblPr>
        <w:tblW w:w="8004" w:type="dxa"/>
        <w:jc w:val="left"/>
        <w:tblInd w:w="0" w:type="dxa"/>
        <w:tblCellMar>
          <w:top w:w="28" w:type="dxa"/>
          <w:left w:w="28" w:type="dxa"/>
          <w:bottom w:w="28" w:type="dxa"/>
          <w:right w:w="28" w:type="dxa"/>
        </w:tblCellMar>
      </w:tblPr>
      <w:tblGrid>
        <w:gridCol w:w="4711"/>
        <w:gridCol w:w="146"/>
        <w:gridCol w:w="196"/>
        <w:gridCol w:w="916"/>
        <w:gridCol w:w="166"/>
        <w:gridCol w:w="146"/>
        <w:gridCol w:w="196"/>
        <w:gridCol w:w="916"/>
        <w:gridCol w:w="611"/>
      </w:tblGrid>
      <w:tr>
        <w:trPr/>
        <w:tc>
          <w:tcPr>
            <w:tcW w:w="47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47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center"/>
              <w:rPr/>
            </w:pPr>
            <w:r>
              <w:rPr/>
              <w:t> </w:t>
            </w:r>
          </w:p>
        </w:tc>
        <w:tc>
          <w:tcPr>
            <w:tcW w:w="611" w:type="dxa"/>
            <w:tcBorders/>
            <w:shd w:fill="auto" w:val="clear"/>
            <w:vAlign w:val="center"/>
          </w:tcPr>
          <w:p>
            <w:pPr>
              <w:pStyle w:val="TableContents"/>
              <w:spacing w:before="0" w:after="0"/>
              <w:ind w:left="0" w:right="0" w:hanging="0"/>
              <w:jc w:val="center"/>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Revenue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105,326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83,671</w:t>
            </w:r>
          </w:p>
        </w:tc>
        <w:tc>
          <w:tcPr>
            <w:tcW w:w="61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65,957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50,732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711" w:type="dxa"/>
            <w:tcBorders/>
            <w:shd w:fill="auto" w:val="clear"/>
            <w:vAlign w:val="center"/>
          </w:tcPr>
          <w:p>
            <w:pPr>
              <w:pStyle w:val="TableContents"/>
              <w:spacing w:before="0" w:after="0"/>
              <w:ind w:left="200" w:right="0" w:hanging="0"/>
              <w:jc w:val="left"/>
              <w:rPr>
                <w:rFonts w:ascii="Times New Roman;serif" w:hAnsi="Times New Roman;serif"/>
                <w:b/>
                <w:sz w:val="16"/>
              </w:rPr>
            </w:pPr>
            <w:r>
              <w:rPr>
                <w:rFonts w:ascii="Times New Roman;serif" w:hAnsi="Times New Roman;serif"/>
                <w:b/>
                <w:sz w:val="16"/>
              </w:rPr>
              <w:t>Gross profit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39,369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32,939</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22,439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19,285</w:t>
            </w:r>
          </w:p>
        </w:tc>
        <w:tc>
          <w:tcPr>
            <w:tcW w:w="61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Operations and support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12,608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12,358</w:t>
            </w:r>
          </w:p>
        </w:tc>
        <w:tc>
          <w:tcPr>
            <w:tcW w:w="61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Product development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7,290</w:t>
            </w:r>
          </w:p>
        </w:tc>
        <w:tc>
          <w:tcPr>
            <w:tcW w:w="61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15,957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12,959</w:t>
            </w:r>
          </w:p>
        </w:tc>
        <w:tc>
          <w:tcPr>
            <w:tcW w:w="61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Impairment of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59,156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51,892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711" w:type="dxa"/>
            <w:tcBorders/>
            <w:shd w:fill="auto" w:val="clear"/>
            <w:vAlign w:val="center"/>
          </w:tcPr>
          <w:p>
            <w:pPr>
              <w:pStyle w:val="TableContents"/>
              <w:spacing w:before="0" w:after="0"/>
              <w:ind w:left="200" w:right="0" w:hanging="0"/>
              <w:jc w:val="left"/>
              <w:rPr>
                <w:rFonts w:ascii="Times New Roman;serif" w:hAnsi="Times New Roman;serif"/>
                <w:b/>
                <w:sz w:val="16"/>
              </w:rPr>
            </w:pPr>
            <w:r>
              <w:rPr>
                <w:rFonts w:ascii="Times New Roman;serif" w:hAnsi="Times New Roman;serif"/>
                <w:b/>
                <w:sz w:val="16"/>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(19,787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(18,953</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Other (expenses) income</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(769</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and dividend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2,695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96</w:t>
            </w:r>
          </w:p>
        </w:tc>
        <w:tc>
          <w:tcPr>
            <w:tcW w:w="61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Other income (expenses)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(962</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Income from unconsolidated joint venture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other income (expenses)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1,580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(1,601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711" w:type="dxa"/>
            <w:tcBorders/>
            <w:shd w:fill="auto" w:val="clear"/>
            <w:vAlign w:val="center"/>
          </w:tcPr>
          <w:p>
            <w:pPr>
              <w:pStyle w:val="TableContents"/>
              <w:spacing w:before="0" w:after="0"/>
              <w:ind w:left="200" w:right="0" w:hanging="0"/>
              <w:jc w:val="left"/>
              <w:rPr>
                <w:rFonts w:ascii="Times New Roman;serif" w:hAnsi="Times New Roman;serif"/>
                <w:b/>
                <w:sz w:val="16"/>
              </w:rPr>
            </w:pPr>
            <w:r>
              <w:rPr>
                <w:rFonts w:ascii="Times New Roman;serif" w:hAnsi="Times New Roman;serif"/>
                <w:b/>
                <w:sz w:val="16"/>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(18,207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(20,554</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(Provision) benefit for income taxes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559</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711" w:type="dxa"/>
            <w:tcBorders/>
            <w:shd w:fill="auto" w:val="clear"/>
            <w:vAlign w:val="center"/>
          </w:tcPr>
          <w:p>
            <w:pPr>
              <w:pStyle w:val="TableContents"/>
              <w:spacing w:before="0" w:after="0"/>
              <w:ind w:left="200" w:right="0" w:hanging="0"/>
              <w:jc w:val="left"/>
              <w:rPr>
                <w:rFonts w:ascii="Times New Roman;serif" w:hAnsi="Times New Roman;serif"/>
                <w:b/>
                <w:sz w:val="16"/>
              </w:rPr>
            </w:pPr>
            <w:r>
              <w:rPr>
                <w:rFonts w:ascii="Times New Roman;serif" w:hAnsi="Times New Roman;serif"/>
                <w:b/>
                <w:sz w:val="16"/>
              </w:rPr>
              <w:t>Net loss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(18,343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(19,995</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income attributable to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711" w:type="dxa"/>
            <w:tcBorders/>
            <w:shd w:fill="auto" w:val="clear"/>
            <w:vAlign w:val="center"/>
          </w:tcPr>
          <w:p>
            <w:pPr>
              <w:pStyle w:val="TableContents"/>
              <w:spacing w:before="0" w:after="0"/>
              <w:ind w:left="200" w:right="0" w:hanging="0"/>
              <w:jc w:val="left"/>
              <w:rPr>
                <w:rFonts w:ascii="Times New Roman;serif" w:hAnsi="Times New Roman;serif"/>
                <w:b/>
                <w:sz w:val="16"/>
              </w:rPr>
            </w:pPr>
            <w:r>
              <w:rPr>
                <w:rFonts w:ascii="Times New Roman;serif" w:hAnsi="Times New Roman;serif"/>
                <w:b/>
                <w:sz w:val="16"/>
              </w:rPr>
              <w:t>Net loss attributable to common stockholders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(18,344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(20,012</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(0.43</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Weighted-average number of shares outstanding used to compute </w:t>
              <w:br/>
              <w:t>   net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47,699,561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46,789,585</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47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471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Foreign currency translation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471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Net loss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(18,343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(19,995</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(18,208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(20,023</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Comprehensive income attributable to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Total comprehensive loss attributable to common stockholders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(18,213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(20,057</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spacing w:before="0" w:after="0"/>
        <w:jc w:val="center"/>
        <w:rPr>
          <w:rFonts w:ascii="Times New Roman" w:hAnsi="Times New Roman"/>
          <w:sz w:val="20"/>
        </w:rPr>
      </w:pPr>
      <w:r>
        <w:rPr>
          <w:rFonts w:ascii="Times New Roman;serif" w:hAnsi="Times New Roman;serif"/>
          <w:b/>
          <w:sz w:val="20"/>
        </w:rPr>
        <w:t>See accompanying notes to the unaudited condensed consolidated financial statements.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8" w:name="statements_of_equity"/>
      <w:bookmarkEnd w:id="8"/>
      <w:r>
        <w:rPr>
          <w:rFonts w:ascii="Times New Roman;serif" w:hAnsi="Times New Roman;serif"/>
          <w:b/>
          <w:sz w:val="20"/>
        </w:rPr>
        <w:t>XOMETRY, INC. AND SUBSIDIARIES</w:t>
      </w:r>
    </w:p>
    <w:p>
      <w:pPr>
        <w:pStyle w:val="TextBody"/>
        <w:spacing w:before="0" w:after="0"/>
        <w:jc w:val="center"/>
        <w:rPr>
          <w:rFonts w:ascii="Times New Roman" w:hAnsi="Times New Roman"/>
          <w:sz w:val="20"/>
        </w:rPr>
      </w:pPr>
      <w:r>
        <w:rPr>
          <w:rFonts w:ascii="Times New Roman;serif" w:hAnsi="Times New Roman;serif"/>
          <w:b w:val="false"/>
          <w:sz w:val="20"/>
        </w:rPr>
        <w:t>Condensed Consolidated Statements of Changes in Stockholders’ Equity</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Three months ended March 31, 2023 and 2022</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share and per share data)</w:t>
      </w:r>
    </w:p>
    <w:tbl>
      <w:tblPr>
        <w:tblW w:w="12834" w:type="dxa"/>
        <w:jc w:val="left"/>
        <w:tblInd w:w="0" w:type="dxa"/>
        <w:tblCellMar>
          <w:top w:w="28" w:type="dxa"/>
          <w:left w:w="28" w:type="dxa"/>
          <w:bottom w:w="28" w:type="dxa"/>
          <w:right w:w="28" w:type="dxa"/>
        </w:tblCellMar>
      </w:tblPr>
      <w:tblGrid>
        <w:gridCol w:w="1201"/>
        <w:gridCol w:w="146"/>
        <w:gridCol w:w="916"/>
        <w:gridCol w:w="146"/>
        <w:gridCol w:w="146"/>
        <w:gridCol w:w="206"/>
        <w:gridCol w:w="365"/>
        <w:gridCol w:w="146"/>
        <w:gridCol w:w="146"/>
        <w:gridCol w:w="146"/>
        <w:gridCol w:w="826"/>
        <w:gridCol w:w="146"/>
        <w:gridCol w:w="146"/>
        <w:gridCol w:w="206"/>
        <w:gridCol w:w="365"/>
        <w:gridCol w:w="146"/>
        <w:gridCol w:w="146"/>
        <w:gridCol w:w="196"/>
        <w:gridCol w:w="691"/>
        <w:gridCol w:w="146"/>
        <w:gridCol w:w="146"/>
        <w:gridCol w:w="349"/>
        <w:gridCol w:w="672"/>
        <w:gridCol w:w="166"/>
        <w:gridCol w:w="146"/>
        <w:gridCol w:w="196"/>
        <w:gridCol w:w="751"/>
        <w:gridCol w:w="166"/>
        <w:gridCol w:w="146"/>
        <w:gridCol w:w="196"/>
        <w:gridCol w:w="691"/>
        <w:gridCol w:w="166"/>
        <w:gridCol w:w="283"/>
        <w:gridCol w:w="738"/>
        <w:gridCol w:w="146"/>
        <w:gridCol w:w="196"/>
        <w:gridCol w:w="691"/>
        <w:gridCol w:w="411"/>
      </w:tblGrid>
      <w:tr>
        <w:trPr/>
        <w:tc>
          <w:tcPr>
            <w:tcW w:w="12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1201" w:type="dxa"/>
            <w:tcBorders/>
            <w:shd w:fill="auto" w:val="clear"/>
            <w:vAlign w:val="center"/>
          </w:tcPr>
          <w:p>
            <w:pPr>
              <w:pStyle w:val="TableContents"/>
              <w:spacing w:before="0" w:after="0"/>
              <w:ind w:left="0" w:right="0" w:hanging="0"/>
              <w:jc w:val="center"/>
              <w:rPr/>
            </w:pPr>
            <w:r>
              <w:rPr/>
              <w:t> </w:t>
            </w:r>
          </w:p>
        </w:tc>
        <w:tc>
          <w:tcPr>
            <w:tcW w:w="192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Class A - 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3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Class B - 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Additional 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Accumulated Other 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 Stockholders'</w:t>
            </w:r>
          </w:p>
        </w:tc>
        <w:tc>
          <w:tcPr>
            <w:tcW w:w="16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Noncontrolling</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411" w:type="dxa"/>
            <w:tcBorders/>
            <w:shd w:fill="auto" w:val="clear"/>
            <w:vAlign w:val="center"/>
          </w:tcPr>
          <w:p>
            <w:pPr>
              <w:pStyle w:val="TableContents"/>
              <w:spacing w:before="0" w:after="0"/>
              <w:ind w:left="0" w:right="0" w:hanging="0"/>
              <w:jc w:val="center"/>
              <w:rPr/>
            </w:pPr>
            <w:r>
              <w:rPr/>
              <w:t> </w:t>
            </w:r>
          </w:p>
        </w:tc>
      </w:tr>
      <w:tr>
        <w:trPr/>
        <w:tc>
          <w:tcPr>
            <w:tcW w:w="1201" w:type="dxa"/>
            <w:tcBorders/>
            <w:shd w:fill="auto" w:val="clear"/>
            <w:vAlign w:val="center"/>
          </w:tcPr>
          <w:p>
            <w:pPr>
              <w:pStyle w:val="TableContents"/>
              <w:spacing w:before="0" w:after="0"/>
              <w:ind w:left="0" w:right="0" w:hanging="0"/>
              <w:jc w:val="center"/>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Income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Interest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December 31, 2022</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44,822,264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2,676,154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623,081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(249,366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373,743</w:t>
            </w:r>
          </w:p>
        </w:tc>
        <w:tc>
          <w:tcPr>
            <w:tcW w:w="16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1,090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374,833</w:t>
            </w:r>
          </w:p>
        </w:tc>
        <w:tc>
          <w:tcPr>
            <w:tcW w:w="411"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Exercise of common stock options</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82,909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483</w:t>
            </w:r>
          </w:p>
        </w:tc>
        <w:tc>
          <w:tcPr>
            <w:tcW w:w="16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483</w:t>
            </w:r>
          </w:p>
        </w:tc>
        <w:tc>
          <w:tcPr>
            <w:tcW w:w="411"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Vesting of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169,446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Other common stock issued</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180</w:t>
            </w:r>
          </w:p>
        </w:tc>
        <w:tc>
          <w:tcPr>
            <w:tcW w:w="16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180</w:t>
            </w:r>
          </w:p>
        </w:tc>
        <w:tc>
          <w:tcPr>
            <w:tcW w:w="411"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Donated common stock</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20,133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370</w:t>
            </w:r>
          </w:p>
        </w:tc>
        <w:tc>
          <w:tcPr>
            <w:tcW w:w="16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370</w:t>
            </w:r>
          </w:p>
        </w:tc>
        <w:tc>
          <w:tcPr>
            <w:tcW w:w="411"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Stock based compensation</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4,694</w:t>
            </w:r>
          </w:p>
        </w:tc>
        <w:tc>
          <w:tcPr>
            <w:tcW w:w="16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4,694</w:t>
            </w:r>
          </w:p>
        </w:tc>
        <w:tc>
          <w:tcPr>
            <w:tcW w:w="411"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Comprehensive income</w:t>
            </w:r>
          </w:p>
        </w:tc>
        <w:tc>
          <w:tcPr>
            <w:tcW w:w="10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02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12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Foreign currency translation</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131</w:t>
            </w:r>
          </w:p>
        </w:tc>
        <w:tc>
          <w:tcPr>
            <w:tcW w:w="16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135</w:t>
            </w:r>
          </w:p>
        </w:tc>
        <w:tc>
          <w:tcPr>
            <w:tcW w:w="411" w:type="dxa"/>
            <w:tcBorders/>
            <w:shd w:fill="auto" w:val="clear"/>
            <w:vAlign w:val="center"/>
          </w:tcPr>
          <w:p>
            <w:pPr>
              <w:pStyle w:val="TableContents"/>
              <w:spacing w:before="0" w:after="0"/>
              <w:ind w:left="0" w:right="0" w:firstLine="200"/>
              <w:jc w:val="left"/>
              <w:rPr/>
            </w:pPr>
            <w:r>
              <w:rPr/>
              <w:t> </w:t>
            </w:r>
          </w:p>
        </w:tc>
      </w:tr>
      <w:tr>
        <w:trPr/>
        <w:tc>
          <w:tcPr>
            <w:tcW w:w="12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 income</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(18,344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(18,344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(18,343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comprehensive (loss) 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(18,213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(18,208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March 31, 2023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45,098,314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2,676,154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628,808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(267,710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361,257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1,095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362,352</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02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December 31, 2021</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43,998,404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2,676,154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597,641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(173,341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424,449</w:t>
            </w:r>
          </w:p>
        </w:tc>
        <w:tc>
          <w:tcPr>
            <w:tcW w:w="16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1,034</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425,483</w:t>
            </w:r>
          </w:p>
        </w:tc>
        <w:tc>
          <w:tcPr>
            <w:tcW w:w="411"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Exercise of common stock options</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246,263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1,263</w:t>
            </w:r>
          </w:p>
        </w:tc>
        <w:tc>
          <w:tcPr>
            <w:tcW w:w="16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1,263</w:t>
            </w:r>
          </w:p>
        </w:tc>
        <w:tc>
          <w:tcPr>
            <w:tcW w:w="411"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Stock based compensation</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3,456</w:t>
            </w:r>
          </w:p>
        </w:tc>
        <w:tc>
          <w:tcPr>
            <w:tcW w:w="16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3,456</w:t>
            </w:r>
          </w:p>
        </w:tc>
        <w:tc>
          <w:tcPr>
            <w:tcW w:w="411"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Comprehensive income</w:t>
            </w:r>
          </w:p>
        </w:tc>
        <w:tc>
          <w:tcPr>
            <w:tcW w:w="10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02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12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Foreign currency translation</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3"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12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 income</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(20,012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(20,012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(19,995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comprehensive (loss) 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(20,057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(20,023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March 31, 2022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44,244,667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2,676,154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602,360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(193,353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409,111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1,068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410,179</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rFonts w:ascii="Times New Roman" w:hAnsi="Times New Roman"/>
          <w:sz w:val="20"/>
        </w:rPr>
      </w:pPr>
      <w:r>
        <w:rPr>
          <w:rFonts w:ascii="Times New Roman;serif" w:hAnsi="Times New Roman;serif"/>
          <w:b/>
          <w:sz w:val="20"/>
        </w:rPr>
        <w:t>See accompanying notes to the unaudited condensed consolidated financial statements.</w:t>
      </w:r>
      <w:r>
        <w:rPr>
          <w:rFonts w:ascii="Times New Roman" w:hAnsi="Times New Roman"/>
          <w:sz w:val="20"/>
        </w:rPr>
        <w:t xml:space="preserve"> </w:t>
      </w:r>
    </w:p>
    <w:p>
      <w:pPr>
        <w:pStyle w:val="TextBody"/>
        <w:spacing w:before="0" w:after="0"/>
        <w:jc w:val="center"/>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9" w:name="fin120843_4"/>
      <w:bookmarkEnd w:id="9"/>
      <w:r>
        <w:rPr>
          <w:rFonts w:ascii="Times New Roman;serif" w:hAnsi="Times New Roman;serif"/>
          <w:b/>
          <w:sz w:val="20"/>
        </w:rPr>
        <w:t>XOMETRY, INC. AND SUBSIDIARIES</w:t>
      </w:r>
      <w:r>
        <w:rPr>
          <w:rFonts w:ascii="Times New Roman" w:hAnsi="Times New Roman"/>
          <w:sz w:val="20"/>
        </w:rPr>
        <w:t xml:space="preserve"> </w:t>
      </w:r>
    </w:p>
    <w:p>
      <w:pPr>
        <w:pStyle w:val="TextBody"/>
        <w:spacing w:before="0" w:after="0"/>
        <w:jc w:val="center"/>
        <w:rPr>
          <w:rFonts w:ascii="Times New Roman" w:hAnsi="Times New Roman"/>
          <w:sz w:val="20"/>
        </w:rPr>
      </w:pPr>
      <w:bookmarkStart w:id="10" w:name="fin120843_5"/>
      <w:bookmarkEnd w:id="10"/>
      <w:r>
        <w:rPr>
          <w:rFonts w:ascii="Times New Roman;serif" w:hAnsi="Times New Roman;serif"/>
          <w:b w:val="false"/>
          <w:sz w:val="20"/>
        </w:rPr>
        <w:t xml:space="preserve">Condensed Consolidated Statements of </w:t>
      </w:r>
      <w:bookmarkStart w:id="11" w:name="cash_flows"/>
      <w:bookmarkEnd w:id="11"/>
      <w:r>
        <w:rPr>
          <w:rFonts w:ascii="Times New Roman;serif" w:hAnsi="Times New Roman;serif"/>
          <w:b w:val="false"/>
          <w:sz w:val="20"/>
        </w:rPr>
        <w:t>Cash Flows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spacing w:before="0" w:after="0"/>
        <w:jc w:val="center"/>
        <w:rPr>
          <w:rFonts w:ascii="Times New Roman" w:hAnsi="Times New Roman"/>
          <w:sz w:val="20"/>
        </w:rPr>
      </w:pPr>
      <w:r>
        <w:rPr>
          <w:rFonts w:ascii="Times New Roman;serif" w:hAnsi="Times New Roman;serif"/>
          <w:b w:val="false"/>
          <w:sz w:val="20"/>
        </w:rPr>
        <w:t>(In thousands)</w:t>
      </w:r>
      <w:r>
        <w:rPr>
          <w:rFonts w:ascii="Times New Roman" w:hAnsi="Times New Roman"/>
          <w:sz w:val="20"/>
        </w:rPr>
        <w:t xml:space="preserve"> </w:t>
      </w:r>
    </w:p>
    <w:p>
      <w:pPr>
        <w:pStyle w:val="TextBody"/>
        <w:spacing w:before="0" w:after="0"/>
        <w:jc w:val="left"/>
        <w:rPr/>
      </w:pPr>
      <w:r>
        <w:rPr/>
        <w:t> </w:t>
      </w:r>
    </w:p>
    <w:tbl>
      <w:tblPr>
        <w:tblW w:w="7675" w:type="dxa"/>
        <w:jc w:val="left"/>
        <w:tblInd w:w="0" w:type="dxa"/>
        <w:tblCellMar>
          <w:top w:w="28" w:type="dxa"/>
          <w:left w:w="28" w:type="dxa"/>
          <w:bottom w:w="28" w:type="dxa"/>
          <w:right w:w="28" w:type="dxa"/>
        </w:tblCellMar>
      </w:tblPr>
      <w:tblGrid>
        <w:gridCol w:w="4531"/>
        <w:gridCol w:w="146"/>
        <w:gridCol w:w="212"/>
        <w:gridCol w:w="671"/>
        <w:gridCol w:w="177"/>
        <w:gridCol w:w="171"/>
        <w:gridCol w:w="212"/>
        <w:gridCol w:w="759"/>
        <w:gridCol w:w="796"/>
      </w:tblGrid>
      <w:tr>
        <w:trPr/>
        <w:tc>
          <w:tcPr>
            <w:tcW w:w="45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r>
      <w:tr>
        <w:trPr/>
        <w:tc>
          <w:tcPr>
            <w:tcW w:w="45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Three Months Ended March 31,</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9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202" w:type="dxa"/>
            <w:gridSpan w:val="6"/>
            <w:tcBorders/>
            <w:shd w:fill="auto" w:val="clear"/>
            <w:vAlign w:val="center"/>
          </w:tcPr>
          <w:p>
            <w:pPr>
              <w:pStyle w:val="TableContents"/>
              <w:spacing w:before="0" w:after="0"/>
              <w:ind w:left="0" w:right="0" w:hanging="0"/>
              <w:jc w:val="center"/>
              <w:rPr/>
            </w:pPr>
            <w:r>
              <w:rPr/>
              <w:t> </w:t>
            </w:r>
          </w:p>
        </w:tc>
        <w:tc>
          <w:tcPr>
            <w:tcW w:w="796" w:type="dxa"/>
            <w:tcBorders/>
            <w:shd w:fill="auto" w:val="clear"/>
            <w:vAlign w:val="center"/>
          </w:tcPr>
          <w:p>
            <w:pPr>
              <w:pStyle w:val="TableContents"/>
              <w:spacing w:before="0" w:after="0"/>
              <w:ind w:left="0" w:right="0" w:firstLine="200"/>
              <w:jc w:val="center"/>
              <w:rPr/>
            </w:pPr>
            <w:r>
              <w:rPr/>
              <w:t> </w:t>
            </w:r>
          </w:p>
        </w:tc>
      </w:tr>
      <w:tr>
        <w:trPr/>
        <w:tc>
          <w:tcPr>
            <w:tcW w:w="453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Net loss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(18,343</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71"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(19,995</w:t>
            </w:r>
          </w:p>
        </w:tc>
        <w:tc>
          <w:tcPr>
            <w:tcW w:w="796" w:type="dxa"/>
            <w:tcBorders/>
            <w:shd w:fill="auto" w:val="clear"/>
            <w:vAlign w:val="center"/>
          </w:tcPr>
          <w:p>
            <w:pPr>
              <w:pStyle w:val="TableContents"/>
              <w:spacing w:before="0" w:after="0"/>
              <w:ind w:left="0" w:right="0" w:firstLine="200"/>
              <w:jc w:val="left"/>
              <w:rPr>
                <w:rFonts w:ascii="Times New Roman;serif" w:hAnsi="Times New Roman;serif"/>
                <w:b w:val="false"/>
                <w:sz w:val="15"/>
              </w:rPr>
            </w:pPr>
            <w:r>
              <w:rPr>
                <w:rFonts w:ascii="Times New Roman;serif" w:hAnsi="Times New Roman;serif"/>
                <w:b w:val="false"/>
                <w:sz w:val="15"/>
              </w:rPr>
              <w:t>)</w:t>
            </w:r>
          </w:p>
        </w:tc>
      </w:tr>
      <w:tr>
        <w:trPr/>
        <w:tc>
          <w:tcPr>
            <w:tcW w:w="453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Adjustments to reconcile net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883" w:type="dxa"/>
            <w:gridSpan w:val="2"/>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righ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firstLine="400"/>
              <w:jc w:val="right"/>
              <w:rPr/>
            </w:pPr>
            <w:r>
              <w:rPr/>
              <w:t> </w:t>
            </w:r>
          </w:p>
        </w:tc>
      </w:tr>
      <w:tr>
        <w:trPr/>
        <w:tc>
          <w:tcPr>
            <w:tcW w:w="453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2,566</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1,799</w:t>
            </w:r>
          </w:p>
        </w:tc>
        <w:tc>
          <w:tcPr>
            <w:tcW w:w="796" w:type="dxa"/>
            <w:tcBorders/>
            <w:shd w:fill="auto" w:val="clear"/>
            <w:vAlign w:val="center"/>
          </w:tcPr>
          <w:p>
            <w:pPr>
              <w:pStyle w:val="TableContents"/>
              <w:spacing w:before="0" w:after="0"/>
              <w:ind w:left="0" w:right="0" w:firstLine="400"/>
              <w:jc w:val="left"/>
              <w:rPr/>
            </w:pPr>
            <w:r>
              <w:rPr/>
              <w:t> </w:t>
            </w:r>
          </w:p>
        </w:tc>
      </w:tr>
      <w:tr>
        <w:trPr/>
        <w:tc>
          <w:tcPr>
            <w:tcW w:w="453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Impairment of assets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27</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pPr>
            <w:r>
              <w:rPr/>
              <w:t>—</w:t>
            </w:r>
          </w:p>
        </w:tc>
        <w:tc>
          <w:tcPr>
            <w:tcW w:w="796" w:type="dxa"/>
            <w:tcBorders/>
            <w:shd w:fill="auto" w:val="clear"/>
            <w:vAlign w:val="center"/>
          </w:tcPr>
          <w:p>
            <w:pPr>
              <w:pStyle w:val="TableContents"/>
              <w:spacing w:before="0" w:after="0"/>
              <w:ind w:left="0" w:right="0" w:firstLine="400"/>
              <w:jc w:val="left"/>
              <w:rPr/>
            </w:pPr>
            <w:r>
              <w:rPr/>
              <w:t> </w:t>
            </w:r>
          </w:p>
        </w:tc>
      </w:tr>
      <w:tr>
        <w:trPr/>
        <w:tc>
          <w:tcPr>
            <w:tcW w:w="453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Reduction in carrying amount of right-of-use asset</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1,935</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1,765</w:t>
            </w:r>
          </w:p>
        </w:tc>
        <w:tc>
          <w:tcPr>
            <w:tcW w:w="796" w:type="dxa"/>
            <w:tcBorders/>
            <w:shd w:fill="auto" w:val="clear"/>
            <w:vAlign w:val="center"/>
          </w:tcPr>
          <w:p>
            <w:pPr>
              <w:pStyle w:val="TableContents"/>
              <w:spacing w:before="0" w:after="0"/>
              <w:ind w:left="0" w:right="0" w:firstLine="400"/>
              <w:jc w:val="left"/>
              <w:rPr/>
            </w:pPr>
            <w:r>
              <w:rPr/>
              <w:t> </w:t>
            </w:r>
          </w:p>
        </w:tc>
      </w:tr>
      <w:tr>
        <w:trPr/>
        <w:tc>
          <w:tcPr>
            <w:tcW w:w="453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Stock based compensation</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4,694</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3,456</w:t>
            </w:r>
          </w:p>
        </w:tc>
        <w:tc>
          <w:tcPr>
            <w:tcW w:w="796" w:type="dxa"/>
            <w:tcBorders/>
            <w:shd w:fill="auto" w:val="clear"/>
            <w:vAlign w:val="center"/>
          </w:tcPr>
          <w:p>
            <w:pPr>
              <w:pStyle w:val="TableContents"/>
              <w:spacing w:before="0" w:after="0"/>
              <w:ind w:left="0" w:right="0" w:firstLine="400"/>
              <w:jc w:val="left"/>
              <w:rPr/>
            </w:pPr>
            <w:r>
              <w:rPr/>
              <w:t> </w:t>
            </w:r>
          </w:p>
        </w:tc>
      </w:tr>
      <w:tr>
        <w:trPr/>
        <w:tc>
          <w:tcPr>
            <w:tcW w:w="453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Revaluation of 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pPr>
            <w:r>
              <w:rPr/>
              <w:t>—</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434</w:t>
            </w:r>
          </w:p>
        </w:tc>
        <w:tc>
          <w:tcPr>
            <w:tcW w:w="796" w:type="dxa"/>
            <w:tcBorders/>
            <w:shd w:fill="auto" w:val="clear"/>
            <w:vAlign w:val="center"/>
          </w:tcPr>
          <w:p>
            <w:pPr>
              <w:pStyle w:val="TableContents"/>
              <w:spacing w:before="0" w:after="0"/>
              <w:ind w:left="0" w:right="0" w:firstLine="400"/>
              <w:jc w:val="left"/>
              <w:rPr/>
            </w:pPr>
            <w:r>
              <w:rPr/>
              <w:t> </w:t>
            </w:r>
          </w:p>
        </w:tc>
      </w:tr>
      <w:tr>
        <w:trPr/>
        <w:tc>
          <w:tcPr>
            <w:tcW w:w="453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Income from unconsolidated joint venture</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(66</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71"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(34</w:t>
            </w:r>
          </w:p>
        </w:tc>
        <w:tc>
          <w:tcPr>
            <w:tcW w:w="796" w:type="dxa"/>
            <w:tcBorders/>
            <w:shd w:fill="auto" w:val="clear"/>
            <w:vAlign w:val="center"/>
          </w:tcPr>
          <w:p>
            <w:pPr>
              <w:pStyle w:val="TableContents"/>
              <w:spacing w:before="0" w:after="0"/>
              <w:ind w:left="0" w:right="0" w:firstLine="400"/>
              <w:jc w:val="left"/>
              <w:rPr>
                <w:rFonts w:ascii="Times New Roman;serif" w:hAnsi="Times New Roman;serif"/>
                <w:b w:val="false"/>
                <w:sz w:val="15"/>
              </w:rPr>
            </w:pPr>
            <w:r>
              <w:rPr>
                <w:rFonts w:ascii="Times New Roman;serif" w:hAnsi="Times New Roman;serif"/>
                <w:b w:val="false"/>
                <w:sz w:val="15"/>
              </w:rPr>
              <w:t>)</w:t>
            </w:r>
          </w:p>
        </w:tc>
      </w:tr>
      <w:tr>
        <w:trPr/>
        <w:tc>
          <w:tcPr>
            <w:tcW w:w="453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Donation of common stock</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370</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pPr>
            <w:r>
              <w:rPr/>
              <w:t>—</w:t>
            </w:r>
          </w:p>
        </w:tc>
        <w:tc>
          <w:tcPr>
            <w:tcW w:w="796" w:type="dxa"/>
            <w:tcBorders/>
            <w:shd w:fill="auto" w:val="clear"/>
            <w:vAlign w:val="center"/>
          </w:tcPr>
          <w:p>
            <w:pPr>
              <w:pStyle w:val="TableContents"/>
              <w:spacing w:before="0" w:after="0"/>
              <w:ind w:left="0" w:right="0" w:firstLine="400"/>
              <w:jc w:val="left"/>
              <w:rPr/>
            </w:pPr>
            <w:r>
              <w:rPr/>
              <w:t> </w:t>
            </w:r>
          </w:p>
        </w:tc>
      </w:tr>
      <w:tr>
        <w:trPr/>
        <w:tc>
          <w:tcPr>
            <w:tcW w:w="453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Losses on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pPr>
            <w:r>
              <w:rPr/>
              <w:t>—</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858</w:t>
            </w:r>
          </w:p>
        </w:tc>
        <w:tc>
          <w:tcPr>
            <w:tcW w:w="796" w:type="dxa"/>
            <w:tcBorders/>
            <w:shd w:fill="auto" w:val="clear"/>
            <w:vAlign w:val="center"/>
          </w:tcPr>
          <w:p>
            <w:pPr>
              <w:pStyle w:val="TableContents"/>
              <w:spacing w:before="0" w:after="0"/>
              <w:ind w:left="0" w:right="0" w:firstLine="400"/>
              <w:jc w:val="left"/>
              <w:rPr/>
            </w:pPr>
            <w:r>
              <w:rPr/>
              <w:t> </w:t>
            </w:r>
          </w:p>
        </w:tc>
      </w:tr>
      <w:tr>
        <w:trPr/>
        <w:tc>
          <w:tcPr>
            <w:tcW w:w="453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Non-cash income tax benefit</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pPr>
            <w:r>
              <w:rPr/>
              <w:t>—</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(559</w:t>
            </w:r>
          </w:p>
        </w:tc>
        <w:tc>
          <w:tcPr>
            <w:tcW w:w="796" w:type="dxa"/>
            <w:tcBorders/>
            <w:shd w:fill="auto" w:val="clear"/>
            <w:vAlign w:val="center"/>
          </w:tcPr>
          <w:p>
            <w:pPr>
              <w:pStyle w:val="TableContents"/>
              <w:spacing w:before="0" w:after="0"/>
              <w:ind w:left="0" w:right="0" w:firstLine="400"/>
              <w:jc w:val="left"/>
              <w:rPr>
                <w:rFonts w:ascii="Times New Roman;serif" w:hAnsi="Times New Roman;serif"/>
                <w:b w:val="false"/>
                <w:sz w:val="15"/>
              </w:rPr>
            </w:pPr>
            <w:r>
              <w:rPr>
                <w:rFonts w:ascii="Times New Roman;serif" w:hAnsi="Times New Roman;serif"/>
                <w:b w:val="false"/>
                <w:sz w:val="15"/>
              </w:rPr>
              <w:t>)</w:t>
            </w:r>
          </w:p>
        </w:tc>
      </w:tr>
      <w:tr>
        <w:trPr/>
        <w:tc>
          <w:tcPr>
            <w:tcW w:w="453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Loss on sale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91</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71</w:t>
            </w:r>
          </w:p>
        </w:tc>
        <w:tc>
          <w:tcPr>
            <w:tcW w:w="796" w:type="dxa"/>
            <w:tcBorders/>
            <w:shd w:fill="auto" w:val="clear"/>
            <w:vAlign w:val="center"/>
          </w:tcPr>
          <w:p>
            <w:pPr>
              <w:pStyle w:val="TableContents"/>
              <w:spacing w:before="0" w:after="0"/>
              <w:ind w:left="0" w:right="0" w:firstLine="400"/>
              <w:jc w:val="left"/>
              <w:rPr/>
            </w:pPr>
            <w:r>
              <w:rPr/>
              <w:t> </w:t>
            </w:r>
          </w:p>
        </w:tc>
      </w:tr>
      <w:tr>
        <w:trPr/>
        <w:tc>
          <w:tcPr>
            <w:tcW w:w="453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Amortization of deferred costs on convertible notes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466</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312</w:t>
            </w:r>
          </w:p>
        </w:tc>
        <w:tc>
          <w:tcPr>
            <w:tcW w:w="796" w:type="dxa"/>
            <w:tcBorders/>
            <w:shd w:fill="auto" w:val="clear"/>
            <w:vAlign w:val="center"/>
          </w:tcPr>
          <w:p>
            <w:pPr>
              <w:pStyle w:val="TableContents"/>
              <w:spacing w:before="0" w:after="0"/>
              <w:ind w:left="0" w:right="0" w:firstLine="400"/>
              <w:jc w:val="left"/>
              <w:rPr/>
            </w:pPr>
            <w:r>
              <w:rPr/>
              <w:t> </w:t>
            </w:r>
          </w:p>
        </w:tc>
      </w:tr>
      <w:tr>
        <w:trPr/>
        <w:tc>
          <w:tcPr>
            <w:tcW w:w="453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Deferred taxes benefit</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(23</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71" w:type="dxa"/>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w:t>
            </w:r>
          </w:p>
        </w:tc>
        <w:tc>
          <w:tcPr>
            <w:tcW w:w="796" w:type="dxa"/>
            <w:tcBorders/>
            <w:shd w:fill="auto" w:val="clear"/>
            <w:vAlign w:val="center"/>
          </w:tcPr>
          <w:p>
            <w:pPr>
              <w:pStyle w:val="TableContents"/>
              <w:spacing w:before="0" w:after="0"/>
              <w:ind w:left="0" w:right="0" w:firstLine="400"/>
              <w:jc w:val="left"/>
              <w:rPr>
                <w:rFonts w:ascii="Times New Roman;serif" w:hAnsi="Times New Roman;serif"/>
                <w:b w:val="false"/>
                <w:sz w:val="15"/>
              </w:rPr>
            </w:pPr>
            <w:r>
              <w:rPr>
                <w:rFonts w:ascii="Times New Roman;serif" w:hAnsi="Times New Roman;serif"/>
                <w:b w:val="false"/>
                <w:sz w:val="15"/>
              </w:rPr>
              <w:t>)</w:t>
            </w:r>
          </w:p>
        </w:tc>
      </w:tr>
      <w:tr>
        <w:trPr/>
        <w:tc>
          <w:tcPr>
            <w:tcW w:w="4531" w:type="dxa"/>
            <w:tcBorders/>
            <w:shd w:fill="auto" w:val="clear"/>
            <w:vAlign w:val="center"/>
          </w:tcPr>
          <w:p>
            <w:pPr>
              <w:pStyle w:val="TableContents"/>
              <w:spacing w:before="0" w:after="0"/>
              <w:ind w:left="400" w:right="0" w:hanging="0"/>
              <w:jc w:val="left"/>
              <w:rPr>
                <w:rFonts w:ascii="Times New Roman;serif" w:hAnsi="Times New Roman;serif"/>
                <w:b w:val="false"/>
                <w:sz w:val="15"/>
              </w:rPr>
            </w:pPr>
            <w:r>
              <w:rPr>
                <w:rFonts w:ascii="Times New Roman;serif" w:hAnsi="Times New Roman;serif"/>
                <w:b w:val="false"/>
                <w:sz w:val="15"/>
              </w:rPr>
              <w:t>Changes in other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883" w:type="dxa"/>
            <w:gridSpan w:val="2"/>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righ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firstLine="600"/>
              <w:jc w:val="right"/>
              <w:rPr/>
            </w:pPr>
            <w:r>
              <w:rPr/>
              <w:t> </w:t>
            </w:r>
          </w:p>
        </w:tc>
      </w:tr>
      <w:tr>
        <w:trPr/>
        <w:tc>
          <w:tcPr>
            <w:tcW w:w="4531" w:type="dxa"/>
            <w:tcBorders/>
            <w:shd w:fill="auto" w:val="clear"/>
            <w:vAlign w:val="center"/>
          </w:tcPr>
          <w:p>
            <w:pPr>
              <w:pStyle w:val="TableContents"/>
              <w:spacing w:before="0" w:after="0"/>
              <w:ind w:left="600" w:right="0" w:hanging="0"/>
              <w:jc w:val="left"/>
              <w:rPr>
                <w:rFonts w:ascii="Times New Roman;serif" w:hAnsi="Times New Roman;serif"/>
                <w:b w:val="false"/>
                <w:sz w:val="15"/>
              </w:rPr>
            </w:pPr>
            <w:r>
              <w:rPr>
                <w:rFonts w:ascii="Times New Roman;serif" w:hAnsi="Times New Roman;serif"/>
                <w:b w:val="false"/>
                <w:sz w:val="15"/>
              </w:rPr>
              <w:t>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(2,804</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71" w:type="dxa"/>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(6,145</w:t>
            </w:r>
          </w:p>
        </w:tc>
        <w:tc>
          <w:tcPr>
            <w:tcW w:w="796" w:type="dxa"/>
            <w:tcBorders/>
            <w:shd w:fill="auto" w:val="clear"/>
            <w:vAlign w:val="center"/>
          </w:tcPr>
          <w:p>
            <w:pPr>
              <w:pStyle w:val="TableContents"/>
              <w:spacing w:before="0" w:after="0"/>
              <w:ind w:left="0" w:right="0" w:firstLine="600"/>
              <w:jc w:val="left"/>
              <w:rPr>
                <w:rFonts w:ascii="Times New Roman;serif" w:hAnsi="Times New Roman;serif"/>
                <w:b w:val="false"/>
                <w:sz w:val="15"/>
              </w:rPr>
            </w:pPr>
            <w:r>
              <w:rPr>
                <w:rFonts w:ascii="Times New Roman;serif" w:hAnsi="Times New Roman;serif"/>
                <w:b w:val="false"/>
                <w:sz w:val="15"/>
              </w:rPr>
              <w:t>)</w:t>
            </w:r>
          </w:p>
        </w:tc>
      </w:tr>
      <w:tr>
        <w:trPr/>
        <w:tc>
          <w:tcPr>
            <w:tcW w:w="4531" w:type="dxa"/>
            <w:tcBorders/>
            <w:shd w:fill="auto" w:val="clear"/>
            <w:vAlign w:val="center"/>
          </w:tcPr>
          <w:p>
            <w:pPr>
              <w:pStyle w:val="TableContents"/>
              <w:spacing w:before="0" w:after="0"/>
              <w:ind w:left="600" w:right="0" w:hanging="0"/>
              <w:jc w:val="left"/>
              <w:rPr>
                <w:rFonts w:ascii="Times New Roman;serif" w:hAnsi="Times New Roman;serif"/>
                <w:b w:val="false"/>
                <w:sz w:val="15"/>
              </w:rPr>
            </w:pPr>
            <w:r>
              <w:rPr>
                <w:rFonts w:ascii="Times New Roman;serif" w:hAnsi="Times New Roman;serif"/>
                <w:b w:val="false"/>
                <w:sz w:val="15"/>
              </w:rPr>
              <w:t>Inventory</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133</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(180</w:t>
            </w:r>
          </w:p>
        </w:tc>
        <w:tc>
          <w:tcPr>
            <w:tcW w:w="796" w:type="dxa"/>
            <w:tcBorders/>
            <w:shd w:fill="auto" w:val="clear"/>
            <w:vAlign w:val="center"/>
          </w:tcPr>
          <w:p>
            <w:pPr>
              <w:pStyle w:val="TableContents"/>
              <w:spacing w:before="0" w:after="0"/>
              <w:ind w:left="0" w:right="0" w:firstLine="600"/>
              <w:jc w:val="left"/>
              <w:rPr>
                <w:rFonts w:ascii="Times New Roman;serif" w:hAnsi="Times New Roman;serif"/>
                <w:b w:val="false"/>
                <w:sz w:val="15"/>
              </w:rPr>
            </w:pPr>
            <w:r>
              <w:rPr>
                <w:rFonts w:ascii="Times New Roman;serif" w:hAnsi="Times New Roman;serif"/>
                <w:b w:val="false"/>
                <w:sz w:val="15"/>
              </w:rPr>
              <w:t>)</w:t>
            </w:r>
          </w:p>
        </w:tc>
      </w:tr>
      <w:tr>
        <w:trPr/>
        <w:tc>
          <w:tcPr>
            <w:tcW w:w="4531" w:type="dxa"/>
            <w:tcBorders/>
            <w:shd w:fill="auto" w:val="clear"/>
            <w:vAlign w:val="center"/>
          </w:tcPr>
          <w:p>
            <w:pPr>
              <w:pStyle w:val="TableContents"/>
              <w:spacing w:before="0" w:after="0"/>
              <w:ind w:left="600" w:right="0" w:hanging="0"/>
              <w:jc w:val="left"/>
              <w:rPr>
                <w:rFonts w:ascii="Times New Roman;serif" w:hAnsi="Times New Roman;serif"/>
                <w:b w:val="false"/>
                <w:sz w:val="15"/>
              </w:rPr>
            </w:pPr>
            <w:r>
              <w:rPr>
                <w:rFonts w:ascii="Times New Roman;serif" w:hAnsi="Times New Roman;serif"/>
                <w:b w:val="false"/>
                <w:sz w:val="15"/>
              </w:rPr>
              <w:t>Prepaid expenses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185</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567</w:t>
            </w:r>
          </w:p>
        </w:tc>
        <w:tc>
          <w:tcPr>
            <w:tcW w:w="796" w:type="dxa"/>
            <w:tcBorders/>
            <w:shd w:fill="auto" w:val="clear"/>
            <w:vAlign w:val="center"/>
          </w:tcPr>
          <w:p>
            <w:pPr>
              <w:pStyle w:val="TableContents"/>
              <w:spacing w:before="0" w:after="0"/>
              <w:ind w:left="0" w:right="0" w:firstLine="600"/>
              <w:jc w:val="left"/>
              <w:rPr/>
            </w:pPr>
            <w:r>
              <w:rPr/>
              <w:t> </w:t>
            </w:r>
          </w:p>
        </w:tc>
      </w:tr>
      <w:tr>
        <w:trPr/>
        <w:tc>
          <w:tcPr>
            <w:tcW w:w="4531" w:type="dxa"/>
            <w:tcBorders/>
            <w:shd w:fill="auto" w:val="clear"/>
            <w:vAlign w:val="center"/>
          </w:tcPr>
          <w:p>
            <w:pPr>
              <w:pStyle w:val="TableContents"/>
              <w:spacing w:before="0" w:after="0"/>
              <w:ind w:left="600" w:right="0" w:hanging="0"/>
              <w:jc w:val="left"/>
              <w:rPr>
                <w:rFonts w:ascii="Times New Roman;serif" w:hAnsi="Times New Roman;serif"/>
                <w:b w:val="false"/>
                <w:sz w:val="15"/>
              </w:rPr>
            </w:pPr>
            <w:r>
              <w:rPr>
                <w:rFonts w:ascii="Times New Roman;serif" w:hAnsi="Times New Roman;serif"/>
                <w:b w:val="false"/>
                <w:sz w:val="15"/>
              </w:rPr>
              <w:t>Other assets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(3,687</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71" w:type="dxa"/>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(1,787</w:t>
            </w:r>
          </w:p>
        </w:tc>
        <w:tc>
          <w:tcPr>
            <w:tcW w:w="796" w:type="dxa"/>
            <w:tcBorders/>
            <w:shd w:fill="auto" w:val="clear"/>
            <w:vAlign w:val="center"/>
          </w:tcPr>
          <w:p>
            <w:pPr>
              <w:pStyle w:val="TableContents"/>
              <w:spacing w:before="0" w:after="0"/>
              <w:ind w:left="0" w:right="0" w:firstLine="600"/>
              <w:jc w:val="left"/>
              <w:rPr>
                <w:rFonts w:ascii="Times New Roman;serif" w:hAnsi="Times New Roman;serif"/>
                <w:b w:val="false"/>
                <w:sz w:val="15"/>
              </w:rPr>
            </w:pPr>
            <w:r>
              <w:rPr>
                <w:rFonts w:ascii="Times New Roman;serif" w:hAnsi="Times New Roman;serif"/>
                <w:b w:val="false"/>
                <w:sz w:val="15"/>
              </w:rPr>
              <w:t>)</w:t>
            </w:r>
          </w:p>
        </w:tc>
      </w:tr>
      <w:tr>
        <w:trPr/>
        <w:tc>
          <w:tcPr>
            <w:tcW w:w="4531" w:type="dxa"/>
            <w:tcBorders/>
            <w:shd w:fill="auto" w:val="clear"/>
            <w:vAlign w:val="center"/>
          </w:tcPr>
          <w:p>
            <w:pPr>
              <w:pStyle w:val="TableContents"/>
              <w:spacing w:before="0" w:after="0"/>
              <w:ind w:left="600" w:right="0" w:hanging="0"/>
              <w:jc w:val="left"/>
              <w:rPr>
                <w:rFonts w:ascii="Times New Roman;serif" w:hAnsi="Times New Roman;serif"/>
                <w:b w:val="false"/>
                <w:sz w:val="15"/>
              </w:rPr>
            </w:pPr>
            <w:r>
              <w:rPr>
                <w:rFonts w:ascii="Times New Roman;serif" w:hAnsi="Times New Roman;serif"/>
                <w:b w:val="false"/>
                <w:sz w:val="15"/>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(503</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71"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(2,752</w:t>
            </w:r>
          </w:p>
        </w:tc>
        <w:tc>
          <w:tcPr>
            <w:tcW w:w="796" w:type="dxa"/>
            <w:tcBorders/>
            <w:shd w:fill="auto" w:val="clear"/>
            <w:vAlign w:val="center"/>
          </w:tcPr>
          <w:p>
            <w:pPr>
              <w:pStyle w:val="TableContents"/>
              <w:spacing w:before="0" w:after="0"/>
              <w:ind w:left="0" w:right="0" w:firstLine="600"/>
              <w:jc w:val="left"/>
              <w:rPr>
                <w:rFonts w:ascii="Times New Roman;serif" w:hAnsi="Times New Roman;serif"/>
                <w:b w:val="false"/>
                <w:sz w:val="15"/>
              </w:rPr>
            </w:pPr>
            <w:r>
              <w:rPr>
                <w:rFonts w:ascii="Times New Roman;serif" w:hAnsi="Times New Roman;serif"/>
                <w:b w:val="false"/>
                <w:sz w:val="15"/>
              </w:rPr>
              <w:t>)</w:t>
            </w:r>
          </w:p>
        </w:tc>
      </w:tr>
      <w:tr>
        <w:trPr/>
        <w:tc>
          <w:tcPr>
            <w:tcW w:w="4531" w:type="dxa"/>
            <w:tcBorders/>
            <w:shd w:fill="auto" w:val="clear"/>
            <w:vAlign w:val="center"/>
          </w:tcPr>
          <w:p>
            <w:pPr>
              <w:pStyle w:val="TableContents"/>
              <w:spacing w:before="0" w:after="0"/>
              <w:ind w:left="600" w:right="0" w:hanging="0"/>
              <w:jc w:val="left"/>
              <w:rPr>
                <w:rFonts w:ascii="Times New Roman;serif" w:hAnsi="Times New Roman;serif"/>
                <w:b w:val="false"/>
                <w:sz w:val="15"/>
              </w:rPr>
            </w:pPr>
            <w:r>
              <w:rPr>
                <w:rFonts w:ascii="Times New Roman;serif" w:hAnsi="Times New Roman;serif"/>
                <w:b w:val="false"/>
                <w:sz w:val="15"/>
              </w:rPr>
              <w:t>Accrued expenses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(2,119</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71"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(2,843</w:t>
            </w:r>
          </w:p>
        </w:tc>
        <w:tc>
          <w:tcPr>
            <w:tcW w:w="796" w:type="dxa"/>
            <w:tcBorders/>
            <w:shd w:fill="auto" w:val="clear"/>
            <w:vAlign w:val="center"/>
          </w:tcPr>
          <w:p>
            <w:pPr>
              <w:pStyle w:val="TableContents"/>
              <w:spacing w:before="0" w:after="0"/>
              <w:ind w:left="0" w:right="0" w:firstLine="600"/>
              <w:jc w:val="left"/>
              <w:rPr>
                <w:rFonts w:ascii="Times New Roman;serif" w:hAnsi="Times New Roman;serif"/>
                <w:b w:val="false"/>
                <w:sz w:val="15"/>
              </w:rPr>
            </w:pPr>
            <w:r>
              <w:rPr>
                <w:rFonts w:ascii="Times New Roman;serif" w:hAnsi="Times New Roman;serif"/>
                <w:b w:val="false"/>
                <w:sz w:val="15"/>
              </w:rPr>
              <w:t>)</w:t>
            </w:r>
          </w:p>
        </w:tc>
      </w:tr>
      <w:tr>
        <w:trPr/>
        <w:tc>
          <w:tcPr>
            <w:tcW w:w="4531" w:type="dxa"/>
            <w:tcBorders/>
            <w:shd w:fill="auto" w:val="clear"/>
            <w:vAlign w:val="center"/>
          </w:tcPr>
          <w:p>
            <w:pPr>
              <w:pStyle w:val="TableContents"/>
              <w:spacing w:before="0" w:after="0"/>
              <w:ind w:left="600" w:right="0" w:hanging="0"/>
              <w:jc w:val="left"/>
              <w:rPr>
                <w:rFonts w:ascii="Times New Roman;serif" w:hAnsi="Times New Roman;serif"/>
                <w:b w:val="false"/>
                <w:sz w:val="15"/>
              </w:rPr>
            </w:pPr>
            <w:r>
              <w:rPr>
                <w:rFonts w:ascii="Times New Roman;serif" w:hAnsi="Times New Roman;serif"/>
                <w:b w:val="false"/>
                <w:sz w:val="15"/>
              </w:rPr>
              <w:t>Contract liabilities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1,436</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2,145</w:t>
            </w:r>
          </w:p>
        </w:tc>
        <w:tc>
          <w:tcPr>
            <w:tcW w:w="796" w:type="dxa"/>
            <w:tcBorders/>
            <w:shd w:fill="auto" w:val="clear"/>
            <w:vAlign w:val="center"/>
          </w:tcPr>
          <w:p>
            <w:pPr>
              <w:pStyle w:val="TableContents"/>
              <w:spacing w:before="0" w:after="0"/>
              <w:ind w:left="0" w:right="0" w:firstLine="600"/>
              <w:jc w:val="left"/>
              <w:rPr/>
            </w:pPr>
            <w:r>
              <w:rPr/>
              <w:t> </w:t>
            </w:r>
          </w:p>
        </w:tc>
      </w:tr>
      <w:tr>
        <w:trPr/>
        <w:tc>
          <w:tcPr>
            <w:tcW w:w="4531" w:type="dxa"/>
            <w:tcBorders/>
            <w:shd w:fill="auto" w:val="clear"/>
            <w:vAlign w:val="center"/>
          </w:tcPr>
          <w:p>
            <w:pPr>
              <w:pStyle w:val="TableContents"/>
              <w:spacing w:before="0" w:after="0"/>
              <w:ind w:left="600" w:right="0" w:hanging="0"/>
              <w:jc w:val="left"/>
              <w:rPr>
                <w:rFonts w:ascii="Times New Roman;serif" w:hAnsi="Times New Roman;serif"/>
                <w:b w:val="false"/>
                <w:sz w:val="15"/>
              </w:rPr>
            </w:pPr>
            <w:r>
              <w:rPr>
                <w:rFonts w:ascii="Times New Roman;serif" w:hAnsi="Times New Roman;serif"/>
                <w:b w:val="false"/>
                <w:sz w:val="15"/>
              </w:rPr>
              <w:t>Lease liabilities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(970</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71"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(1,369</w:t>
            </w:r>
          </w:p>
        </w:tc>
        <w:tc>
          <w:tcPr>
            <w:tcW w:w="796" w:type="dxa"/>
            <w:tcBorders/>
            <w:shd w:fill="auto" w:val="clear"/>
            <w:vAlign w:val="center"/>
          </w:tcPr>
          <w:p>
            <w:pPr>
              <w:pStyle w:val="TableContents"/>
              <w:spacing w:before="0" w:after="0"/>
              <w:ind w:left="0" w:right="0" w:firstLine="600"/>
              <w:jc w:val="left"/>
              <w:rPr>
                <w:rFonts w:ascii="Times New Roman;serif" w:hAnsi="Times New Roman;serif"/>
                <w:b w:val="false"/>
                <w:sz w:val="15"/>
              </w:rPr>
            </w:pPr>
            <w:r>
              <w:rPr>
                <w:rFonts w:ascii="Times New Roman;serif" w:hAnsi="Times New Roman;serif"/>
                <w:b w:val="false"/>
                <w:sz w:val="15"/>
              </w:rPr>
              <w:t>)</w:t>
            </w:r>
          </w:p>
        </w:tc>
      </w:tr>
      <w:tr>
        <w:trPr/>
        <w:tc>
          <w:tcPr>
            <w:tcW w:w="4531" w:type="dxa"/>
            <w:tcBorders/>
            <w:shd w:fill="auto" w:val="clear"/>
            <w:vAlign w:val="center"/>
          </w:tcPr>
          <w:p>
            <w:pPr>
              <w:pStyle w:val="TableContents"/>
              <w:spacing w:before="0" w:after="0"/>
              <w:ind w:left="600" w:right="0" w:hanging="0"/>
              <w:jc w:val="left"/>
              <w:rPr>
                <w:rFonts w:ascii="Times New Roman;serif" w:hAnsi="Times New Roman;serif"/>
                <w:b w:val="false"/>
                <w:sz w:val="15"/>
              </w:rPr>
            </w:pPr>
            <w:r>
              <w:rPr>
                <w:rFonts w:ascii="Times New Roman;serif" w:hAnsi="Times New Roman;serif"/>
                <w:b w:val="false"/>
                <w:sz w:val="15"/>
              </w:rPr>
              <w:t>Income taxes payable</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157</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4531" w:type="dxa"/>
            <w:tcBorders/>
            <w:shd w:fill="auto" w:val="clear"/>
            <w:vAlign w:val="center"/>
          </w:tcPr>
          <w:p>
            <w:pPr>
              <w:pStyle w:val="TableContents"/>
              <w:spacing w:before="0" w:after="0"/>
              <w:ind w:left="400" w:right="0" w:hanging="0"/>
              <w:jc w:val="left"/>
              <w:rPr>
                <w:rFonts w:ascii="Times New Roman;serif" w:hAnsi="Times New Roman;serif"/>
                <w:b/>
                <w:sz w:val="15"/>
              </w:rPr>
            </w:pPr>
            <w:r>
              <w:rPr>
                <w:rFonts w:ascii="Times New Roman;serif" w:hAnsi="Times New Roman;serif"/>
                <w:b/>
                <w:sz w:val="15"/>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(16,455</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71" w:type="dxa"/>
            <w:tcBorders/>
            <w:shd w:fill="auto" w:val="cle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(24,259</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883" w:type="dxa"/>
            <w:gridSpan w:val="2"/>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righ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firstLine="200"/>
              <w:jc w:val="right"/>
              <w:rPr/>
            </w:pPr>
            <w:r>
              <w:rPr/>
              <w:t> </w:t>
            </w:r>
          </w:p>
        </w:tc>
      </w:tr>
      <w:tr>
        <w:trPr/>
        <w:tc>
          <w:tcPr>
            <w:tcW w:w="453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Purchase of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(2,688</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71" w:type="dxa"/>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(280,091</w:t>
            </w:r>
          </w:p>
        </w:tc>
        <w:tc>
          <w:tcPr>
            <w:tcW w:w="796" w:type="dxa"/>
            <w:tcBorders/>
            <w:shd w:fill="auto" w:val="clear"/>
            <w:vAlign w:val="center"/>
          </w:tcPr>
          <w:p>
            <w:pPr>
              <w:pStyle w:val="TableContents"/>
              <w:spacing w:before="0" w:after="0"/>
              <w:ind w:left="0" w:right="0" w:firstLine="200"/>
              <w:jc w:val="left"/>
              <w:rPr>
                <w:rFonts w:ascii="Times New Roman;serif" w:hAnsi="Times New Roman;serif"/>
                <w:b w:val="false"/>
                <w:sz w:val="15"/>
              </w:rPr>
            </w:pPr>
            <w:r>
              <w:rPr>
                <w:rFonts w:ascii="Times New Roman;serif" w:hAnsi="Times New Roman;serif"/>
                <w:b w:val="false"/>
                <w:sz w:val="15"/>
              </w:rPr>
              <w:t>)</w:t>
            </w:r>
          </w:p>
        </w:tc>
      </w:tr>
      <w:tr>
        <w:trPr/>
        <w:tc>
          <w:tcPr>
            <w:tcW w:w="453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Proceeds from sale of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pPr>
            <w:r>
              <w:rPr/>
              <w:t>—</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w:t>
            </w:r>
          </w:p>
        </w:tc>
        <w:tc>
          <w:tcPr>
            <w:tcW w:w="796" w:type="dxa"/>
            <w:tcBorders/>
            <w:shd w:fill="auto" w:val="clear"/>
            <w:vAlign w:val="center"/>
          </w:tcPr>
          <w:p>
            <w:pPr>
              <w:pStyle w:val="TableContents"/>
              <w:spacing w:before="0" w:after="0"/>
              <w:ind w:left="0" w:right="0" w:firstLine="200"/>
              <w:jc w:val="left"/>
              <w:rPr/>
            </w:pPr>
            <w:r>
              <w:rPr/>
              <w:t> </w:t>
            </w:r>
          </w:p>
        </w:tc>
      </w:tr>
      <w:tr>
        <w:trPr/>
        <w:tc>
          <w:tcPr>
            <w:tcW w:w="453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Purchases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(4,186</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71" w:type="dxa"/>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(2,543</w:t>
            </w:r>
          </w:p>
        </w:tc>
        <w:tc>
          <w:tcPr>
            <w:tcW w:w="796" w:type="dxa"/>
            <w:tcBorders/>
            <w:shd w:fill="auto" w:val="clear"/>
            <w:vAlign w:val="center"/>
          </w:tcPr>
          <w:p>
            <w:pPr>
              <w:pStyle w:val="TableContents"/>
              <w:spacing w:before="0" w:after="0"/>
              <w:ind w:left="0" w:right="0" w:firstLine="200"/>
              <w:jc w:val="left"/>
              <w:rPr>
                <w:rFonts w:ascii="Times New Roman;serif" w:hAnsi="Times New Roman;serif"/>
                <w:b w:val="false"/>
                <w:sz w:val="15"/>
              </w:rPr>
            </w:pPr>
            <w:r>
              <w:rPr>
                <w:rFonts w:ascii="Times New Roman;serif" w:hAnsi="Times New Roman;serif"/>
                <w:b w:val="false"/>
                <w:sz w:val="15"/>
              </w:rPr>
              <w:t>)</w:t>
            </w:r>
          </w:p>
        </w:tc>
      </w:tr>
      <w:tr>
        <w:trPr/>
        <w:tc>
          <w:tcPr>
            <w:tcW w:w="453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Proceeds from sale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223</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165</w:t>
            </w:r>
          </w:p>
        </w:tc>
        <w:tc>
          <w:tcPr>
            <w:tcW w:w="796" w:type="dxa"/>
            <w:tcBorders/>
            <w:shd w:fill="auto" w:val="clear"/>
            <w:vAlign w:val="center"/>
          </w:tcPr>
          <w:p>
            <w:pPr>
              <w:pStyle w:val="TableContents"/>
              <w:spacing w:before="0" w:after="0"/>
              <w:ind w:left="0" w:right="0" w:firstLine="200"/>
              <w:jc w:val="left"/>
              <w:rPr/>
            </w:pPr>
            <w:r>
              <w:rPr/>
              <w:t> </w:t>
            </w:r>
          </w:p>
        </w:tc>
      </w:tr>
      <w:tr>
        <w:trPr/>
        <w:tc>
          <w:tcPr>
            <w:tcW w:w="453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Cash paid for business combination, net of cash acquired</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(3,349</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71" w:type="dxa"/>
            <w:tcBorders/>
            <w:shd w:fill="auto" w:val="clear"/>
            <w:vAlign w:val="center"/>
          </w:tcPr>
          <w:p>
            <w:pPr>
              <w:pStyle w:val="TableContents"/>
              <w:spacing w:before="0" w:after="0"/>
              <w:ind w:left="0" w:right="0" w:hanging="0"/>
              <w:jc w:val="righ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4531" w:type="dxa"/>
            <w:tcBorders/>
            <w:shd w:fill="auto" w:val="clear"/>
            <w:vAlign w:val="center"/>
          </w:tcPr>
          <w:p>
            <w:pPr>
              <w:pStyle w:val="TableContents"/>
              <w:spacing w:before="0" w:after="0"/>
              <w:ind w:left="400" w:right="0" w:hanging="0"/>
              <w:jc w:val="left"/>
              <w:rPr>
                <w:rFonts w:ascii="Times New Roman;serif" w:hAnsi="Times New Roman;serif"/>
                <w:b/>
                <w:sz w:val="15"/>
              </w:rPr>
            </w:pPr>
            <w:r>
              <w:rPr>
                <w:rFonts w:ascii="Times New Roman;serif" w:hAnsi="Times New Roman;serif"/>
                <w:b/>
                <w:sz w:val="15"/>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(10,000</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71" w:type="dxa"/>
            <w:tcBorders/>
            <w:shd w:fill="auto" w:val="cle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(282,465</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883" w:type="dxa"/>
            <w:gridSpan w:val="2"/>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righ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firstLine="200"/>
              <w:jc w:val="right"/>
              <w:rPr/>
            </w:pPr>
            <w:r>
              <w:rPr/>
              <w:t> </w:t>
            </w:r>
          </w:p>
        </w:tc>
      </w:tr>
      <w:tr>
        <w:trPr/>
        <w:tc>
          <w:tcPr>
            <w:tcW w:w="453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Proceeds from stock options exercised</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483</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1,263</w:t>
            </w:r>
          </w:p>
        </w:tc>
        <w:tc>
          <w:tcPr>
            <w:tcW w:w="796" w:type="dxa"/>
            <w:tcBorders/>
            <w:shd w:fill="auto" w:val="clear"/>
            <w:vAlign w:val="center"/>
          </w:tcPr>
          <w:p>
            <w:pPr>
              <w:pStyle w:val="TableContents"/>
              <w:spacing w:before="0" w:after="0"/>
              <w:ind w:left="0" w:right="0" w:firstLine="200"/>
              <w:jc w:val="left"/>
              <w:rPr/>
            </w:pPr>
            <w:r>
              <w:rPr/>
              <w:t> </w:t>
            </w:r>
          </w:p>
        </w:tc>
      </w:tr>
      <w:tr>
        <w:trPr/>
        <w:tc>
          <w:tcPr>
            <w:tcW w:w="453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Proceeds from issuance of convertible notes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pPr>
            <w:r>
              <w:rPr/>
              <w:t>—</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287,500</w:t>
            </w:r>
          </w:p>
        </w:tc>
        <w:tc>
          <w:tcPr>
            <w:tcW w:w="796" w:type="dxa"/>
            <w:tcBorders/>
            <w:shd w:fill="auto" w:val="clear"/>
            <w:vAlign w:val="center"/>
          </w:tcPr>
          <w:p>
            <w:pPr>
              <w:pStyle w:val="TableContents"/>
              <w:spacing w:before="0" w:after="0"/>
              <w:ind w:left="0" w:right="0" w:firstLine="200"/>
              <w:jc w:val="left"/>
              <w:rPr/>
            </w:pPr>
            <w:r>
              <w:rPr/>
              <w:t> </w:t>
            </w:r>
          </w:p>
        </w:tc>
      </w:tr>
      <w:tr>
        <w:trPr/>
        <w:tc>
          <w:tcPr>
            <w:tcW w:w="453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Costs incurred in connection with issuance of convertible notes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pPr>
            <w:r>
              <w:rPr/>
              <w:t>—</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(9,301</w:t>
            </w:r>
          </w:p>
        </w:tc>
        <w:tc>
          <w:tcPr>
            <w:tcW w:w="796" w:type="dxa"/>
            <w:tcBorders/>
            <w:shd w:fill="auto" w:val="clear"/>
            <w:vAlign w:val="center"/>
          </w:tcPr>
          <w:p>
            <w:pPr>
              <w:pStyle w:val="TableContents"/>
              <w:spacing w:before="0" w:after="0"/>
              <w:ind w:left="0" w:right="0" w:firstLine="200"/>
              <w:jc w:val="left"/>
              <w:rPr>
                <w:rFonts w:ascii="Times New Roman;serif" w:hAnsi="Times New Roman;serif"/>
                <w:b w:val="false"/>
                <w:sz w:val="15"/>
              </w:rPr>
            </w:pPr>
            <w:r>
              <w:rPr>
                <w:rFonts w:ascii="Times New Roman;serif" w:hAnsi="Times New Roman;serif"/>
                <w:b w:val="false"/>
                <w:sz w:val="15"/>
              </w:rPr>
              <w:t>)</w:t>
            </w:r>
          </w:p>
        </w:tc>
      </w:tr>
      <w:tr>
        <w:trPr/>
        <w:tc>
          <w:tcPr>
            <w:tcW w:w="453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Payments on finance lease obligations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15"/>
              </w:rPr>
            </w:pPr>
            <w:r>
              <w:rPr>
                <w:rFonts w:ascii="Times New Roman;serif" w:hAnsi="Times New Roman;serif"/>
                <w:b w:val="false"/>
                <w:sz w:val="15"/>
              </w:rPr>
              <w:t>)</w:t>
            </w:r>
          </w:p>
        </w:tc>
      </w:tr>
      <w:tr>
        <w:trPr/>
        <w:tc>
          <w:tcPr>
            <w:tcW w:w="4531" w:type="dxa"/>
            <w:tcBorders/>
            <w:shd w:fill="auto" w:val="clear"/>
            <w:vAlign w:val="center"/>
          </w:tcPr>
          <w:p>
            <w:pPr>
              <w:pStyle w:val="TableContents"/>
              <w:spacing w:before="0" w:after="0"/>
              <w:ind w:left="400" w:right="0" w:hanging="0"/>
              <w:jc w:val="left"/>
              <w:rPr>
                <w:rFonts w:ascii="Times New Roman;serif" w:hAnsi="Times New Roman;serif"/>
                <w:b/>
                <w:sz w:val="15"/>
              </w:rPr>
            </w:pPr>
            <w:r>
              <w:rPr>
                <w:rFonts w:ascii="Times New Roman;serif" w:hAnsi="Times New Roman;serif"/>
                <w:b/>
                <w:sz w:val="15"/>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483</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279,460</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531" w:type="dxa"/>
            <w:tcBorders/>
            <w:shd w:fill="auto" w:val="clear"/>
            <w:vAlign w:val="center"/>
          </w:tcPr>
          <w:p>
            <w:pPr>
              <w:pStyle w:val="TableContents"/>
              <w:spacing w:before="0" w:after="0"/>
              <w:ind w:left="200" w:right="0" w:hanging="0"/>
              <w:jc w:val="left"/>
              <w:rPr>
                <w:rFonts w:ascii="Times New Roman;serif" w:hAnsi="Times New Roman;serif"/>
                <w:b w:val="false"/>
                <w:sz w:val="15"/>
              </w:rPr>
            </w:pPr>
            <w:r>
              <w:rPr>
                <w:rFonts w:ascii="Times New Roman;serif" w:hAnsi="Times New Roman;serif"/>
                <w:b w:val="false"/>
                <w:sz w:val="15"/>
              </w:rPr>
              <w:t>Effect of foreign currency translation on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15</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(29</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15"/>
              </w:rPr>
            </w:pPr>
            <w:r>
              <w:rPr>
                <w:rFonts w:ascii="Times New Roman;serif" w:hAnsi="Times New Roman;serif"/>
                <w:b w:val="false"/>
                <w:sz w:val="15"/>
              </w:rPr>
              <w:t>)</w:t>
            </w:r>
          </w:p>
        </w:tc>
      </w:tr>
      <w:tr>
        <w:trPr/>
        <w:tc>
          <w:tcPr>
            <w:tcW w:w="4531" w:type="dxa"/>
            <w:tcBorders/>
            <w:shd w:fill="auto" w:val="clear"/>
            <w:vAlign w:val="center"/>
          </w:tcPr>
          <w:p>
            <w:pPr>
              <w:pStyle w:val="TableContents"/>
              <w:spacing w:before="0" w:after="0"/>
              <w:ind w:left="0" w:right="0" w:firstLine="400"/>
              <w:jc w:val="left"/>
              <w:rPr>
                <w:rFonts w:ascii="Times New Roman;serif" w:hAnsi="Times New Roman;serif"/>
                <w:b/>
                <w:sz w:val="15"/>
              </w:rPr>
            </w:pPr>
            <w:r>
              <w:rPr>
                <w:rFonts w:ascii="Times New Roman;serif" w:hAnsi="Times New Roman;serif"/>
                <w:b/>
                <w:sz w:val="15"/>
              </w:rPr>
              <w:t>Net decrease in cash and cash equivalents</w:t>
            </w:r>
          </w:p>
        </w:tc>
        <w:tc>
          <w:tcPr>
            <w:tcW w:w="146" w:type="dxa"/>
            <w:tcBorders/>
            <w:shd w:fill="auto" w:val="clear"/>
            <w:vAlign w:val="center"/>
          </w:tcPr>
          <w:p>
            <w:pPr>
              <w:pStyle w:val="TableContents"/>
              <w:spacing w:before="0" w:after="0"/>
              <w:ind w:left="40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(25,957</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71" w:type="dxa"/>
            <w:tcBorders/>
            <w:shd w:fill="auto" w:val="clear"/>
            <w:vAlign w:val="center"/>
          </w:tcPr>
          <w:p>
            <w:pPr>
              <w:pStyle w:val="TableContents"/>
              <w:spacing w:before="0" w:after="283"/>
              <w:ind w:left="0" w:right="0" w:hanging="0"/>
              <w:rPr>
                <w:sz w:val="4"/>
                <w:szCs w:val="4"/>
              </w:rPr>
            </w:pPr>
            <w:r>
              <w:rPr>
                <w:sz w:val="4"/>
                <w:szCs w:val="4"/>
              </w:rPr>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(27,293</w:t>
            </w:r>
          </w:p>
        </w:tc>
        <w:tc>
          <w:tcPr>
            <w:tcW w:w="796"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Cash and cash equivalents at beginning of the year</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65,662</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86,262</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Cash and cash equivalents at end of the period</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39,705</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58,969</w:t>
            </w:r>
          </w:p>
        </w:tc>
        <w:tc>
          <w:tcPr>
            <w:tcW w:w="7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Supplemental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883" w:type="dxa"/>
            <w:gridSpan w:val="2"/>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righ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Cash paid for interest</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1,438</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59" w:type="dxa"/>
            <w:tcBorders/>
            <w:shd w:fill="auto" w:val="clear"/>
            <w:vAlign w:val="center"/>
          </w:tcPr>
          <w:p>
            <w:pPr>
              <w:pStyle w:val="TableContents"/>
              <w:spacing w:before="0" w:after="0"/>
              <w:ind w:left="0" w:right="0" w:hanging="0"/>
              <w:jc w:val="right"/>
              <w:rPr/>
            </w:pPr>
            <w:r>
              <w:rPr/>
              <w:t>—</w:t>
            </w:r>
          </w:p>
        </w:tc>
        <w:tc>
          <w:tcPr>
            <w:tcW w:w="796"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Non-cash investing and financing activities:</w:t>
            </w:r>
          </w:p>
        </w:tc>
        <w:tc>
          <w:tcPr>
            <w:tcW w:w="146" w:type="dxa"/>
            <w:tcBorders/>
            <w:shd w:fill="auto" w:val="clear"/>
            <w:vAlign w:val="center"/>
          </w:tcPr>
          <w:p>
            <w:pPr>
              <w:pStyle w:val="TableContents"/>
              <w:spacing w:before="0" w:after="0"/>
              <w:ind w:left="0" w:right="0" w:hanging="0"/>
              <w:jc w:val="left"/>
              <w:rPr/>
            </w:pPr>
            <w:r>
              <w:rPr/>
              <w:t> </w:t>
            </w:r>
          </w:p>
        </w:tc>
        <w:tc>
          <w:tcPr>
            <w:tcW w:w="883" w:type="dxa"/>
            <w:gridSpan w:val="2"/>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righ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Non-cash purchase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78</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pPr>
            <w:r>
              <w:rPr/>
              <w:t>—</w:t>
            </w:r>
          </w:p>
        </w:tc>
        <w:tc>
          <w:tcPr>
            <w:tcW w:w="796" w:type="dxa"/>
            <w:tcBorders/>
            <w:shd w:fill="auto" w:val="clear"/>
            <w:vAlign w:val="center"/>
          </w:tcPr>
          <w:p>
            <w:pPr>
              <w:pStyle w:val="TableContents"/>
              <w:spacing w:before="0" w:after="0"/>
              <w:ind w:left="0" w:right="0" w:hanging="0"/>
              <w:jc w:val="left"/>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Non-cash consideration in connection with business combination</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1,593</w:t>
            </w:r>
          </w:p>
        </w:tc>
        <w:tc>
          <w:tcPr>
            <w:tcW w:w="177"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759" w:type="dxa"/>
            <w:tcBorders/>
            <w:shd w:fill="auto" w:val="clear"/>
            <w:vAlign w:val="center"/>
          </w:tcPr>
          <w:p>
            <w:pPr>
              <w:pStyle w:val="TableContents"/>
              <w:spacing w:before="0" w:after="0"/>
              <w:ind w:left="0" w:right="0" w:hanging="0"/>
              <w:jc w:val="right"/>
              <w:rPr/>
            </w:pPr>
            <w:r>
              <w:rPr/>
              <w:t>—</w:t>
            </w:r>
          </w:p>
        </w:tc>
        <w:tc>
          <w:tcPr>
            <w:tcW w:w="79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rFonts w:ascii="Times New Roman" w:hAnsi="Times New Roman"/>
          <w:sz w:val="20"/>
        </w:rPr>
      </w:pPr>
      <w:r>
        <w:rPr>
          <w:rFonts w:ascii="Times New Roman;serif" w:hAnsi="Times New Roman;serif"/>
          <w:b/>
          <w:sz w:val="20"/>
        </w:rPr>
        <w:t>See accompanying notes to the unaudited condensed consolidated financial statements.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12" w:name="notes_to_financial_statements"/>
      <w:bookmarkEnd w:id="12"/>
      <w:r>
        <w:rPr>
          <w:rFonts w:ascii="Times New Roman;serif" w:hAnsi="Times New Roman;serif"/>
          <w:b/>
          <w:sz w:val="20"/>
        </w:rPr>
        <w:t>XOMETRY, INC. AND SUBSIDIARIES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bookmarkStart w:id="13" w:name="fin120843_6"/>
      <w:bookmarkEnd w:id="13"/>
      <w:r>
        <w:rPr>
          <w:rFonts w:ascii="Times New Roman;serif" w:hAnsi="Times New Roman;serif"/>
          <w:b w:val="false"/>
          <w:sz w:val="20"/>
        </w:rPr>
        <w:t>Notes to Unaudited Condensed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spacing w:before="120" w:after="0"/>
        <w:jc w:val="left"/>
        <w:rPr>
          <w:rFonts w:ascii="Times New Roman" w:hAnsi="Times New Roman"/>
          <w:sz w:val="20"/>
        </w:rPr>
      </w:pPr>
      <w:r>
        <w:rPr>
          <w:rFonts w:ascii="Times New Roman;serif" w:hAnsi="Times New Roman;serif"/>
          <w:b/>
          <w:sz w:val="20"/>
        </w:rPr>
        <w:t>(1)</w:t>
      </w:r>
      <w:r>
        <w:rPr>
          <w:rFonts w:ascii="Times New Roman" w:hAnsi="Times New Roman"/>
          <w:sz w:val="20"/>
        </w:rPr>
        <w:t xml:space="preserve"> </w:t>
      </w:r>
      <w:r>
        <w:rPr>
          <w:rFonts w:ascii="Times New Roman;serif" w:hAnsi="Times New Roman;serif"/>
          <w:b/>
          <w:sz w:val="20"/>
        </w:rPr>
        <w:t>Organization and Description of Business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Xometry, Inc. (“Xometry”, the “Company”, “we”, or “our”) was incorporated in the State of Delaware in May 2013. Xometry is a global online marketplace connecting buyers with suppliers of manufacturing services, transforming one of the largest industries in the world. We use our proprietary technology to create a marketplace that enables buyers to efficiently source manufactured parts and assemblies, and empower suppliers of manufacturing services to grow their businesses. Xometry's corporate headquarters is located in North Bethesda, Maryland.</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Our AI-enabled technology platform is powered by proprietary machine learning algorithms and a dataset, resulting in a sophisticated marketplace for manufacturing. As a result, buyers can procure the products they want on demand and suppliers can source new manufacturing opportunities that match their specific capabilities and capacity. Interactions on our platform provide rich data insights that allow us to continuously improve our AI models and create new products and services, fueling powerful network effects as we scale.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aftermarket parts for its buyers.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Xometry’s suppliers’ capabilities include computer numerical control manufacturing, sheet metal forming, sheet cutting, 3D printing (including fused deposition modeling, direct metal laser sintering, PolyJet, stereolithography, selective laser sintering, binder jetting, carbon digital light synthesis and multi jet fusion), die casting, stamping, injection molding, urethane casting, tube cutting, tube bending, as well as finishing services, rapid prototyping and high-volume production.</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We empower suppliers to grow their manufacturing businesses and improve machine uptime by providing access to an extensive, diverse base of buyers. We also offer suppliers supporting products and services to meet their unique needs. Our suite of supplier services includes a cloud-based manufacturing execution system, access to competitively priced tools, materials and supplies from leading brands and financial service products to stabilize and enhance cash flow. In addition, we offer suppliers digital marketing and data solutions and SaaS based solutions to help suppliers optimize their productivity. In 2021, we acquired Thomas Publishing Company (“Thomas”) and Fusiform, Inc. (d/b/a FactoryFour) (“FactoryFour”), expanding our basket of supplier services to include marketing and advertising services and SaaS based solutions to help suppliers optimize their productivity.</w:t>
      </w:r>
      <w:r>
        <w:rPr>
          <w:rFonts w:ascii="Times New Roman" w:hAnsi="Times New Roman"/>
          <w:sz w:val="20"/>
        </w:rPr>
        <w:t xml:space="preserve"> </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sz w:val="20"/>
        </w:rPr>
        <w:t>(2)</w:t>
      </w:r>
      <w:r>
        <w:rPr>
          <w:rFonts w:ascii="Times New Roman" w:hAnsi="Times New Roman"/>
          <w:sz w:val="20"/>
        </w:rPr>
        <w:t xml:space="preserve"> </w:t>
      </w:r>
      <w:r>
        <w:rPr>
          <w:rFonts w:ascii="Times New Roman;serif" w:hAnsi="Times New Roman;serif"/>
          <w:b/>
          <w:sz w:val="20"/>
        </w:rPr>
        <w:t>Basis of Presentation and Summary of Significant Accounting Policies</w:t>
      </w:r>
      <w:r>
        <w:rPr>
          <w:rFonts w:ascii="Times New Roman" w:hAnsi="Times New Roman"/>
          <w:sz w:val="20"/>
        </w:rPr>
        <w:t xml:space="preserve"> </w:t>
      </w:r>
    </w:p>
    <w:p>
      <w:pPr>
        <w:pStyle w:val="TextBody"/>
        <w:spacing w:before="120" w:after="0"/>
        <w:jc w:val="left"/>
        <w:rPr>
          <w:rFonts w:ascii="Times New Roman" w:hAnsi="Times New Roman"/>
          <w:b/>
          <w:i/>
          <w:sz w:val="20"/>
        </w:rPr>
      </w:pPr>
      <w:r>
        <w:rPr>
          <w:rFonts w:ascii="Times New Roman" w:hAnsi="Times New Roman"/>
          <w:b/>
          <w:i/>
          <w:sz w:val="20"/>
        </w:rPr>
        <w:t>(a)</w:t>
      </w:r>
    </w:p>
    <w:p>
      <w:pPr>
        <w:pStyle w:val="TextBody"/>
        <w:spacing w:before="120" w:after="283"/>
        <w:jc w:val="left"/>
        <w:rPr>
          <w:rFonts w:ascii="Times New Roman;serif" w:hAnsi="Times New Roman;serif"/>
          <w:sz w:val="20"/>
        </w:rPr>
      </w:pPr>
      <w:r>
        <w:rPr>
          <w:rFonts w:ascii="Times New Roman;serif" w:hAnsi="Times New Roman;serif"/>
          <w:b/>
          <w:i/>
          <w:sz w:val="20"/>
        </w:rPr>
        <w:t>Basis of Presentation</w:t>
      </w:r>
      <w:r>
        <w:rPr>
          <w:rFonts w:ascii="Times New Roman;serif" w:hAnsi="Times New Roman;serif"/>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March 16, 2023.</w:t>
      </w:r>
    </w:p>
    <w:p>
      <w:pPr>
        <w:pStyle w:val="TextBody"/>
        <w:spacing w:before="120" w:after="0"/>
        <w:jc w:val="left"/>
        <w:rPr>
          <w:rFonts w:ascii="Times New Roman" w:hAnsi="Times New Roman"/>
          <w:sz w:val="20"/>
        </w:rPr>
      </w:pPr>
      <w:r>
        <w:rPr>
          <w:rFonts w:ascii="Times New Roman;serif" w:hAnsi="Times New Roman;serif"/>
          <w:b w:val="false"/>
          <w:sz w:val="20"/>
        </w:rPr>
        <w:t>The condensed consolidated balance sheet as of December 31, 2022, included herein, was derived from the audited financial statements as of that date, but may not include all disclosures including certain notes required by U.S. GAAP on an annual reporting basis. In the opinion of management, the accompanying condensed consolidated financial statements reflect all normal recurring adjustments necessary to present fairly the financial position, results of operations, comprehensive loss, stockholders' equity (deficit) and cash flows for the interim periods, but are not necessarily indicative of the results of operations to be anticipated for the full year 2023 or any future period. The Company has two</w:t>
      </w:r>
      <w:r>
        <w:rPr>
          <w:rFonts w:ascii="Times New Roman" w:hAnsi="Times New Roman"/>
          <w:sz w:val="20"/>
        </w:rPr>
        <w:t xml:space="preserve"> </w:t>
      </w:r>
      <w:r>
        <w:rPr>
          <w:rFonts w:ascii="Times New Roman;serif" w:hAnsi="Times New Roman;serif"/>
          <w:b w:val="false"/>
          <w:sz w:val="20"/>
        </w:rPr>
        <w:t>reporting segments which are referred to as: (1) the United States (“U.S.”) and (2) International.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Foreign Operations and Comprehensive Loss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U.S. dollar (“USD”) is the functional currency for Xometry’s consolidated subsidiary operating in the U.S. The primary functional currency for the Company's consolidated subsidiaries operating in Germany and to a lesser extent, United Kingdom, Turkey, China and Japan, is the Euro, British Pound Sterling, Turkish Lira, Yuan and the Yen, respectively. For the Company’s consolidated subsidiaries whose functional currencies are not the USD, the Company translates their financial statements into USD.</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(“AOCI”), as a separate component of equity.</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Noncontrolling Interest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a 66.67% ownership in Incom Co., LTD. As we have a controlling interest in Incom Co., LTD, we have consolidated Incom Co., LTD into our financial statements. The portion of equity in Incom Co., LTD not owned by the Company is accounted for as a noncontrolling interest. We present the portion of any equity that we do not own in a consolidated entity as noncontrolling interest and classify their interest as a component of total equity, separate from total stockholders’ equity on our Condensed Consolidated Balance Sheets. We include net income (loss) attributable to the noncontrolling interests in net loss in our Condensed Consolidated Statements of Operations and Comprehensive Loss.</w:t>
      </w:r>
    </w:p>
    <w:p>
      <w:pPr>
        <w:pStyle w:val="TextBody"/>
        <w:spacing w:before="120" w:after="0"/>
        <w:jc w:val="left"/>
        <w:rPr>
          <w:rFonts w:ascii="Times New Roman" w:hAnsi="Times New Roman"/>
          <w:b/>
          <w:i/>
          <w:sz w:val="20"/>
        </w:rPr>
      </w:pPr>
      <w:r>
        <w:rPr>
          <w:rFonts w:ascii="Times New Roman" w:hAnsi="Times New Roman"/>
          <w:b/>
          <w:i/>
          <w:sz w:val="20"/>
        </w:rPr>
        <w:t>(b)</w:t>
      </w:r>
    </w:p>
    <w:p>
      <w:pPr>
        <w:pStyle w:val="TextBody"/>
        <w:spacing w:before="120" w:after="283"/>
        <w:jc w:val="left"/>
        <w:rPr>
          <w:rFonts w:ascii="Times New Roman;serif" w:hAnsi="Times New Roman;serif"/>
          <w:b/>
          <w:i/>
          <w:sz w:val="20"/>
        </w:rPr>
      </w:pPr>
      <w:r>
        <w:rPr>
          <w:rFonts w:ascii="Times New Roman;serif" w:hAnsi="Times New Roman;serif"/>
          <w:b/>
          <w:i/>
          <w:sz w:val="20"/>
        </w:rPr>
        <w:t xml:space="preserve">Use of Estimates </w:t>
      </w:r>
    </w:p>
    <w:p>
      <w:pPr>
        <w:pStyle w:val="TextBody"/>
        <w:spacing w:before="120" w:after="0"/>
        <w:jc w:val="left"/>
        <w:rPr>
          <w:rFonts w:ascii="Times New Roman" w:hAnsi="Times New Roman"/>
          <w:sz w:val="20"/>
        </w:rPr>
      </w:pPr>
      <w:r>
        <w:rPr>
          <w:rFonts w:ascii="Times New Roman;serif" w:hAnsi="Times New Roman;serif"/>
          <w:b w:val="false"/>
          <w:sz w:val="20"/>
        </w:rPr>
        <w:t>The preparation of the Company’s unaudited condensed consolidated financial statements in conformity with U.S. GAAP requires management to make estimates and assumptions, which affect the reported amounts in the financial statements and accompanying notes. Actual results could differ from those estimates.</w:t>
      </w:r>
      <w:r>
        <w:rPr>
          <w:rFonts w:ascii="Times New Roman" w:hAnsi="Times New Roman"/>
          <w:sz w:val="20"/>
        </w:rPr>
        <w:t xml:space="preserve"> </w:t>
      </w:r>
    </w:p>
    <w:p>
      <w:pPr>
        <w:pStyle w:val="TextBody"/>
        <w:spacing w:before="120" w:after="0"/>
        <w:jc w:val="left"/>
        <w:rPr>
          <w:rFonts w:ascii="Times New Roman" w:hAnsi="Times New Roman"/>
          <w:b/>
          <w:i/>
          <w:sz w:val="20"/>
        </w:rPr>
      </w:pPr>
      <w:r>
        <w:rPr>
          <w:rFonts w:ascii="Times New Roman" w:hAnsi="Times New Roman"/>
          <w:b/>
          <w:i/>
          <w:sz w:val="20"/>
        </w:rPr>
        <w:t>(c)</w:t>
      </w:r>
    </w:p>
    <w:p>
      <w:pPr>
        <w:pStyle w:val="TextBody"/>
        <w:spacing w:before="120" w:after="283"/>
        <w:jc w:val="left"/>
        <w:rPr>
          <w:rFonts w:ascii="Times New Roman;serif" w:hAnsi="Times New Roman;serif"/>
          <w:sz w:val="20"/>
        </w:rPr>
      </w:pPr>
      <w:r>
        <w:rPr>
          <w:rFonts w:ascii="Times New Roman;serif" w:hAnsi="Times New Roman;serif"/>
          <w:b/>
          <w:i/>
          <w:sz w:val="20"/>
        </w:rPr>
        <w:t>Business Combinations</w:t>
      </w:r>
      <w:r>
        <w:rPr>
          <w:rFonts w:ascii="Times New Roman;serif" w:hAnsi="Times New Roman;serif"/>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consolidated statements of operations. Acquisition costs, such as legal and consulting fees, are expensed as incurred.</w:t>
      </w:r>
      <w:r>
        <w:rPr>
          <w:rFonts w:ascii="Times New Roman" w:hAnsi="Times New Roman"/>
          <w:sz w:val="20"/>
        </w:rPr>
        <w:t xml:space="preserve"> </w:t>
      </w:r>
    </w:p>
    <w:p>
      <w:pPr>
        <w:pStyle w:val="TextBody"/>
        <w:spacing w:before="120" w:after="0"/>
        <w:jc w:val="left"/>
        <w:rPr>
          <w:rFonts w:ascii="Times New Roman" w:hAnsi="Times New Roman"/>
          <w:b/>
          <w:i/>
          <w:sz w:val="20"/>
        </w:rPr>
      </w:pPr>
      <w:r>
        <w:rPr>
          <w:rFonts w:ascii="Times New Roman" w:hAnsi="Times New Roman"/>
          <w:b/>
          <w:i/>
          <w:sz w:val="20"/>
        </w:rPr>
        <w:t>(d)</w:t>
      </w:r>
    </w:p>
    <w:p>
      <w:pPr>
        <w:pStyle w:val="TextBody"/>
        <w:spacing w:before="120" w:after="283"/>
        <w:jc w:val="left"/>
        <w:rPr>
          <w:rFonts w:ascii="Times New Roman;serif" w:hAnsi="Times New Roman;serif"/>
          <w:sz w:val="20"/>
        </w:rPr>
      </w:pPr>
      <w:r>
        <w:rPr>
          <w:rFonts w:ascii="Times New Roman;serif" w:hAnsi="Times New Roman;serif"/>
          <w:b/>
          <w:i/>
          <w:sz w:val="20"/>
        </w:rPr>
        <w:t>Fair Value Measurements and Financial Instruments</w:t>
      </w:r>
      <w:r>
        <w:rPr>
          <w:rFonts w:ascii="Times New Roman;serif" w:hAnsi="Times New Roman;serif"/>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Level 1 - Observable inputs that reflect quoted prices (unadjusted) for identical assets or liabilities in active markets.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Level 3 - Unobservable inputs reflecting the Company’s own assumptions incorporated in valuation techniques used to determine fair value. These assumptions are required to be consistent with market participant assumptions that are reasonably available.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carrying amounts of certain of the Company’s financial instruments, which include cash and cash equivalents, accounts receivable, prepaid expenses and other assets, accounts payable, accrued expenses and contract liabilities approximate their fair values due to their short maturities. The Company's marketable securities are recorded at fair value.</w:t>
      </w:r>
      <w:r>
        <w:rPr>
          <w:rFonts w:ascii="Times New Roman" w:hAnsi="Times New Roman"/>
          <w:sz w:val="20"/>
        </w:rPr>
        <w:t xml:space="preserve"> </w:t>
      </w:r>
    </w:p>
    <w:p>
      <w:pPr>
        <w:pStyle w:val="TextBody"/>
        <w:spacing w:before="120" w:after="0"/>
        <w:jc w:val="left"/>
        <w:rPr>
          <w:rFonts w:ascii="Times New Roman" w:hAnsi="Times New Roman"/>
          <w:b/>
          <w:i/>
          <w:sz w:val="20"/>
        </w:rPr>
      </w:pPr>
      <w:r>
        <w:rPr>
          <w:rFonts w:ascii="Times New Roman" w:hAnsi="Times New Roman"/>
          <w:b/>
          <w:i/>
          <w:sz w:val="20"/>
        </w:rPr>
        <w:t>(e)</w:t>
      </w:r>
    </w:p>
    <w:p>
      <w:pPr>
        <w:pStyle w:val="TextBody"/>
        <w:spacing w:before="120" w:after="283"/>
        <w:jc w:val="left"/>
        <w:rPr>
          <w:rFonts w:ascii="Times New Roman;serif" w:hAnsi="Times New Roman;serif"/>
          <w:b/>
          <w:i/>
          <w:sz w:val="20"/>
        </w:rPr>
      </w:pPr>
      <w:r>
        <w:rPr>
          <w:rFonts w:ascii="Times New Roman;serif" w:hAnsi="Times New Roman;serif"/>
          <w:b/>
          <w:i/>
          <w:sz w:val="20"/>
        </w:rPr>
        <w:t xml:space="preserve">Marketable Securities </w:t>
      </w:r>
    </w:p>
    <w:p>
      <w:pPr>
        <w:pStyle w:val="TextBody"/>
        <w:spacing w:before="120" w:after="0"/>
        <w:jc w:val="left"/>
        <w:rPr>
          <w:rFonts w:ascii="Times New Roman" w:hAnsi="Times New Roman"/>
          <w:sz w:val="20"/>
        </w:rPr>
      </w:pPr>
      <w:r>
        <w:rPr>
          <w:rFonts w:ascii="Times New Roman;serif" w:hAnsi="Times New Roman;serif"/>
          <w:b w:val="false"/>
          <w:sz w:val="20"/>
        </w:rPr>
        <w:t>The Company measures its marketable securities at fair value and recognizes any changes in fair value in net loss. Our marketable securities represent our investments in a short term bond fund and/ or money market fund. We consider our marketable securities as available for use in current operations, and therefore classify these securities as current assets on the Condensed Consolidated Balance Sheets. As of March 31, 2023 and December 31, 2022, the Company's marketable securities of $256.5</w:t>
      </w:r>
      <w:r>
        <w:rPr>
          <w:rFonts w:ascii="Times New Roman" w:hAnsi="Times New Roman"/>
          <w:sz w:val="20"/>
        </w:rPr>
        <w:t xml:space="preserve"> </w:t>
      </w:r>
      <w:r>
        <w:rPr>
          <w:rFonts w:ascii="Times New Roman;serif" w:hAnsi="Times New Roman;serif"/>
          <w:b w:val="false"/>
          <w:sz w:val="20"/>
        </w:rPr>
        <w:t>million and $253.8</w:t>
      </w:r>
      <w:r>
        <w:rPr>
          <w:rFonts w:ascii="Times New Roman" w:hAnsi="Times New Roman"/>
          <w:sz w:val="20"/>
        </w:rPr>
        <w:t xml:space="preserve"> </w:t>
      </w:r>
      <w:r>
        <w:rPr>
          <w:rFonts w:ascii="Times New Roman;serif" w:hAnsi="Times New Roman;serif"/>
          <w:b w:val="false"/>
          <w:sz w:val="20"/>
        </w:rPr>
        <w:t>million respectively, were recorded at fair value, within Level 1 of the fair value hierarchy. The fair value of the Company’s Level 1 financial instruments is based on quoted prices in active markets, total fair value is the published market price per</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unit multiplied by the number of units held without consideration of transaction costs, discounts or blockage factors. No</w:t>
      </w:r>
      <w:r>
        <w:rPr>
          <w:rFonts w:ascii="Times New Roman" w:hAnsi="Times New Roman"/>
          <w:sz w:val="20"/>
        </w:rPr>
        <w:t xml:space="preserve"> </w:t>
      </w:r>
      <w:r>
        <w:rPr>
          <w:rFonts w:ascii="Times New Roman;serif" w:hAnsi="Times New Roman;serif"/>
          <w:b w:val="false"/>
          <w:sz w:val="20"/>
        </w:rPr>
        <w:t>losses were recorded during the three months ended March 31, 2023. During the three months ended March 31, 2022, the Company recorded losses of $0.9</w:t>
      </w:r>
      <w:r>
        <w:rPr>
          <w:rFonts w:ascii="Times New Roman" w:hAnsi="Times New Roman"/>
          <w:sz w:val="20"/>
        </w:rPr>
        <w:t xml:space="preserve"> </w:t>
      </w:r>
      <w:r>
        <w:rPr>
          <w:rFonts w:ascii="Times New Roman;serif" w:hAnsi="Times New Roman;serif"/>
          <w:b w:val="false"/>
          <w:sz w:val="20"/>
        </w:rPr>
        <w:t>million related to these securities, which is recorded in other expenses on the Condensed Consolidated Statements of Operations and Comprehensive Loss.</w:t>
      </w:r>
      <w:r>
        <w:rPr>
          <w:rFonts w:ascii="Times New Roman" w:hAnsi="Times New Roman"/>
          <w:sz w:val="20"/>
        </w:rPr>
        <w:t xml:space="preserve"> </w:t>
      </w:r>
    </w:p>
    <w:p>
      <w:pPr>
        <w:pStyle w:val="TextBody"/>
        <w:spacing w:before="120" w:after="0"/>
        <w:jc w:val="left"/>
        <w:rPr>
          <w:rFonts w:ascii="Times New Roman" w:hAnsi="Times New Roman"/>
          <w:b/>
          <w:i/>
          <w:sz w:val="20"/>
        </w:rPr>
      </w:pPr>
      <w:r>
        <w:rPr>
          <w:rFonts w:ascii="Times New Roman" w:hAnsi="Times New Roman"/>
          <w:b/>
          <w:i/>
          <w:sz w:val="20"/>
        </w:rPr>
        <w:t>(f)</w:t>
      </w:r>
    </w:p>
    <w:p>
      <w:pPr>
        <w:pStyle w:val="TextBody"/>
        <w:spacing w:before="120" w:after="283"/>
        <w:jc w:val="left"/>
        <w:rPr>
          <w:rFonts w:ascii="Times New Roman;serif" w:hAnsi="Times New Roman;serif"/>
          <w:sz w:val="20"/>
        </w:rPr>
      </w:pPr>
      <w:r>
        <w:rPr>
          <w:rFonts w:ascii="Times New Roman;serif" w:hAnsi="Times New Roman;serif"/>
          <w:b/>
          <w:i/>
          <w:sz w:val="20"/>
        </w:rPr>
        <w:t>Accounts Receivable</w:t>
      </w:r>
      <w:r>
        <w:rPr>
          <w:rFonts w:ascii="Times New Roman;serif" w:hAnsi="Times New Roman;serif"/>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Accounts receivable are stated at the amount the Company expects to collect from outstanding balances. Our accounts receivable do not bear interest. Amounts collected on accounts receivable are included in net cash used in operating activities in the Condensed Consolidated Statements of Cash Flows. For buyers for which Xometry provides credit, the Company performs credit inquiries, including reference checks, and queries credit ratings services and other publicly available information. Management provides for probable uncollectible amounts through a provision for bad debt expense and an adjustment to a valuation allowance based on the age of the outstanding amounts, each customer’s expected ability to pay and collection history, current market conditions, and reasonable and supportable forecasts of future economic conditions to determine whether the allowance is appropriate. The Company reviews its valuation allowance monthly. Past due balances over 90 days and over a specified amount are reviewed individually for collectability. Balances that are still outstanding after management has used reasonable collection efforts are written off through a charge to the valuation allowance and a credit to accounts receivable.</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Allowance For Credit Losses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allowance for credit losses related to accounts receivable and changes were as follows (in thousands):</w:t>
      </w:r>
    </w:p>
    <w:p>
      <w:pPr>
        <w:pStyle w:val="TextBody"/>
        <w:spacing w:before="120" w:after="0"/>
        <w:jc w:val="left"/>
        <w:rPr/>
      </w:pPr>
      <w:r>
        <w:rPr/>
        <w:t> </w:t>
      </w:r>
    </w:p>
    <w:tbl>
      <w:tblPr>
        <w:tblW w:w="7529" w:type="dxa"/>
        <w:jc w:val="left"/>
        <w:tblInd w:w="0" w:type="dxa"/>
        <w:tblCellMar>
          <w:top w:w="28" w:type="dxa"/>
          <w:left w:w="28" w:type="dxa"/>
          <w:bottom w:w="28" w:type="dxa"/>
          <w:right w:w="28" w:type="dxa"/>
        </w:tblCellMar>
      </w:tblPr>
      <w:tblGrid>
        <w:gridCol w:w="5296"/>
        <w:gridCol w:w="146"/>
        <w:gridCol w:w="211"/>
        <w:gridCol w:w="571"/>
        <w:gridCol w:w="166"/>
        <w:gridCol w:w="146"/>
        <w:gridCol w:w="211"/>
        <w:gridCol w:w="571"/>
        <w:gridCol w:w="211"/>
      </w:tblGrid>
      <w:tr>
        <w:trPr/>
        <w:tc>
          <w:tcPr>
            <w:tcW w:w="52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2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52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Allowance for credit losses</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beginning of year, January 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809</w:t>
            </w:r>
          </w:p>
        </w:tc>
        <w:tc>
          <w:tcPr>
            <w:tcW w:w="211" w:type="dxa"/>
            <w:tcBorders/>
            <w:shd w:fill="auto" w:val="clear"/>
            <w:vAlign w:val="center"/>
          </w:tcPr>
          <w:p>
            <w:pPr>
              <w:pStyle w:val="TableContents"/>
              <w:spacing w:before="0" w:after="0"/>
              <w:ind w:left="0" w:right="0" w:hanging="0"/>
              <w:jc w:val="lef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Charge to provision accounts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1,324</w:t>
            </w:r>
          </w:p>
        </w:tc>
        <w:tc>
          <w:tcPr>
            <w:tcW w:w="211" w:type="dxa"/>
            <w:tcBorders/>
            <w:shd w:fill="auto" w:val="clear"/>
            <w:vAlign w:val="center"/>
          </w:tcPr>
          <w:p>
            <w:pPr>
              <w:pStyle w:val="TableContents"/>
              <w:spacing w:before="0" w:after="0"/>
              <w:ind w:left="0" w:right="0" w:hanging="0"/>
              <w:jc w:val="lef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Recoveries or 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period end, March 31 and December 31,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1,988</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 w:hAnsi="Times New Roman"/>
          <w:b/>
          <w:i/>
          <w:sz w:val="20"/>
        </w:rPr>
      </w:pPr>
      <w:r>
        <w:rPr>
          <w:rFonts w:ascii="Times New Roman" w:hAnsi="Times New Roman"/>
          <w:b/>
          <w:i/>
          <w:sz w:val="20"/>
        </w:rPr>
        <w:t>(g)</w:t>
      </w:r>
    </w:p>
    <w:p>
      <w:pPr>
        <w:pStyle w:val="TextBody"/>
        <w:spacing w:before="120" w:after="283"/>
        <w:jc w:val="left"/>
        <w:rPr>
          <w:rFonts w:ascii="Times New Roman;serif" w:hAnsi="Times New Roman;serif"/>
          <w:sz w:val="20"/>
        </w:rPr>
      </w:pPr>
      <w:r>
        <w:rPr>
          <w:rFonts w:ascii="Times New Roman;serif" w:hAnsi="Times New Roman;serif"/>
          <w:b/>
          <w:i/>
          <w:sz w:val="20"/>
        </w:rPr>
        <w:t>Property and Equipment and Long-Lived Assets</w:t>
      </w:r>
      <w:r>
        <w:rPr>
          <w:rFonts w:ascii="Times New Roman;serif" w:hAnsi="Times New Roman;serif"/>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Property and equipment are stated at cost. Equipment under finance leases is stated at the present value of minimum lease payments. Depreciation is calculated on the straight-line method over the estimated useful life of the assets, which range from three to seven years, or in the case of leasehold improvements, over the shorter of the remaining lease term or the useful life of the asset.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$3.5</w:t>
      </w:r>
      <w:r>
        <w:rPr>
          <w:rFonts w:ascii="Times New Roman" w:hAnsi="Times New Roman"/>
          <w:sz w:val="20"/>
        </w:rPr>
        <w:t xml:space="preserve"> </w:t>
      </w:r>
      <w:r>
        <w:rPr>
          <w:rFonts w:ascii="Times New Roman;serif" w:hAnsi="Times New Roman;serif"/>
          <w:b w:val="false"/>
          <w:sz w:val="20"/>
        </w:rPr>
        <w:t>million for the three months ended March 31, 2023 and $11.5</w:t>
      </w:r>
      <w:r>
        <w:rPr>
          <w:rFonts w:ascii="Times New Roman" w:hAnsi="Times New Roman"/>
          <w:sz w:val="20"/>
        </w:rPr>
        <w:t xml:space="preserve"> </w:t>
      </w:r>
      <w:r>
        <w:rPr>
          <w:rFonts w:ascii="Times New Roman;serif" w:hAnsi="Times New Roman;serif"/>
          <w:b w:val="false"/>
          <w:sz w:val="20"/>
        </w:rPr>
        <w:t>million for the year ended December 31, 2022.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r>
        <w:rPr>
          <w:rFonts w:ascii="Times New Roman" w:hAnsi="Times New Roman"/>
          <w:sz w:val="20"/>
        </w:rPr>
        <w:t xml:space="preserve"> </w:t>
      </w:r>
    </w:p>
    <w:p>
      <w:pPr>
        <w:pStyle w:val="TextBody"/>
        <w:spacing w:before="120" w:after="0"/>
        <w:jc w:val="left"/>
        <w:rPr>
          <w:rFonts w:ascii="Times New Roman" w:hAnsi="Times New Roman"/>
          <w:b/>
          <w:i/>
          <w:sz w:val="20"/>
        </w:rPr>
      </w:pPr>
      <w:r>
        <w:rPr>
          <w:rFonts w:ascii="Times New Roman" w:hAnsi="Times New Roman"/>
          <w:b/>
          <w:i/>
          <w:sz w:val="20"/>
        </w:rPr>
        <w:t>(h)</w:t>
      </w:r>
    </w:p>
    <w:p>
      <w:pPr>
        <w:pStyle w:val="TextBody"/>
        <w:spacing w:before="120" w:after="283"/>
        <w:jc w:val="left"/>
        <w:rPr>
          <w:rFonts w:ascii="Times New Roman;serif" w:hAnsi="Times New Roman;serif"/>
          <w:sz w:val="20"/>
        </w:rPr>
      </w:pPr>
      <w:r>
        <w:rPr>
          <w:rFonts w:ascii="Times New Roman;serif" w:hAnsi="Times New Roman;serif"/>
          <w:b/>
          <w:i/>
          <w:sz w:val="20"/>
        </w:rPr>
        <w:t>Goodwill</w:t>
      </w:r>
      <w:r>
        <w:rPr>
          <w:rFonts w:ascii="Times New Roman;serif" w:hAnsi="Times New Roman;serif"/>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Goodwill represents the excess purchase price over the estimated fair value of net assets acquired in a business combination. As of March 31, 2023,</w:t>
      </w:r>
      <w:r>
        <w:rPr>
          <w:rFonts w:ascii="Times New Roman" w:hAnsi="Times New Roman"/>
          <w:sz w:val="20"/>
        </w:rPr>
        <w:t xml:space="preserve"> </w:t>
      </w:r>
      <w:r>
        <w:rPr>
          <w:rFonts w:ascii="Times New Roman;serif" w:hAnsi="Times New Roman;serif"/>
          <w:b w:val="false"/>
          <w:sz w:val="20"/>
        </w:rPr>
        <w:t>the Company's goodwill is attributable to both the U.S. and International reporting units. As of December 31, 2022, the Company's goodwill is attributable to the U.S. reporting unit. Goodwill is not amortized. The Company tests goodwill for impairment annually in the fourth quarter, or more frequently, if events or changes in circumstances indicate that the carrying value of a reporting unit, including goodwill, might be impaired.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testing for goodwill impairment, we first assess qualitative factors to determine whether the existence of events or circumstances leads to a determination that it is more likely than not that the fair value of a reporting unit is less than its carrying amount. These qualitative factors assessed may include the following: (i) significant changes in the manner of our use of the assets or the strategy of our overall business, (ii) certain restructuring initiatives, (iii) significant negative industry or economic trends and (iv)</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significant decline in our share price for a sustained period. If, after assessing the totality of events or circumstances, we determine it is not more likely than not that the fair value of a reporting unit is less than its carrying amount, then additional impairment testing is not required. However, if we conclude otherwise, we proceed to the quantitative assessment.</w:t>
      </w:r>
      <w:r>
        <w:rPr>
          <w:rFonts w:ascii="Times New Roman" w:hAnsi="Times New Roman"/>
          <w:sz w:val="20"/>
        </w:rPr>
        <w:t xml:space="preserve"> </w:t>
      </w:r>
    </w:p>
    <w:p>
      <w:pPr>
        <w:pStyle w:val="TextBody"/>
        <w:spacing w:before="120" w:after="0"/>
        <w:jc w:val="left"/>
        <w:rPr>
          <w:rFonts w:ascii="Times New Roman" w:hAnsi="Times New Roman"/>
          <w:b/>
          <w:i/>
          <w:sz w:val="20"/>
        </w:rPr>
      </w:pPr>
      <w:r>
        <w:rPr>
          <w:rFonts w:ascii="Times New Roman" w:hAnsi="Times New Roman"/>
          <w:b/>
          <w:i/>
          <w:sz w:val="20"/>
        </w:rPr>
        <w:t>(i)</w:t>
      </w:r>
    </w:p>
    <w:p>
      <w:pPr>
        <w:pStyle w:val="TextBody"/>
        <w:spacing w:before="120" w:after="283"/>
        <w:jc w:val="left"/>
        <w:rPr>
          <w:rFonts w:ascii="Times New Roman;serif" w:hAnsi="Times New Roman;serif"/>
          <w:b/>
          <w:i/>
          <w:sz w:val="20"/>
        </w:rPr>
      </w:pPr>
      <w:r>
        <w:rPr>
          <w:rFonts w:ascii="Times New Roman;serif" w:hAnsi="Times New Roman;serif"/>
          <w:b/>
          <w:i/>
          <w:sz w:val="20"/>
        </w:rPr>
        <w:t xml:space="preserve">Revenue </w:t>
      </w:r>
    </w:p>
    <w:p>
      <w:pPr>
        <w:pStyle w:val="TextBody"/>
        <w:spacing w:before="120" w:after="0"/>
        <w:jc w:val="left"/>
        <w:rPr>
          <w:rFonts w:ascii="Times New Roman" w:hAnsi="Times New Roman"/>
          <w:sz w:val="20"/>
        </w:rPr>
      </w:pPr>
      <w:r>
        <w:rPr>
          <w:rFonts w:ascii="Times New Roman;serif" w:hAnsi="Times New Roman;serif"/>
          <w:b w:val="false"/>
          <w:sz w:val="20"/>
        </w:rPr>
        <w:t xml:space="preserve">The Company derives the majority of its marketplace revenue in the U.S. and Europe from the sale of parts and assemblies fulfilled using a vast network of suppliers. The Company recognizes revenue from the sales to our customers pursuant to Financial Accounting Standard Board’s (“FASB”) Accounting Standards Codification (“ASC”) </w:t>
      </w:r>
      <w:r>
        <w:rPr>
          <w:rFonts w:ascii="Times New Roman;serif" w:hAnsi="Times New Roman;serif"/>
          <w:b w:val="false"/>
          <w:i/>
          <w:sz w:val="20"/>
        </w:rPr>
        <w:t>Topic 606, Revenue from Contracts with Customers</w:t>
      </w:r>
      <w:r>
        <w:rPr>
          <w:rFonts w:ascii="Times New Roman" w:hAnsi="Times New Roman"/>
          <w:sz w:val="20"/>
        </w:rPr>
        <w:t xml:space="preserve"> </w:t>
      </w:r>
      <w:r>
        <w:rPr>
          <w:rFonts w:ascii="Times New Roman;serif" w:hAnsi="Times New Roman;serif"/>
          <w:b w:val="false"/>
          <w:sz w:val="20"/>
        </w:rPr>
        <w:t>(“ASC 606”).</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The Company determines that a contract exists between the Company and the customer when the customer accepts the quote and places the order, all of which are governed by the Company’s standard terms and conditions or other agreed terms with Xometry’s buyers.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have transferred.</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customers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suppliers and the Company has margin risk on all of Xometry’s sales, (iii) the Company has discretion in determining how to fulfill each order, including selecting the supplier and (iv) Xometry bears certain risk for product quality to the extent the customer is not satisfied with the final product.</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Xometry also derives revenue from its supplier services which is a suite of services offered to our suppliers. Revenue also includes the sale of marketing services which includes advertising. This revenue is generally recognized as control is transferred to the customer, in an amount reflecting the consideration we expect to be entitled to in exchange for such product or service. From time to time,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Consideration is typically determined based on a fixed unit price for the quantity of product transferred. For purchase orders involving multiple performance obligations, the transaction price is allocated to each performance obligation based on relative standalone selling price, and recognized as revenue when each individual product or service is transferred to the customer.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Revenue is shown net of estimated returns, refunds, and allowances. At March 31, 2023 and December 31, 2022, the Company has a provision for estimated returns, refunds or allowances of $0.1</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Sales tax collected from customers and remitted to governmental authorities is excluded from 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Contract Liabilities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Contract liabilities are primarily derived from payments received in advance or at the time an order is placed, for which the associated performance obligations have not been satisfied and revenue has not been recognized based on the Company’s revenue recognition criteria described above.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is presents contract liabilities as of December 31, 2022 and March 31, 2023 (in thousands):</w:t>
      </w:r>
      <w:r>
        <w:rPr>
          <w:rFonts w:ascii="Times New Roman" w:hAnsi="Times New Roman"/>
          <w:sz w:val="20"/>
        </w:rPr>
        <w:t xml:space="preserve"> </w:t>
      </w:r>
    </w:p>
    <w:p>
      <w:pPr>
        <w:pStyle w:val="TextBody"/>
        <w:spacing w:before="120" w:after="0"/>
        <w:jc w:val="left"/>
        <w:rPr/>
      </w:pPr>
      <w:r>
        <w:rPr/>
        <w:t> </w:t>
      </w:r>
    </w:p>
    <w:tbl>
      <w:tblPr>
        <w:tblW w:w="4770" w:type="dxa"/>
        <w:jc w:val="left"/>
        <w:tblInd w:w="0" w:type="dxa"/>
        <w:tblCellMar>
          <w:top w:w="28" w:type="dxa"/>
          <w:left w:w="28" w:type="dxa"/>
          <w:bottom w:w="28" w:type="dxa"/>
          <w:right w:w="28" w:type="dxa"/>
        </w:tblCellMar>
      </w:tblPr>
      <w:tblGrid>
        <w:gridCol w:w="3466"/>
        <w:gridCol w:w="146"/>
        <w:gridCol w:w="211"/>
        <w:gridCol w:w="736"/>
        <w:gridCol w:w="211"/>
      </w:tblGrid>
      <w:tr>
        <w:trPr/>
        <w:tc>
          <w:tcPr>
            <w:tcW w:w="3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Rollforward of contract liabilities: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 at December 31, 2022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8,509</w:t>
            </w:r>
          </w:p>
        </w:tc>
        <w:tc>
          <w:tcPr>
            <w:tcW w:w="21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recognized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(51,287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Payments received in advance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52,731</w:t>
            </w:r>
          </w:p>
        </w:tc>
        <w:tc>
          <w:tcPr>
            <w:tcW w:w="21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Acquired contract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 at March 31, 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9,974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During the three months ended March 31, 2023, the Company recognized approximately $8.0</w:t>
      </w:r>
      <w:r>
        <w:rPr>
          <w:rFonts w:ascii="Times New Roman" w:hAnsi="Times New Roman"/>
          <w:sz w:val="20"/>
        </w:rPr>
        <w:t xml:space="preserve"> </w:t>
      </w:r>
      <w:r>
        <w:rPr>
          <w:rFonts w:ascii="Times New Roman;serif" w:hAnsi="Times New Roman;serif"/>
          <w:b w:val="false"/>
          <w:sz w:val="20"/>
        </w:rPr>
        <w:t>million of revenue related to its contract liabilities at December 31, 2022. During the three months ended March 31, 2022, the Company recognized approximately $7.2</w:t>
      </w:r>
      <w:r>
        <w:rPr>
          <w:rFonts w:ascii="Times New Roman" w:hAnsi="Times New Roman"/>
          <w:sz w:val="20"/>
        </w:rPr>
        <w:t xml:space="preserve"> </w:t>
      </w:r>
      <w:r>
        <w:rPr>
          <w:rFonts w:ascii="Times New Roman;serif" w:hAnsi="Times New Roman;serif"/>
          <w:b w:val="false"/>
          <w:sz w:val="20"/>
        </w:rPr>
        <w:t>million of revenue related to its contract liabilities at December 31, 2021.</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i/>
          <w:sz w:val="20"/>
        </w:rPr>
        <w:t>Sales Contract Acquisition Costs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Company’s incremental costs to obtain a contract may include a sales commission which is generally determined on a per order basis. For contracts in excess of one year, the Company amortizes such costs on a straight-line basis over the average customer life of two years</w:t>
      </w:r>
      <w:r>
        <w:rPr>
          <w:rFonts w:ascii="Times New Roman" w:hAnsi="Times New Roman"/>
          <w:sz w:val="20"/>
        </w:rPr>
        <w:t xml:space="preserve"> </w:t>
      </w:r>
      <w:r>
        <w:rPr>
          <w:rFonts w:ascii="Times New Roman;serif" w:hAnsi="Times New Roman;serif"/>
          <w:b w:val="false"/>
          <w:sz w:val="20"/>
        </w:rPr>
        <w:t>for new customers and over the renewal period for existing customers which is generally one year. Sales commissions are included in Xometry’s sales and marketing expenses in the Condensed Consolidated Statements of Operations and Comprehensive Loss. For the periods ended March 31, 2023 and 2022, we recognized approximately $2.0</w:t>
      </w:r>
      <w:r>
        <w:rPr>
          <w:rFonts w:ascii="Times New Roman" w:hAnsi="Times New Roman"/>
          <w:sz w:val="20"/>
        </w:rPr>
        <w:t xml:space="preserve"> </w:t>
      </w:r>
      <w:r>
        <w:rPr>
          <w:rFonts w:ascii="Times New Roman;serif" w:hAnsi="Times New Roman;serif"/>
          <w:b w:val="false"/>
          <w:sz w:val="20"/>
        </w:rPr>
        <w:t>million and $2.2</w:t>
      </w:r>
      <w:r>
        <w:rPr>
          <w:rFonts w:ascii="Times New Roman" w:hAnsi="Times New Roman"/>
          <w:sz w:val="20"/>
        </w:rPr>
        <w:t xml:space="preserve"> </w:t>
      </w:r>
      <w:r>
        <w:rPr>
          <w:rFonts w:ascii="Times New Roman;serif" w:hAnsi="Times New Roman;serif"/>
          <w:b w:val="false"/>
          <w:sz w:val="20"/>
        </w:rPr>
        <w:t>million, respectively of amortization related to deferred sales commissions. As of March 31, 2023 and December 31, 2022, the Company had deferred sales contract acquisition costs of $4.3</w:t>
      </w:r>
      <w:r>
        <w:rPr>
          <w:rFonts w:ascii="Times New Roman" w:hAnsi="Times New Roman"/>
          <w:sz w:val="20"/>
        </w:rPr>
        <w:t xml:space="preserve"> </w:t>
      </w:r>
      <w:r>
        <w:rPr>
          <w:rFonts w:ascii="Times New Roman;serif" w:hAnsi="Times New Roman;serif"/>
          <w:b w:val="false"/>
          <w:sz w:val="20"/>
        </w:rPr>
        <w:t>million and $3.3</w:t>
      </w:r>
      <w:r>
        <w:rPr>
          <w:rFonts w:ascii="Times New Roman" w:hAnsi="Times New Roman"/>
          <w:sz w:val="20"/>
        </w:rPr>
        <w:t xml:space="preserve"> </w:t>
      </w:r>
      <w:r>
        <w:rPr>
          <w:rFonts w:ascii="Times New Roman;serif" w:hAnsi="Times New Roman;serif"/>
          <w:b w:val="false"/>
          <w:sz w:val="20"/>
        </w:rPr>
        <w:t>million, respectively which is classified in other current assets on the Condensed Consolidated Balance Sheets.</w:t>
      </w:r>
      <w:r>
        <w:rPr>
          <w:rFonts w:ascii="Times New Roman" w:hAnsi="Times New Roman"/>
          <w:sz w:val="20"/>
        </w:rPr>
        <w:t xml:space="preserve"> </w:t>
      </w:r>
    </w:p>
    <w:p>
      <w:pPr>
        <w:pStyle w:val="TextBody"/>
        <w:spacing w:before="120" w:after="0"/>
        <w:jc w:val="left"/>
        <w:rPr>
          <w:rFonts w:ascii="Times New Roman" w:hAnsi="Times New Roman"/>
          <w:b/>
          <w:i/>
          <w:sz w:val="20"/>
        </w:rPr>
      </w:pPr>
      <w:r>
        <w:rPr>
          <w:rFonts w:ascii="Times New Roman" w:hAnsi="Times New Roman"/>
          <w:b/>
          <w:i/>
          <w:sz w:val="20"/>
        </w:rPr>
        <w:t>(j)</w:t>
      </w:r>
    </w:p>
    <w:p>
      <w:pPr>
        <w:pStyle w:val="TextBody"/>
        <w:spacing w:before="120" w:after="283"/>
        <w:jc w:val="left"/>
        <w:rPr>
          <w:rFonts w:ascii="Times New Roman;serif" w:hAnsi="Times New Roman;serif"/>
          <w:b/>
          <w:i/>
          <w:sz w:val="20"/>
        </w:rPr>
      </w:pPr>
      <w:r>
        <w:rPr>
          <w:rFonts w:ascii="Times New Roman;serif" w:hAnsi="Times New Roman;serif"/>
          <w:b/>
          <w:i/>
          <w:sz w:val="20"/>
        </w:rPr>
        <w:t>Cost of Revenue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Cost of revenue for supplier services primarily consists of internal and external production costs and website hosting.</w:t>
      </w:r>
    </w:p>
    <w:p>
      <w:pPr>
        <w:pStyle w:val="TextBody"/>
        <w:spacing w:before="120" w:after="0"/>
        <w:jc w:val="left"/>
        <w:rPr>
          <w:rFonts w:ascii="Times New Roman" w:hAnsi="Times New Roman"/>
          <w:b/>
          <w:i/>
          <w:sz w:val="20"/>
        </w:rPr>
      </w:pPr>
      <w:r>
        <w:rPr>
          <w:rFonts w:ascii="Times New Roman" w:hAnsi="Times New Roman"/>
          <w:b/>
          <w:i/>
          <w:sz w:val="20"/>
        </w:rPr>
        <w:t>(k)</w:t>
      </w:r>
    </w:p>
    <w:p>
      <w:pPr>
        <w:pStyle w:val="TextBody"/>
        <w:spacing w:before="120" w:after="283"/>
        <w:jc w:val="left"/>
        <w:rPr>
          <w:rFonts w:ascii="Times New Roman;serif" w:hAnsi="Times New Roman;serif"/>
          <w:sz w:val="20"/>
        </w:rPr>
      </w:pPr>
      <w:r>
        <w:rPr>
          <w:rFonts w:ascii="Times New Roman;serif" w:hAnsi="Times New Roman;serif"/>
          <w:b/>
          <w:i/>
          <w:sz w:val="20"/>
        </w:rPr>
        <w:t>Leases</w:t>
      </w:r>
      <w:r>
        <w:rPr>
          <w:rFonts w:ascii="Times New Roman;serif" w:hAnsi="Times New Roman;serif"/>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determines if an arrangement contains a lease and the classification of that lease, if applicable, at its inception. Operating leases are included in operating lease right-of-use ("ROU") assets, operating lease liabilities and operating lease liabilities, net of current portion in the Condensed Consolidated Balance Sheets. The Company has finance leases as detailed in the Long-Lived Assets section above. For leases with terms of twelve months or less, the Company does not recognize ROU assets or lease liabilities on the Condensed Consolidated Balance Sheets. Additionally, the Company elected to use the practical expedient to not separate lease and non-lease components for leases of real estate, meaning that for these leases, the non-lease components are included in the associated ROU asset and lease liability balances on the Company’s Condensed Consolidated Balance Sheets.</w:t>
      </w:r>
      <w:r>
        <w:rPr>
          <w:rFonts w:ascii="Times New Roman" w:hAnsi="Times New Roman"/>
          <w:sz w:val="20"/>
        </w:rPr>
        <w:t xml:space="preserve"> </w:t>
      </w:r>
    </w:p>
    <w:p>
      <w:pPr>
        <w:pStyle w:val="TextBody"/>
        <w:spacing w:before="12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Lease expense is recognized on a straight-line basis over the term of the lease.</w:t>
      </w:r>
      <w:r>
        <w:rPr>
          <w:rFonts w:ascii="Times New Roman" w:hAnsi="Times New Roman"/>
          <w:sz w:val="20"/>
        </w:rPr>
        <w:t xml:space="preserve"> </w:t>
      </w:r>
    </w:p>
    <w:p>
      <w:pPr>
        <w:pStyle w:val="TextBody"/>
        <w:spacing w:before="120" w:after="0"/>
        <w:jc w:val="left"/>
        <w:rPr>
          <w:rFonts w:ascii="Times New Roman" w:hAnsi="Times New Roman"/>
          <w:b/>
          <w:i/>
          <w:sz w:val="20"/>
        </w:rPr>
      </w:pPr>
      <w:r>
        <w:rPr>
          <w:rFonts w:ascii="Times New Roman" w:hAnsi="Times New Roman"/>
          <w:b/>
          <w:i/>
          <w:sz w:val="20"/>
        </w:rPr>
        <w:t>(l)</w:t>
      </w:r>
    </w:p>
    <w:p>
      <w:pPr>
        <w:pStyle w:val="TextBody"/>
        <w:spacing w:before="120" w:after="283"/>
        <w:jc w:val="left"/>
        <w:rPr>
          <w:rFonts w:ascii="Times New Roman;serif" w:hAnsi="Times New Roman;serif"/>
          <w:b/>
          <w:i/>
          <w:sz w:val="20"/>
        </w:rPr>
      </w:pPr>
      <w:r>
        <w:rPr>
          <w:rFonts w:ascii="Times New Roman;serif" w:hAnsi="Times New Roman;serif"/>
          <w:b/>
          <w:i/>
          <w:sz w:val="20"/>
        </w:rPr>
        <w:t xml:space="preserve">Sales and Marketing </w:t>
      </w:r>
    </w:p>
    <w:p>
      <w:pPr>
        <w:pStyle w:val="TextBody"/>
        <w:spacing w:before="120" w:after="0"/>
        <w:jc w:val="left"/>
        <w:rPr>
          <w:rFonts w:ascii="Times New Roman" w:hAnsi="Times New Roman"/>
          <w:sz w:val="20"/>
        </w:rPr>
      </w:pPr>
      <w:r>
        <w:rPr>
          <w:rFonts w:ascii="Times New Roman;serif" w:hAnsi="Times New Roman;serif"/>
          <w:b w:val="false"/>
          <w:sz w:val="20"/>
        </w:rPr>
        <w:t>Sales and marketing expenses are expensed as incurred and include the costs of digital marketing strategies, branding costs and other advertising costs, certain depreciation and amortization expense, contract acquisition costs and compensation expenses, including stock-based compensation, to the Company’s sales and marketing employees. For the three months ended March 31, 2023 and 2022, the Company's advertising cost were $8.1</w:t>
      </w:r>
      <w:r>
        <w:rPr>
          <w:rFonts w:ascii="Times New Roman" w:hAnsi="Times New Roman"/>
          <w:sz w:val="20"/>
        </w:rPr>
        <w:t xml:space="preserve"> </w:t>
      </w:r>
      <w:r>
        <w:rPr>
          <w:rFonts w:ascii="Times New Roman;serif" w:hAnsi="Times New Roman;serif"/>
          <w:b w:val="false"/>
          <w:sz w:val="20"/>
        </w:rPr>
        <w:t>million and $7.1</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spacing w:before="120" w:after="0"/>
        <w:jc w:val="left"/>
        <w:rPr>
          <w:rFonts w:ascii="Times New Roman" w:hAnsi="Times New Roman"/>
          <w:b/>
          <w:i/>
          <w:sz w:val="20"/>
        </w:rPr>
      </w:pPr>
      <w:r>
        <w:rPr>
          <w:rFonts w:ascii="Times New Roman" w:hAnsi="Times New Roman"/>
          <w:b/>
          <w:i/>
          <w:sz w:val="20"/>
        </w:rPr>
        <w:t>(m)</w:t>
      </w:r>
    </w:p>
    <w:p>
      <w:pPr>
        <w:pStyle w:val="TextBody"/>
        <w:spacing w:before="120" w:after="283"/>
        <w:jc w:val="left"/>
        <w:rPr>
          <w:rFonts w:ascii="Times New Roman;serif" w:hAnsi="Times New Roman;serif"/>
          <w:b/>
          <w:i/>
          <w:sz w:val="20"/>
        </w:rPr>
      </w:pPr>
      <w:r>
        <w:rPr>
          <w:rFonts w:ascii="Times New Roman;serif" w:hAnsi="Times New Roman;serif"/>
          <w:b/>
          <w:i/>
          <w:sz w:val="20"/>
        </w:rPr>
        <w:t xml:space="preserve">Operations and Support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Operations and support expenses are the costs the Company incurs in support of the customers and suppliers on Xometry’s platforms which are provided by phone, email and chat for purposes of resolving customer and supplier related matters. These costs primarily consist of compensation expenses of the support staff, including stock-based compensation, certain depreciation and amortization expense and software costs used in delivering customer and supplier services. </w:t>
      </w:r>
    </w:p>
    <w:p>
      <w:pPr>
        <w:pStyle w:val="TextBody"/>
        <w:spacing w:before="120" w:after="0"/>
        <w:jc w:val="left"/>
        <w:rPr>
          <w:rFonts w:ascii="Times New Roman" w:hAnsi="Times New Roman"/>
          <w:b/>
          <w:i/>
          <w:sz w:val="20"/>
        </w:rPr>
      </w:pPr>
      <w:r>
        <w:rPr>
          <w:rFonts w:ascii="Times New Roman" w:hAnsi="Times New Roman"/>
          <w:b/>
          <w:i/>
          <w:sz w:val="20"/>
        </w:rPr>
        <w:t>(n)</w:t>
      </w:r>
    </w:p>
    <w:p>
      <w:pPr>
        <w:pStyle w:val="TextBody"/>
        <w:spacing w:before="120" w:after="283"/>
        <w:jc w:val="left"/>
        <w:rPr>
          <w:rFonts w:ascii="Times New Roman;serif" w:hAnsi="Times New Roman;serif"/>
          <w:sz w:val="20"/>
        </w:rPr>
      </w:pPr>
      <w:r>
        <w:rPr>
          <w:rFonts w:ascii="Times New Roman;serif" w:hAnsi="Times New Roman;serif"/>
          <w:b/>
          <w:i/>
          <w:sz w:val="20"/>
        </w:rPr>
        <w:t>Product Development</w:t>
      </w:r>
      <w:r>
        <w:rPr>
          <w:rFonts w:ascii="Times New Roman;serif" w:hAnsi="Times New Roman;serif"/>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Product development costs which are not eligible for capitalization are expensed as incurred. This account also includes compensation expenses, including stock-based compensation to the Company’s employees performing these functions and certain depreciation and amortization expense. </w:t>
      </w:r>
    </w:p>
    <w:p>
      <w:pPr>
        <w:pStyle w:val="TextBody"/>
        <w:spacing w:before="120" w:after="0"/>
        <w:jc w:val="left"/>
        <w:rPr>
          <w:rFonts w:ascii="Times New Roman" w:hAnsi="Times New Roman"/>
          <w:b/>
          <w:i/>
          <w:sz w:val="20"/>
        </w:rPr>
      </w:pPr>
      <w:r>
        <w:rPr>
          <w:rFonts w:ascii="Times New Roman" w:hAnsi="Times New Roman"/>
          <w:b/>
          <w:i/>
          <w:sz w:val="20"/>
        </w:rPr>
        <w:t>(o)</w:t>
      </w:r>
    </w:p>
    <w:p>
      <w:pPr>
        <w:pStyle w:val="TextBody"/>
        <w:spacing w:before="120" w:after="283"/>
        <w:jc w:val="left"/>
        <w:rPr>
          <w:rFonts w:ascii="Times New Roman;serif" w:hAnsi="Times New Roman;serif"/>
          <w:sz w:val="20"/>
        </w:rPr>
      </w:pPr>
      <w:r>
        <w:rPr>
          <w:rFonts w:ascii="Times New Roman;serif" w:hAnsi="Times New Roman;serif"/>
          <w:b/>
          <w:i/>
          <w:sz w:val="20"/>
        </w:rPr>
        <w:t>General and Administrative</w:t>
      </w:r>
      <w:r>
        <w:rPr>
          <w:rFonts w:ascii="Times New Roman;serif" w:hAnsi="Times New Roman;serif"/>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General and administrative expenses primarily consist of compensation expenses, including stock-based compensation expenses, for executive, finance, legal and other administrative personnel, professional service fees and certain depreciation and amortization expense.</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b/>
          <w:i/>
          <w:sz w:val="20"/>
        </w:rPr>
      </w:pPr>
      <w:r>
        <w:rPr>
          <w:rFonts w:ascii="Times New Roman" w:hAnsi="Times New Roman"/>
          <w:b/>
          <w:i/>
          <w:sz w:val="20"/>
        </w:rPr>
        <w:t>(p)</w:t>
      </w:r>
    </w:p>
    <w:p>
      <w:pPr>
        <w:pStyle w:val="TextBody"/>
        <w:spacing w:before="120" w:after="283"/>
        <w:jc w:val="left"/>
        <w:rPr>
          <w:rFonts w:ascii="Times New Roman;serif" w:hAnsi="Times New Roman;serif"/>
          <w:sz w:val="20"/>
        </w:rPr>
      </w:pPr>
      <w:r>
        <w:rPr>
          <w:rFonts w:ascii="Times New Roman;serif" w:hAnsi="Times New Roman;serif"/>
          <w:b/>
          <w:i/>
          <w:sz w:val="20"/>
        </w:rPr>
        <w:t>Stock Based Compensation</w:t>
      </w:r>
      <w:r>
        <w:rPr>
          <w:rFonts w:ascii="Times New Roman;serif" w:hAnsi="Times New Roman;serif"/>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All stock-based compensation, including stock options and restricted stock units, are measured at the grant date fair value of the award. The Company estimates grant date fair value of stock options using the Black-Scholes option-pricing model. The fair value of stock options and restricted stock units is recognized as compensation expense on a straight-line basis over the requisite service period, which is typically four years. The fair value of the restricted stock units is determined using the fair value of the Company's Class A common stock on the date of grant. Forfeitures are recorded in the period in which they occur.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Black-Scholes model considers several variables and assumptions in estimating the fair value of stock-based awards.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These variables include: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expected annual dividend yield;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expected volatility over the expected term;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expected term;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risk free interest rate;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per share value of the underlying common stock;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exercise price. </w:t>
      </w:r>
    </w:p>
    <w:p>
      <w:pPr>
        <w:pStyle w:val="TextBody"/>
        <w:spacing w:before="120" w:after="0"/>
        <w:jc w:val="left"/>
        <w:rPr>
          <w:rFonts w:ascii="Times New Roman" w:hAnsi="Times New Roman"/>
          <w:sz w:val="20"/>
        </w:rPr>
      </w:pPr>
      <w:r>
        <w:rPr>
          <w:rFonts w:ascii="Times New Roman;serif" w:hAnsi="Times New Roman;serif"/>
          <w:b w:val="false"/>
          <w:sz w:val="20"/>
        </w:rPr>
        <w:t>For all stock options granted, the Company calculated the expected term using the simplified method for “plain vanilla” stock option awards. The risk-free interest rate is based on the yield available on U.S. Treasury issuances similar in duration to the expected term of the stock-based award. The Company estimates its expected share price volatility based on the historical volatility of publicly traded peer companies and/or its own volatility and expects to continue to do so until such time as it has adequate historical data regarding the volatility of its own traded share price. The Company utilized a dividend yield of zero, as it had no history or plan of declaring dividends on its common stock.</w:t>
      </w:r>
      <w:r>
        <w:rPr>
          <w:rFonts w:ascii="Times New Roman" w:hAnsi="Times New Roman"/>
          <w:sz w:val="20"/>
        </w:rPr>
        <w:t xml:space="preserve"> </w:t>
      </w:r>
    </w:p>
    <w:p>
      <w:pPr>
        <w:pStyle w:val="TextBody"/>
        <w:spacing w:before="120" w:after="0"/>
        <w:jc w:val="left"/>
        <w:rPr>
          <w:rFonts w:ascii="Times New Roman" w:hAnsi="Times New Roman"/>
          <w:b/>
          <w:i/>
          <w:sz w:val="20"/>
        </w:rPr>
      </w:pPr>
      <w:r>
        <w:rPr>
          <w:rFonts w:ascii="Times New Roman" w:hAnsi="Times New Roman"/>
          <w:b/>
          <w:i/>
          <w:sz w:val="20"/>
        </w:rPr>
        <w:t>(q)</w:t>
      </w:r>
    </w:p>
    <w:p>
      <w:pPr>
        <w:pStyle w:val="TextBody"/>
        <w:spacing w:before="120" w:after="283"/>
        <w:jc w:val="left"/>
        <w:rPr>
          <w:rFonts w:ascii="Times New Roman;serif" w:hAnsi="Times New Roman;serif"/>
          <w:b/>
          <w:i/>
          <w:sz w:val="20"/>
        </w:rPr>
      </w:pPr>
      <w:r>
        <w:rPr>
          <w:rFonts w:ascii="Times New Roman;serif" w:hAnsi="Times New Roman;serif"/>
          <w:b/>
          <w:i/>
          <w:sz w:val="20"/>
        </w:rPr>
        <w:t xml:space="preserve">Net Loss Per Share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computes net loss per share using the two-class method required for multiple classes of common stock and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shared proportionately in the Company’s net losses.</w:t>
      </w:r>
    </w:p>
    <w:p>
      <w:pPr>
        <w:pStyle w:val="TextBody"/>
        <w:spacing w:before="120" w:after="0"/>
        <w:jc w:val="left"/>
        <w:rPr>
          <w:rFonts w:ascii="Times New Roman" w:hAnsi="Times New Roman"/>
          <w:b/>
          <w:i/>
          <w:sz w:val="20"/>
        </w:rPr>
      </w:pPr>
      <w:r>
        <w:rPr>
          <w:rFonts w:ascii="Times New Roman" w:hAnsi="Times New Roman"/>
          <w:b/>
          <w:i/>
          <w:sz w:val="20"/>
        </w:rPr>
        <w:t>(r)</w:t>
      </w:r>
    </w:p>
    <w:p>
      <w:pPr>
        <w:pStyle w:val="TextBody"/>
        <w:spacing w:before="120" w:after="283"/>
        <w:jc w:val="left"/>
        <w:rPr>
          <w:rFonts w:ascii="Times New Roman;serif" w:hAnsi="Times New Roman;serif"/>
          <w:b/>
          <w:i/>
          <w:sz w:val="20"/>
        </w:rPr>
      </w:pPr>
      <w:r>
        <w:rPr>
          <w:rFonts w:ascii="Times New Roman;serif" w:hAnsi="Times New Roman;serif"/>
          <w:b/>
          <w:i/>
          <w:sz w:val="20"/>
        </w:rPr>
        <w:t xml:space="preserve">Reclassifications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Certain line items on the Company’s condensed consolidated financial statements have been reclassified to conform to the current period presentation. These reclassifications have not changed the results of operations of prior periods.</w:t>
      </w:r>
    </w:p>
    <w:p>
      <w:pPr>
        <w:pStyle w:val="TextBody"/>
        <w:spacing w:before="120" w:after="0"/>
        <w:jc w:val="left"/>
        <w:rPr>
          <w:rFonts w:ascii="Times New Roman" w:hAnsi="Times New Roman"/>
          <w:b/>
          <w:i/>
          <w:sz w:val="20"/>
        </w:rPr>
      </w:pPr>
      <w:r>
        <w:rPr>
          <w:rFonts w:ascii="Times New Roman" w:hAnsi="Times New Roman"/>
          <w:b/>
          <w:i/>
          <w:sz w:val="20"/>
        </w:rPr>
        <w:t>(s)</w:t>
      </w:r>
    </w:p>
    <w:p>
      <w:pPr>
        <w:pStyle w:val="TextBody"/>
        <w:spacing w:before="120" w:after="283"/>
        <w:jc w:val="left"/>
        <w:rPr>
          <w:rFonts w:ascii="Times New Roman;serif" w:hAnsi="Times New Roman;serif"/>
          <w:b/>
          <w:i/>
          <w:sz w:val="20"/>
        </w:rPr>
      </w:pPr>
      <w:r>
        <w:rPr>
          <w:rFonts w:ascii="Times New Roman;serif" w:hAnsi="Times New Roman;serif"/>
          <w:b/>
          <w:i/>
          <w:sz w:val="20"/>
        </w:rPr>
        <w:t xml:space="preserve">Recently Issued Accounting Standards </w:t>
      </w:r>
    </w:p>
    <w:p>
      <w:pPr>
        <w:pStyle w:val="TextBody"/>
        <w:spacing w:before="120" w:after="0"/>
        <w:jc w:val="left"/>
        <w:rPr>
          <w:rFonts w:ascii="Times New Roman" w:hAnsi="Times New Roman"/>
          <w:sz w:val="20"/>
        </w:rPr>
      </w:pPr>
      <w:r>
        <w:rPr>
          <w:rFonts w:ascii="Times New Roman;serif" w:hAnsi="Times New Roman;serif"/>
          <w:b w:val="false"/>
          <w:sz w:val="20"/>
        </w:rPr>
        <w:t>There are currently no other accounting standards that have been issued, but not yet adopted, that are expected to have a significant impact on the Company’s consolidated financial position, results of operations or cash flows upon adoption.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(3)</w:t>
      </w:r>
      <w:r>
        <w:rPr>
          <w:rFonts w:ascii="Times New Roman" w:hAnsi="Times New Roman"/>
          <w:sz w:val="20"/>
        </w:rPr>
        <w:t xml:space="preserve"> </w:t>
      </w:r>
      <w:r>
        <w:rPr>
          <w:rFonts w:ascii="Times New Roman;serif" w:hAnsi="Times New Roman;serif"/>
          <w:b/>
          <w:sz w:val="20"/>
        </w:rPr>
        <w:t>Credit Concentrations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Financial instruments which potentially subject the Company to concentrations of credit risk consist primarily of cash and accounts receivable. The Company maintains its cash, which at times may exceed federally insured limits, in deposit accounts at major financial institutions. Most of the Company’s buyers are located in the United States.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 the three months ended March 31, 2023 and 2022, no</w:t>
      </w:r>
      <w:r>
        <w:rPr>
          <w:rFonts w:ascii="Times New Roman" w:hAnsi="Times New Roman"/>
          <w:sz w:val="20"/>
        </w:rPr>
        <w:t xml:space="preserve"> </w:t>
      </w:r>
      <w:r>
        <w:rPr>
          <w:rFonts w:ascii="Times New Roman;serif" w:hAnsi="Times New Roman;serif"/>
          <w:b w:val="false"/>
          <w:sz w:val="20"/>
        </w:rPr>
        <w:t>single buyer accounted for more than 10% of the Company's revenue. As of March 31, 2023, and December 31, 2022, no</w:t>
      </w:r>
      <w:r>
        <w:rPr>
          <w:rFonts w:ascii="Times New Roman" w:hAnsi="Times New Roman"/>
          <w:sz w:val="20"/>
        </w:rPr>
        <w:t xml:space="preserve"> </w:t>
      </w:r>
      <w:r>
        <w:rPr>
          <w:rFonts w:ascii="Times New Roman;serif" w:hAnsi="Times New Roman;serif"/>
          <w:b w:val="false"/>
          <w:sz w:val="20"/>
        </w:rPr>
        <w:t>single buyer accounted for more than 10% of the Company’s accounts receivable.</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sz w:val="20"/>
        </w:rPr>
        <w:t>(4)</w:t>
      </w:r>
      <w:r>
        <w:rPr>
          <w:rFonts w:ascii="Times New Roman" w:hAnsi="Times New Roman"/>
          <w:sz w:val="20"/>
        </w:rPr>
        <w:t xml:space="preserve"> </w:t>
      </w:r>
      <w:r>
        <w:rPr>
          <w:rFonts w:ascii="Times New Roman;serif" w:hAnsi="Times New Roman;serif"/>
          <w:b/>
          <w:sz w:val="20"/>
        </w:rPr>
        <w:t>Inventory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Inventory consists of raw materials, work-in-process, tools inventory and finished goods. Raw materials (plastics and metals) become manufactured products in the additive and subtractive manufacturing processes. Work-in-progress represents manufacturing costs associated with customer orders that are not yet complete. The tools inventory primarily consists of small consumable machine tools, cutting devices, etc. Finished goods represents product awaiting shipment. Inventory consists of the following as of March 31, 2023 and December 31, 2022 (in thousands): </w:t>
      </w:r>
    </w:p>
    <w:p>
      <w:pPr>
        <w:pStyle w:val="TextBody"/>
        <w:spacing w:before="0" w:after="0"/>
        <w:jc w:val="left"/>
        <w:rPr/>
      </w:pPr>
      <w:r>
        <w:rPr/>
        <w:t> </w:t>
      </w:r>
    </w:p>
    <w:tbl>
      <w:tblPr>
        <w:tblW w:w="4110" w:type="dxa"/>
        <w:jc w:val="left"/>
        <w:tblInd w:w="0" w:type="dxa"/>
        <w:tblCellMar>
          <w:top w:w="28" w:type="dxa"/>
          <w:left w:w="28" w:type="dxa"/>
          <w:bottom w:w="28" w:type="dxa"/>
          <w:right w:w="28" w:type="dxa"/>
        </w:tblCellMar>
      </w:tblPr>
      <w:tblGrid>
        <w:gridCol w:w="1531"/>
        <w:gridCol w:w="146"/>
        <w:gridCol w:w="230"/>
        <w:gridCol w:w="625"/>
        <w:gridCol w:w="146"/>
        <w:gridCol w:w="146"/>
        <w:gridCol w:w="294"/>
        <w:gridCol w:w="801"/>
        <w:gridCol w:w="191"/>
      </w:tblGrid>
      <w:tr>
        <w:trPr/>
        <w:tc>
          <w:tcPr>
            <w:tcW w:w="15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5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191" w:type="dxa"/>
            <w:tcBorders/>
            <w:shd w:fill="auto" w:val="clear"/>
            <w:vAlign w:val="center"/>
          </w:tcPr>
          <w:p>
            <w:pPr>
              <w:pStyle w:val="TableContents"/>
              <w:spacing w:before="0" w:after="0"/>
              <w:ind w:left="0" w:right="0" w:hanging="0"/>
              <w:jc w:val="left"/>
              <w:rPr/>
            </w:pPr>
            <w:r>
              <w:rPr/>
              <w:t> </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Work-in-progress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675</w:t>
            </w:r>
          </w:p>
        </w:tc>
        <w:tc>
          <w:tcPr>
            <w:tcW w:w="191" w:type="dxa"/>
            <w:tcBorders/>
            <w:shd w:fill="auto" w:val="clear"/>
            <w:vAlign w:val="center"/>
          </w:tcPr>
          <w:p>
            <w:pPr>
              <w:pStyle w:val="TableContents"/>
              <w:spacing w:before="0" w:after="0"/>
              <w:ind w:left="0" w:right="0" w:hanging="0"/>
              <w:jc w:val="left"/>
              <w:rPr/>
            </w:pPr>
            <w:r>
              <w:rPr/>
              <w:t> </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Tools inventory</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w:t>
            </w:r>
          </w:p>
        </w:tc>
        <w:tc>
          <w:tcPr>
            <w:tcW w:w="191" w:type="dxa"/>
            <w:tcBorders/>
            <w:shd w:fill="auto" w:val="clear"/>
            <w:vAlign w:val="center"/>
          </w:tcPr>
          <w:p>
            <w:pPr>
              <w:pStyle w:val="TableContents"/>
              <w:spacing w:before="0" w:after="0"/>
              <w:ind w:left="0" w:right="0" w:hanging="0"/>
              <w:jc w:val="left"/>
              <w:rPr/>
            </w:pPr>
            <w:r>
              <w:rPr/>
              <w:t> </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sz w:val="20"/>
        </w:rPr>
        <w:t>(5)</w:t>
      </w:r>
      <w:r>
        <w:rPr>
          <w:rFonts w:ascii="Times New Roman" w:hAnsi="Times New Roman"/>
          <w:sz w:val="20"/>
        </w:rPr>
        <w:t xml:space="preserve"> </w:t>
      </w:r>
      <w:r>
        <w:rPr>
          <w:rFonts w:ascii="Times New Roman;serif" w:hAnsi="Times New Roman;serif"/>
          <w:b/>
          <w:sz w:val="20"/>
        </w:rPr>
        <w:t>Property and Equipment and Long-Lived Assets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Property and equipment consist of the following as of March 31, 2023 and December 31, 2022 (in thousands):</w:t>
      </w:r>
      <w:r>
        <w:rPr>
          <w:rFonts w:ascii="Times New Roman" w:hAnsi="Times New Roman"/>
          <w:sz w:val="20"/>
        </w:rPr>
        <w:t xml:space="preserve"> </w:t>
      </w:r>
    </w:p>
    <w:p>
      <w:pPr>
        <w:pStyle w:val="TextBody"/>
        <w:spacing w:before="120" w:after="0"/>
        <w:jc w:val="left"/>
        <w:rPr/>
      </w:pPr>
      <w:r>
        <w:rPr/>
        <w:t> </w:t>
      </w:r>
    </w:p>
    <w:tbl>
      <w:tblPr>
        <w:tblW w:w="7194" w:type="dxa"/>
        <w:jc w:val="left"/>
        <w:tblInd w:w="0" w:type="dxa"/>
        <w:tblCellMar>
          <w:top w:w="28" w:type="dxa"/>
          <w:left w:w="28" w:type="dxa"/>
          <w:bottom w:w="28" w:type="dxa"/>
          <w:right w:w="28" w:type="dxa"/>
        </w:tblCellMar>
      </w:tblPr>
      <w:tblGrid>
        <w:gridCol w:w="2896"/>
        <w:gridCol w:w="146"/>
        <w:gridCol w:w="1441"/>
        <w:gridCol w:w="146"/>
        <w:gridCol w:w="211"/>
        <w:gridCol w:w="736"/>
        <w:gridCol w:w="166"/>
        <w:gridCol w:w="146"/>
        <w:gridCol w:w="244"/>
        <w:gridCol w:w="851"/>
        <w:gridCol w:w="211"/>
      </w:tblGrid>
      <w:tr>
        <w:trPr/>
        <w:tc>
          <w:tcPr>
            <w:tcW w:w="28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8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Useful Life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Technology hardware</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3</w:t>
            </w:r>
            <w:r>
              <w:rPr>
                <w:rFonts w:ascii="Times New Roman" w:hAnsi="Times New Roman"/>
                <w:sz w:val="20"/>
              </w:rPr>
              <w:t> </w:t>
            </w:r>
            <w:r>
              <w:rPr>
                <w:rFonts w:ascii="Times New Roman;serif" w:hAnsi="Times New Roman;serif"/>
                <w:b w:val="false"/>
                <w:sz w:val="20"/>
              </w:rPr>
              <w:t>years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2,927</w:t>
            </w:r>
          </w:p>
        </w:tc>
        <w:tc>
          <w:tcPr>
            <w:tcW w:w="211" w:type="dxa"/>
            <w:tcBorders/>
            <w:shd w:fill="auto" w:val="cle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Manufacturing equipment</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 years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2,892</w:t>
            </w:r>
          </w:p>
        </w:tc>
        <w:tc>
          <w:tcPr>
            <w:tcW w:w="211" w:type="dxa"/>
            <w:tcBorders/>
            <w:shd w:fill="auto" w:val="cle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Capitalized software development</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 years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24,343</w:t>
            </w:r>
          </w:p>
        </w:tc>
        <w:tc>
          <w:tcPr>
            <w:tcW w:w="211" w:type="dxa"/>
            <w:tcBorders/>
            <w:shd w:fill="auto" w:val="cle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Shorter of useful</w:t>
              <w:br/>
              <w:t>life or lease term</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1,345</w:t>
            </w:r>
          </w:p>
        </w:tc>
        <w:tc>
          <w:tcPr>
            <w:tcW w:w="211" w:type="dxa"/>
            <w:tcBorders/>
            <w:shd w:fill="auto" w:val="cle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 years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33,212</w:t>
            </w:r>
          </w:p>
        </w:tc>
        <w:tc>
          <w:tcPr>
            <w:tcW w:w="211" w:type="dxa"/>
            <w:tcBorders/>
            <w:shd w:fill="auto" w:val="cle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(14,133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21,597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19,079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Depreciation expense for the three months ended March 31, 2023 and 2022 was as follows (in thousands):</w:t>
      </w:r>
      <w:r>
        <w:rPr>
          <w:rFonts w:ascii="Times New Roman" w:hAnsi="Times New Roman"/>
          <w:sz w:val="20"/>
        </w:rPr>
        <w:t xml:space="preserve"> </w:t>
      </w:r>
    </w:p>
    <w:p>
      <w:pPr>
        <w:pStyle w:val="TextBody"/>
        <w:spacing w:before="0" w:after="0"/>
        <w:jc w:val="left"/>
        <w:rPr/>
      </w:pPr>
      <w:r>
        <w:rPr/>
        <w:t> </w:t>
      </w:r>
    </w:p>
    <w:tbl>
      <w:tblPr>
        <w:tblW w:w="4914" w:type="dxa"/>
        <w:jc w:val="left"/>
        <w:tblInd w:w="0" w:type="dxa"/>
        <w:tblCellMar>
          <w:top w:w="28" w:type="dxa"/>
          <w:left w:w="28" w:type="dxa"/>
          <w:bottom w:w="28" w:type="dxa"/>
          <w:right w:w="28" w:type="dxa"/>
        </w:tblCellMar>
      </w:tblPr>
      <w:tblGrid>
        <w:gridCol w:w="2326"/>
        <w:gridCol w:w="296"/>
        <w:gridCol w:w="803"/>
        <w:gridCol w:w="205"/>
        <w:gridCol w:w="205"/>
        <w:gridCol w:w="296"/>
        <w:gridCol w:w="592"/>
        <w:gridCol w:w="191"/>
      </w:tblGrid>
      <w:tr>
        <w:trPr/>
        <w:tc>
          <w:tcPr>
            <w:tcW w:w="232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before="0" w:after="0"/>
              <w:ind w:left="0" w:right="0" w:hanging="0"/>
              <w:jc w:val="center"/>
              <w:rPr/>
            </w:pPr>
            <w:r>
              <w:rPr/>
              <w:t> </w:t>
            </w:r>
          </w:p>
        </w:tc>
        <w:tc>
          <w:tcPr>
            <w:tcW w:w="23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center"/>
              <w:rPr/>
            </w:pPr>
            <w:r>
              <w:rPr/>
              <w:t> </w:t>
            </w:r>
          </w:p>
        </w:tc>
        <w:tc>
          <w:tcPr>
            <w:tcW w:w="10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5" w:type="dxa"/>
            <w:tcBorders/>
            <w:shd w:fill="auto" w:val="clear"/>
            <w:vAlign w:val="center"/>
          </w:tcPr>
          <w:p>
            <w:pPr>
              <w:pStyle w:val="TableContents"/>
              <w:spacing w:before="0" w:after="0"/>
              <w:ind w:left="0" w:right="0" w:hanging="0"/>
              <w:jc w:val="center"/>
              <w:rPr/>
            </w:pPr>
            <w:r>
              <w:rPr/>
              <w:t> </w:t>
            </w:r>
          </w:p>
        </w:tc>
        <w:tc>
          <w:tcPr>
            <w:tcW w:w="8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205"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9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Operations and support</w:t>
            </w:r>
          </w:p>
        </w:tc>
        <w:tc>
          <w:tcPr>
            <w:tcW w:w="296"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05"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9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296"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1,269</w:t>
            </w:r>
          </w:p>
        </w:tc>
        <w:tc>
          <w:tcPr>
            <w:tcW w:w="205"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704</w:t>
            </w:r>
          </w:p>
        </w:tc>
        <w:tc>
          <w:tcPr>
            <w:tcW w:w="19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depreciation expense</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1,641</w:t>
            </w:r>
          </w:p>
        </w:tc>
        <w:tc>
          <w:tcPr>
            <w:tcW w:w="2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pPr>
      <w:r>
        <w:rPr/>
        <w:t> </w:t>
      </w:r>
    </w:p>
    <w:p>
      <w:pPr>
        <w:pStyle w:val="TextBody"/>
        <w:spacing w:before="120" w:after="0"/>
        <w:jc w:val="left"/>
        <w:rPr/>
      </w:pPr>
      <w:r>
        <w:rPr/>
        <w:t> </w:t>
      </w:r>
    </w:p>
    <w:p>
      <w:pPr>
        <w:pStyle w:val="TextBody"/>
        <w:spacing w:before="120" w:after="0"/>
        <w:jc w:val="left"/>
        <w:rPr>
          <w:rFonts w:ascii="Times New Roman" w:hAnsi="Times New Roman"/>
          <w:sz w:val="20"/>
        </w:rPr>
      </w:pPr>
      <w:r>
        <w:rPr>
          <w:rFonts w:ascii="Times New Roman;serif" w:hAnsi="Times New Roman;serif"/>
          <w:b/>
          <w:sz w:val="20"/>
        </w:rPr>
        <w:t>(6)</w:t>
      </w:r>
      <w:r>
        <w:rPr>
          <w:rFonts w:ascii="Times New Roman" w:hAnsi="Times New Roman"/>
          <w:sz w:val="20"/>
        </w:rPr>
        <w:t xml:space="preserve"> </w:t>
      </w:r>
      <w:r>
        <w:rPr>
          <w:rFonts w:ascii="Times New Roman;serif" w:hAnsi="Times New Roman;serif"/>
          <w:b/>
          <w:sz w:val="20"/>
        </w:rPr>
        <w:t>Leases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Operating lease expense for the three months ended March 31, 2023 and 2022 was as follows (in thousands):</w:t>
      </w:r>
      <w:r>
        <w:rPr>
          <w:rFonts w:ascii="Times New Roman" w:hAnsi="Times New Roman"/>
          <w:sz w:val="20"/>
        </w:rPr>
        <w:t xml:space="preserve"> </w:t>
      </w:r>
    </w:p>
    <w:tbl>
      <w:tblPr>
        <w:tblW w:w="5269" w:type="dxa"/>
        <w:jc w:val="left"/>
        <w:tblInd w:w="0" w:type="dxa"/>
        <w:tblCellMar>
          <w:top w:w="28" w:type="dxa"/>
          <w:left w:w="28" w:type="dxa"/>
          <w:bottom w:w="28" w:type="dxa"/>
          <w:right w:w="28" w:type="dxa"/>
        </w:tblCellMar>
      </w:tblPr>
      <w:tblGrid>
        <w:gridCol w:w="2536"/>
        <w:gridCol w:w="146"/>
        <w:gridCol w:w="272"/>
        <w:gridCol w:w="738"/>
        <w:gridCol w:w="188"/>
        <w:gridCol w:w="188"/>
        <w:gridCol w:w="272"/>
        <w:gridCol w:w="738"/>
        <w:gridCol w:w="191"/>
      </w:tblGrid>
      <w:tr>
        <w:trPr/>
        <w:tc>
          <w:tcPr>
            <w:tcW w:w="25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center"/>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25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righ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91" w:type="dxa"/>
            <w:tcBorders/>
            <w:shd w:fill="auto" w:val="clear"/>
            <w:vAlign w:val="center"/>
          </w:tcPr>
          <w:p>
            <w:pPr>
              <w:pStyle w:val="TableContents"/>
              <w:spacing w:before="0" w:after="0"/>
              <w:ind w:left="0" w:right="0" w:hanging="0"/>
              <w:jc w:val="left"/>
              <w:rPr/>
            </w:pPr>
            <w:r>
              <w:rPr/>
              <w:t> </w:t>
            </w:r>
          </w:p>
        </w:tc>
      </w:tr>
      <w:tr>
        <w:trPr/>
        <w:tc>
          <w:tcPr>
            <w:tcW w:w="25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2,214</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righ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lease expense</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2,232</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During the first quarter of 2023, the Company entered into two</w:t>
      </w:r>
      <w:r>
        <w:rPr>
          <w:rFonts w:ascii="Times New Roman" w:hAnsi="Times New Roman"/>
          <w:sz w:val="20"/>
        </w:rPr>
        <w:t xml:space="preserve"> </w:t>
      </w:r>
      <w:r>
        <w:rPr>
          <w:rFonts w:ascii="Times New Roman;serif" w:hAnsi="Times New Roman;serif"/>
          <w:b w:val="false"/>
          <w:sz w:val="20"/>
        </w:rPr>
        <w:t>new office leases in Lyon, France and Istanbul, Turkey. In connection with these leases, the Company recorded non-cash ROU assets and lease liabilities of $0.3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12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sz w:val="20"/>
        </w:rPr>
        <w:t>(7)</w:t>
      </w:r>
      <w:r>
        <w:rPr>
          <w:rFonts w:ascii="Times New Roman" w:hAnsi="Times New Roman"/>
          <w:sz w:val="20"/>
        </w:rPr>
        <w:t xml:space="preserve"> </w:t>
      </w:r>
      <w:r>
        <w:rPr>
          <w:rFonts w:ascii="Times New Roman;serif" w:hAnsi="Times New Roman;serif"/>
          <w:b/>
          <w:sz w:val="20"/>
        </w:rPr>
        <w:t>Acquisitions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Tridi</w:t>
      </w:r>
    </w:p>
    <w:p>
      <w:pPr>
        <w:pStyle w:val="TextBody"/>
        <w:spacing w:before="120" w:after="0"/>
        <w:jc w:val="left"/>
        <w:rPr>
          <w:rFonts w:ascii="Times New Roman" w:hAnsi="Times New Roman"/>
          <w:sz w:val="20"/>
        </w:rPr>
      </w:pPr>
      <w:r>
        <w:rPr>
          <w:rFonts w:ascii="Times New Roman;serif" w:hAnsi="Times New Roman;serif"/>
          <w:b w:val="false"/>
          <w:sz w:val="20"/>
        </w:rPr>
        <w:t>On January 2, 2023, the Company acquired Tridi Teknoloj A.S. (“Tridi”) located in Istanbul, Turkey pursuant to a Share Purchase Agreement. The acquisition of Tridi extends our marketplace capabilities in Europe and provides us access to the Turkish market. The Company accounted for the acquisition as a business combination. The goodwill of $4.3</w:t>
      </w:r>
      <w:r>
        <w:rPr>
          <w:rFonts w:ascii="Times New Roman" w:hAnsi="Times New Roman"/>
          <w:sz w:val="20"/>
        </w:rPr>
        <w:t xml:space="preserve"> </w:t>
      </w:r>
      <w:r>
        <w:rPr>
          <w:rFonts w:ascii="Times New Roman;serif" w:hAnsi="Times New Roman;serif"/>
          <w:b w:val="false"/>
          <w:sz w:val="20"/>
        </w:rPr>
        <w:t>million arising from the acquisition of Tridi related to expected synergies including access to the Turkish market and an established supplier network. The goodwill is included in our International reporting segment and is not deductible for tax purposes.</w:t>
      </w:r>
      <w:r>
        <w:rPr>
          <w:rFonts w:ascii="Times New Roman" w:hAnsi="Times New Roman"/>
          <w:sz w:val="20"/>
        </w:rPr>
        <w:t xml:space="preserve"> </w:t>
      </w:r>
      <w:r>
        <w:rPr>
          <w:rFonts w:ascii="Times New Roman;serif" w:hAnsi="Times New Roman;serif"/>
          <w:b w:val="false"/>
          <w:sz w:val="20"/>
        </w:rPr>
        <w:t>The aggregate non-contingent portion of the purchase price was approximately $3.8</w:t>
      </w:r>
      <w:r>
        <w:rPr>
          <w:rFonts w:ascii="Times New Roman" w:hAnsi="Times New Roman"/>
          <w:sz w:val="20"/>
        </w:rPr>
        <w:t xml:space="preserve"> </w:t>
      </w:r>
      <w:r>
        <w:rPr>
          <w:rFonts w:ascii="Times New Roman;serif" w:hAnsi="Times New Roman;serif"/>
          <w:b w:val="false"/>
          <w:sz w:val="20"/>
        </w:rPr>
        <w:t>million in cash, of which approximately $0.4</w:t>
      </w:r>
      <w:r>
        <w:rPr>
          <w:rFonts w:ascii="Times New Roman" w:hAnsi="Times New Roman"/>
          <w:sz w:val="20"/>
        </w:rPr>
        <w:t xml:space="preserve"> </w:t>
      </w:r>
      <w:r>
        <w:rPr>
          <w:rFonts w:ascii="Times New Roman;serif" w:hAnsi="Times New Roman;serif"/>
          <w:b w:val="false"/>
          <w:sz w:val="20"/>
        </w:rPr>
        <w:t>million was withheld and will be paid in a future period. In addition, the purchase price included a contingent consideration arrangement to the former owner of Tridi up to a maximum amount of $1.25</w:t>
      </w:r>
      <w:r>
        <w:rPr>
          <w:rFonts w:ascii="Times New Roman;serif" w:hAnsi="Times New Roman;serif"/>
          <w:sz w:val="20"/>
        </w:rPr>
        <w:t xml:space="preserve"> </w:t>
      </w:r>
      <w:r>
        <w:rPr>
          <w:rFonts w:ascii="Times New Roman;serif" w:hAnsi="Times New Roman;serif"/>
          <w:b w:val="false"/>
          <w:sz w:val="20"/>
        </w:rPr>
        <w:t>million (undiscounted) in shares of the Company’s Class A common stock in two installments on the first and second anniversary of the acquisition.</w:t>
      </w:r>
      <w:r>
        <w:rPr>
          <w:rFonts w:ascii="Times New Roman" w:hAnsi="Times New Roman"/>
          <w:sz w:val="20"/>
        </w:rPr>
        <w:t xml:space="preserve"> </w:t>
      </w:r>
      <w:r>
        <w:rPr>
          <w:rFonts w:ascii="Times New Roman;serif" w:hAnsi="Times New Roman;serif"/>
          <w:b w:val="false"/>
          <w:sz w:val="20"/>
        </w:rPr>
        <w:t>The contingent consideration arrangement is tied to the achievement of revenue thresholds. The initial fair value of the contingent consideration of $0.9</w:t>
      </w:r>
      <w:r>
        <w:rPr>
          <w:rFonts w:ascii="Times New Roman" w:hAnsi="Times New Roman"/>
          <w:sz w:val="20"/>
        </w:rPr>
        <w:t xml:space="preserve"> </w:t>
      </w:r>
      <w:r>
        <w:rPr>
          <w:rFonts w:ascii="Times New Roman;serif" w:hAnsi="Times New Roman;serif"/>
          <w:b w:val="false"/>
          <w:sz w:val="20"/>
        </w:rPr>
        <w:t>million was estimated by applying an income valuation approach. The measurement is based on inputs that are not observable in the market (Level 3 inputs). Key assumptions made include (a) discount rate and (b) probability weighted assumptions about achieving revenue thresholds.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has performed a preliminary valuation analysis of the fair market value of the acquired assets and liabilities of Tridi. The final purchase price allocation will be determined when the Company has completed and fully reviewed all information necessary to finalize the fair value of the acquired assets and liabilities. The final allocation could differ materially from the preliminary allocation and may include changes in allocations to current assets, current liabilities and goodwill.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1"/>
        </w:rPr>
        <w:t>The following table (in thousands) summarizes the consideration paid for Tridi and the preliminary fair value of the assets acquired and liabilities assumed on the acquisition date:</w:t>
      </w:r>
      <w:r>
        <w:rPr>
          <w:rFonts w:ascii="Times New Roman" w:hAnsi="Times New Roman"/>
          <w:sz w:val="20"/>
        </w:rPr>
        <w:t xml:space="preserve"> </w:t>
      </w:r>
    </w:p>
    <w:tbl>
      <w:tblPr>
        <w:tblW w:w="9265" w:type="dxa"/>
        <w:jc w:val="left"/>
        <w:tblInd w:w="0" w:type="dxa"/>
        <w:tblCellMar>
          <w:top w:w="28" w:type="dxa"/>
          <w:left w:w="28" w:type="dxa"/>
          <w:bottom w:w="28" w:type="dxa"/>
          <w:right w:w="28" w:type="dxa"/>
        </w:tblCellMar>
      </w:tblPr>
      <w:tblGrid>
        <w:gridCol w:w="7726"/>
        <w:gridCol w:w="146"/>
        <w:gridCol w:w="211"/>
        <w:gridCol w:w="571"/>
        <w:gridCol w:w="611"/>
      </w:tblGrid>
      <w:tr>
        <w:trPr/>
        <w:tc>
          <w:tcPr>
            <w:tcW w:w="7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7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Consideration:</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77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3,824</w:t>
            </w:r>
          </w:p>
        </w:tc>
        <w:tc>
          <w:tcPr>
            <w:tcW w:w="611" w:type="dxa"/>
            <w:tcBorders/>
            <w:shd w:fill="auto" w:val="clear"/>
            <w:vAlign w:val="center"/>
          </w:tcPr>
          <w:p>
            <w:pPr>
              <w:pStyle w:val="TableContents"/>
              <w:spacing w:before="0" w:after="0"/>
              <w:ind w:left="0" w:right="0" w:firstLine="200"/>
              <w:jc w:val="left"/>
              <w:rPr/>
            </w:pPr>
            <w:r>
              <w:rPr/>
              <w:t> </w:t>
            </w:r>
          </w:p>
        </w:tc>
      </w:tr>
      <w:tr>
        <w:trPr/>
        <w:tc>
          <w:tcPr>
            <w:tcW w:w="77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Settlement of preexisting relationship</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w:t>
            </w:r>
          </w:p>
        </w:tc>
        <w:tc>
          <w:tcPr>
            <w:tcW w:w="611" w:type="dxa"/>
            <w:tcBorders/>
            <w:shd w:fill="auto" w:val="clear"/>
            <w:vAlign w:val="center"/>
          </w:tcPr>
          <w:p>
            <w:pPr>
              <w:pStyle w:val="TableContents"/>
              <w:spacing w:before="0" w:after="0"/>
              <w:ind w:left="0" w:right="0" w:firstLine="200"/>
              <w:jc w:val="left"/>
              <w:rPr/>
            </w:pPr>
            <w:r>
              <w:rPr/>
              <w:t> </w:t>
            </w:r>
          </w:p>
        </w:tc>
      </w:tr>
      <w:tr>
        <w:trPr/>
        <w:tc>
          <w:tcPr>
            <w:tcW w:w="77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Fair value of 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77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Fair value of consideration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5,041</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costs included in general and administrative for the period ended March 31, 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611" w:type="dxa"/>
            <w:tcBorders/>
            <w:shd w:fill="auto" w:val="clear"/>
            <w:vAlign w:val="center"/>
          </w:tcPr>
          <w:p>
            <w:pPr>
              <w:pStyle w:val="TableContents"/>
              <w:spacing w:before="0" w:after="0"/>
              <w:ind w:left="0" w:right="0" w:hanging="0"/>
              <w:jc w:val="left"/>
              <w:rPr/>
            </w:pPr>
            <w:r>
              <w:rPr/>
              <w:t> </w:t>
            </w:r>
          </w:p>
        </w:tc>
      </w:tr>
      <w:tr>
        <w:trPr/>
        <w:tc>
          <w:tcPr>
            <w:tcW w:w="7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Recognized amounts of identifiable assets acquired and liabilities assumed:</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77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460</w:t>
            </w:r>
          </w:p>
        </w:tc>
        <w:tc>
          <w:tcPr>
            <w:tcW w:w="611" w:type="dxa"/>
            <w:tcBorders/>
            <w:shd w:fill="auto" w:val="clear"/>
            <w:vAlign w:val="center"/>
          </w:tcPr>
          <w:p>
            <w:pPr>
              <w:pStyle w:val="TableContents"/>
              <w:spacing w:before="0" w:after="0"/>
              <w:ind w:left="0" w:right="0" w:firstLine="200"/>
              <w:jc w:val="left"/>
              <w:rPr/>
            </w:pPr>
            <w:r>
              <w:rPr/>
              <w:t> </w:t>
            </w:r>
          </w:p>
        </w:tc>
      </w:tr>
      <w:tr>
        <w:trPr/>
        <w:tc>
          <w:tcPr>
            <w:tcW w:w="77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611" w:type="dxa"/>
            <w:tcBorders/>
            <w:shd w:fill="auto" w:val="clear"/>
            <w:vAlign w:val="center"/>
          </w:tcPr>
          <w:p>
            <w:pPr>
              <w:pStyle w:val="TableContents"/>
              <w:spacing w:before="0" w:after="0"/>
              <w:ind w:left="0" w:right="0" w:firstLine="200"/>
              <w:jc w:val="left"/>
              <w:rPr/>
            </w:pPr>
            <w:r>
              <w:rPr/>
              <w:t> </w:t>
            </w:r>
          </w:p>
        </w:tc>
      </w:tr>
      <w:tr>
        <w:trPr/>
        <w:tc>
          <w:tcPr>
            <w:tcW w:w="77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Intangible asset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w:t>
            </w:r>
          </w:p>
        </w:tc>
        <w:tc>
          <w:tcPr>
            <w:tcW w:w="611" w:type="dxa"/>
            <w:tcBorders/>
            <w:shd w:fill="auto" w:val="clear"/>
            <w:vAlign w:val="center"/>
          </w:tcPr>
          <w:p>
            <w:pPr>
              <w:pStyle w:val="TableContents"/>
              <w:spacing w:before="0" w:after="0"/>
              <w:ind w:left="0" w:right="0" w:firstLine="200"/>
              <w:jc w:val="left"/>
              <w:rPr/>
            </w:pPr>
            <w:r>
              <w:rPr/>
              <w:t> </w:t>
            </w:r>
          </w:p>
        </w:tc>
      </w:tr>
      <w:tr>
        <w:trPr/>
        <w:tc>
          <w:tcPr>
            <w:tcW w:w="77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72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identifiable net assets assumed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717</w:t>
            </w:r>
          </w:p>
        </w:tc>
        <w:tc>
          <w:tcPr>
            <w:tcW w:w="611" w:type="dxa"/>
            <w:tcBorders/>
            <w:shd w:fill="auto" w:val="clear"/>
            <w:vAlign w:val="center"/>
          </w:tcPr>
          <w:p>
            <w:pPr>
              <w:pStyle w:val="TableContents"/>
              <w:spacing w:before="0" w:after="0"/>
              <w:ind w:left="0" w:right="0" w:firstLine="200"/>
              <w:jc w:val="left"/>
              <w:rPr/>
            </w:pPr>
            <w:r>
              <w:rPr/>
              <w:t> </w:t>
            </w:r>
          </w:p>
        </w:tc>
      </w:tr>
      <w:tr>
        <w:trPr/>
        <w:tc>
          <w:tcPr>
            <w:tcW w:w="77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4,324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72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5,041</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The estimated fair value of the intangible asset acquired was determined by the Company. The Company engaged a third</w:t>
        <w:noBreakHyphen/>
        <w:t>party expert to assist with the valuation analysis. The Company used a cost method to estimate the fair value of the vendor relationship using Level 3 inputs. The useful life of the vendor relationship is 10</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Tridi’s results of operations were included in the Company's consolidated financial statements from the date of acquisition, January 2, 2023. The acquisition of Tridi was not considered material to the Company for the periods presented, and therefore, proforma information has not been presented.</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120" w:after="0"/>
        <w:jc w:val="left"/>
        <w:rPr/>
      </w:pPr>
      <w:r>
        <w:rPr/>
        <w:t> </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sz w:val="20"/>
        </w:rPr>
        <w:t>(8)</w:t>
      </w:r>
      <w:r>
        <w:rPr>
          <w:rFonts w:ascii="Times New Roman" w:hAnsi="Times New Roman"/>
          <w:sz w:val="20"/>
        </w:rPr>
        <w:t xml:space="preserve"> </w:t>
      </w:r>
      <w:r>
        <w:rPr>
          <w:rFonts w:ascii="Times New Roman;serif" w:hAnsi="Times New Roman;serif"/>
          <w:b/>
          <w:sz w:val="20"/>
        </w:rPr>
        <w:t>Disaggregated Revenue and Cost of Revenue Information</w:t>
      </w:r>
    </w:p>
    <w:p>
      <w:pPr>
        <w:pStyle w:val="TextBody"/>
        <w:spacing w:before="120" w:after="0"/>
        <w:jc w:val="left"/>
        <w:rPr>
          <w:rFonts w:ascii="Times New Roman" w:hAnsi="Times New Roman"/>
          <w:sz w:val="20"/>
        </w:rPr>
      </w:pPr>
      <w:r>
        <w:rPr>
          <w:rFonts w:ascii="Times New Roman;serif" w:hAnsi="Times New Roman;serif"/>
          <w:b w:val="false"/>
          <w:sz w:val="20"/>
        </w:rPr>
        <w:t>The following table present our revenues and cost of revenue disaggregated by line of business. Revenue from our marketplace primarily reflects the sales of parts and assemblies on our platform. Revenue from supplier services primarily includes the sale of advertising and to a lesser extent supplies, financial service products and SaaS products.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Revenue is presented in the following tables for the three months ended March 31, 2023 and 2022, respectively (in thousands):</w:t>
      </w:r>
    </w:p>
    <w:p>
      <w:pPr>
        <w:pStyle w:val="TextBody"/>
        <w:spacing w:before="120" w:after="0"/>
        <w:jc w:val="left"/>
        <w:rPr/>
      </w:pPr>
      <w:r>
        <w:rPr/>
        <w:t> </w:t>
      </w:r>
    </w:p>
    <w:tbl>
      <w:tblPr>
        <w:tblW w:w="6195" w:type="dxa"/>
        <w:jc w:val="left"/>
        <w:tblInd w:w="0" w:type="dxa"/>
        <w:tblCellMar>
          <w:top w:w="28" w:type="dxa"/>
          <w:left w:w="28" w:type="dxa"/>
          <w:bottom w:w="28" w:type="dxa"/>
          <w:right w:w="28" w:type="dxa"/>
        </w:tblCellMar>
      </w:tblPr>
      <w:tblGrid>
        <w:gridCol w:w="1591"/>
        <w:gridCol w:w="146"/>
        <w:gridCol w:w="464"/>
        <w:gridCol w:w="1486"/>
        <w:gridCol w:w="146"/>
        <w:gridCol w:w="146"/>
        <w:gridCol w:w="481"/>
        <w:gridCol w:w="1544"/>
        <w:gridCol w:w="191"/>
      </w:tblGrid>
      <w:tr>
        <w:trPr/>
        <w:tc>
          <w:tcPr>
            <w:tcW w:w="15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5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50"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w:t>
              <w:br/>
              <w:t>Ended 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25"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w:t>
              <w:br/>
              <w:t>Ended March 31,</w:t>
            </w:r>
          </w:p>
        </w:tc>
        <w:tc>
          <w:tcPr>
            <w:tcW w:w="191" w:type="dxa"/>
            <w:tcBorders/>
            <w:shd w:fill="auto" w:val="clear"/>
            <w:vAlign w:val="center"/>
          </w:tcPr>
          <w:p>
            <w:pPr>
              <w:pStyle w:val="TableContents"/>
              <w:spacing w:before="0" w:after="0"/>
              <w:ind w:left="0" w:right="0" w:hanging="0"/>
              <w:jc w:val="center"/>
              <w:rPr/>
            </w:pPr>
            <w:r>
              <w:rPr/>
              <w:t> </w:t>
            </w:r>
          </w:p>
        </w:tc>
      </w:tr>
      <w:tr>
        <w:trPr/>
        <w:tc>
          <w:tcPr>
            <w:tcW w:w="15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Marketplace</w:t>
            </w:r>
          </w:p>
        </w:tc>
        <w:tc>
          <w:tcPr>
            <w:tcW w:w="146" w:type="dxa"/>
            <w:tcBorders/>
            <w:shd w:fill="auto" w:val="clear"/>
            <w:vAlign w:val="center"/>
          </w:tcPr>
          <w:p>
            <w:pPr>
              <w:pStyle w:val="TableContents"/>
              <w:spacing w:before="0" w:after="0"/>
              <w:ind w:left="0" w:right="0" w:hanging="0"/>
              <w:jc w:val="left"/>
              <w:rPr/>
            </w:pPr>
            <w:r>
              <w:rPr/>
              <w:t> </w:t>
            </w:r>
          </w:p>
        </w:tc>
        <w:tc>
          <w:tcPr>
            <w:tcW w:w="19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86,680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64,415</w:t>
            </w:r>
          </w:p>
        </w:tc>
        <w:tc>
          <w:tcPr>
            <w:tcW w:w="191" w:type="dxa"/>
            <w:tcBorders/>
            <w:shd w:fill="auto" w:val="clear"/>
            <w:vAlign w:val="center"/>
          </w:tcPr>
          <w:p>
            <w:pPr>
              <w:pStyle w:val="TableContents"/>
              <w:spacing w:before="0" w:after="0"/>
              <w:ind w:left="0" w:right="0" w:hanging="0"/>
              <w:jc w:val="left"/>
              <w:rPr/>
            </w:pPr>
            <w:r>
              <w:rPr/>
              <w:t> </w:t>
            </w:r>
          </w:p>
        </w:tc>
      </w:tr>
      <w:tr>
        <w:trPr/>
        <w:tc>
          <w:tcPr>
            <w:tcW w:w="1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61,747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46,741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24,933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17,674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5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5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Supplier Services</w:t>
            </w:r>
          </w:p>
        </w:tc>
        <w:tc>
          <w:tcPr>
            <w:tcW w:w="146" w:type="dxa"/>
            <w:tcBorders/>
            <w:shd w:fill="auto" w:val="clear"/>
            <w:vAlign w:val="center"/>
          </w:tcPr>
          <w:p>
            <w:pPr>
              <w:pStyle w:val="TableContents"/>
              <w:spacing w:before="0" w:after="0"/>
              <w:ind w:left="0" w:right="0" w:hanging="0"/>
              <w:jc w:val="left"/>
              <w:rPr/>
            </w:pPr>
            <w:r>
              <w:rPr/>
              <w:t> </w:t>
            </w:r>
          </w:p>
        </w:tc>
        <w:tc>
          <w:tcPr>
            <w:tcW w:w="195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19,256</w:t>
            </w:r>
          </w:p>
        </w:tc>
        <w:tc>
          <w:tcPr>
            <w:tcW w:w="191" w:type="dxa"/>
            <w:tcBorders/>
            <w:shd w:fill="auto" w:val="clear"/>
            <w:vAlign w:val="center"/>
          </w:tcPr>
          <w:p>
            <w:pPr>
              <w:pStyle w:val="TableContents"/>
              <w:spacing w:before="0" w:after="0"/>
              <w:ind w:left="0" w:right="0" w:hanging="0"/>
              <w:jc w:val="left"/>
              <w:rPr/>
            </w:pPr>
            <w:r>
              <w:rPr/>
              <w:t> </w:t>
            </w:r>
          </w:p>
        </w:tc>
      </w:tr>
      <w:tr>
        <w:trPr/>
        <w:tc>
          <w:tcPr>
            <w:tcW w:w="1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14,436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15,265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pPr>
      <w:r>
        <w:rPr/>
        <w:t> </w:t>
      </w:r>
    </w:p>
    <w:p>
      <w:pPr>
        <w:pStyle w:val="TextBody"/>
        <w:spacing w:before="120" w:after="0"/>
        <w:jc w:val="left"/>
        <w:rPr>
          <w:rFonts w:ascii="Times New Roman" w:hAnsi="Times New Roman"/>
          <w:sz w:val="20"/>
        </w:rPr>
      </w:pPr>
      <w:r>
        <w:rPr>
          <w:rFonts w:ascii="Times New Roman;serif" w:hAnsi="Times New Roman;serif"/>
          <w:b/>
          <w:sz w:val="20"/>
        </w:rPr>
        <w:t>(9)</w:t>
      </w:r>
      <w:r>
        <w:rPr>
          <w:rFonts w:ascii="Times New Roman" w:hAnsi="Times New Roman"/>
          <w:sz w:val="20"/>
        </w:rPr>
        <w:t xml:space="preserve"> </w:t>
      </w:r>
      <w:r>
        <w:rPr>
          <w:rFonts w:ascii="Times New Roman;serif" w:hAnsi="Times New Roman;serif"/>
          <w:b/>
          <w:sz w:val="20"/>
        </w:rPr>
        <w:t>Investment in Unconsolidated Joint Venture</w:t>
      </w:r>
    </w:p>
    <w:p>
      <w:pPr>
        <w:pStyle w:val="TextBody"/>
        <w:spacing w:before="120" w:after="0"/>
        <w:jc w:val="left"/>
        <w:rPr>
          <w:rFonts w:ascii="Times New Roman" w:hAnsi="Times New Roman"/>
          <w:sz w:val="20"/>
        </w:rPr>
      </w:pPr>
      <w:r>
        <w:rPr>
          <w:rFonts w:ascii="Times New Roman;serif" w:hAnsi="Times New Roman;serif"/>
          <w:b w:val="false"/>
          <w:sz w:val="20"/>
        </w:rPr>
        <w:t>The Company has a 50% interest in Industrial Media, LLC ("IM, LLC") with the other 50% owned by Rich Media Group, LLC. IM, LLC primarily manages content creation, advertising sales, and marketing initiatives for the Industrial Engineering News brand, certain magazines, videos, website and associated electronic media products for industrial engineers. No</w:t>
      </w:r>
      <w:r>
        <w:rPr>
          <w:rFonts w:ascii="Times New Roman" w:hAnsi="Times New Roman"/>
          <w:sz w:val="20"/>
        </w:rPr>
        <w:t xml:space="preserve"> </w:t>
      </w:r>
      <w:r>
        <w:rPr>
          <w:rFonts w:ascii="Times New Roman;serif" w:hAnsi="Times New Roman;serif"/>
          <w:b w:val="false"/>
          <w:sz w:val="20"/>
        </w:rPr>
        <w:t>dividends were received during the period ended March 31, 2023 and 2022. During the three months ended March 31, 2023 and 2022, the Company did not pay material amounts to IM, LLC.</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(10)</w:t>
      </w:r>
      <w:r>
        <w:rPr>
          <w:rFonts w:ascii="Times New Roman" w:hAnsi="Times New Roman"/>
          <w:sz w:val="20"/>
        </w:rPr>
        <w:t xml:space="preserve"> </w:t>
      </w:r>
      <w:r>
        <w:rPr>
          <w:rFonts w:ascii="Times New Roman;serif" w:hAnsi="Times New Roman;serif"/>
          <w:b/>
          <w:sz w:val="20"/>
        </w:rPr>
        <w:t>Stock Based Compensation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No additional awards may be granted under the 2014 Equity Incentive Plan, however, outstanding awards continue in full effect in accordance with their existing terms.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w:t>
      </w:r>
      <w:r>
        <w:rPr>
          <w:rFonts w:ascii="Times New Roman" w:hAnsi="Times New Roman"/>
          <w:sz w:val="20"/>
        </w:rPr>
        <w:t xml:space="preserve"> </w:t>
      </w:r>
      <w:r>
        <w:rPr>
          <w:rFonts w:ascii="Times New Roman;serif" w:hAnsi="Times New Roman;serif"/>
          <w:b w:val="false"/>
          <w:sz w:val="20"/>
        </w:rPr>
        <w:t>additional awards may be granted under the 2016 Equity Incentive Plan, however, outstanding awards continue in full effect in accordance with their existing terms.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connection with the Company’s initial public offering on July 2, 2021, the Company's board of directors adopted the 2021 Equity Incentive Plan (the “2021 Equity Incentive Plan”). The 2021 Equity Incentive Plan provides for the grant of incentive stock options (“ISOs”), non-statutory stock options (“NSOs”), stock appreciation rights, restricted stock awards, restricted stock unit awards, performance-based awards and other awards, or collectively, awards. Awards may be granted to Xometry employees, including our officers, Xometry’s non-employee directors and consultants/contractors and the employees and consultants/contractors of Xometry affiliates. ISOs may be granted only to Xometry employees, including Xometry officers, and the employees of Xometry affiliates.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there were 5,851,637</w:t>
      </w:r>
      <w:r>
        <w:rPr>
          <w:rFonts w:ascii="Times New Roman" w:hAnsi="Times New Roman"/>
          <w:sz w:val="20"/>
        </w:rPr>
        <w:t xml:space="preserve"> </w:t>
      </w:r>
      <w:r>
        <w:rPr>
          <w:rFonts w:ascii="Times New Roman;serif" w:hAnsi="Times New Roman;serif"/>
          <w:b w:val="false"/>
          <w:sz w:val="20"/>
        </w:rPr>
        <w:t>shares available for the Company to grant under the 2021 Equity Incentive Plan.</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Stock Options</w:t>
      </w:r>
    </w:p>
    <w:p>
      <w:pPr>
        <w:pStyle w:val="TextBody"/>
        <w:spacing w:before="120" w:after="0"/>
        <w:jc w:val="left"/>
        <w:rPr>
          <w:rFonts w:ascii="Times New Roman" w:hAnsi="Times New Roman"/>
          <w:sz w:val="20"/>
        </w:rPr>
      </w:pPr>
      <w:r>
        <w:rPr>
          <w:rFonts w:ascii="Times New Roman;serif" w:hAnsi="Times New Roman;serif"/>
          <w:b w:val="false"/>
          <w:sz w:val="20"/>
        </w:rPr>
        <w:t>The weighted average assumptions for the three months ended March 31, 2023 and 2022 are provided in the following table.</w:t>
      </w:r>
      <w:r>
        <w:rPr>
          <w:rFonts w:ascii="Times New Roman" w:hAnsi="Times New Roman"/>
          <w:sz w:val="20"/>
        </w:rPr>
        <w:t xml:space="preserve"> </w:t>
      </w:r>
    </w:p>
    <w:tbl>
      <w:tblPr>
        <w:tblW w:w="5191" w:type="dxa"/>
        <w:jc w:val="left"/>
        <w:tblInd w:w="0" w:type="dxa"/>
        <w:tblCellMar>
          <w:top w:w="28" w:type="dxa"/>
          <w:left w:w="28" w:type="dxa"/>
          <w:bottom w:w="28" w:type="dxa"/>
          <w:right w:w="28" w:type="dxa"/>
        </w:tblCellMar>
      </w:tblPr>
      <w:tblGrid>
        <w:gridCol w:w="2131"/>
        <w:gridCol w:w="146"/>
        <w:gridCol w:w="255"/>
        <w:gridCol w:w="692"/>
        <w:gridCol w:w="328"/>
        <w:gridCol w:w="176"/>
        <w:gridCol w:w="255"/>
        <w:gridCol w:w="692"/>
        <w:gridCol w:w="516"/>
      </w:tblGrid>
      <w:tr>
        <w:trPr/>
        <w:tc>
          <w:tcPr>
            <w:tcW w:w="21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Valuation assumptions: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328" w:type="dxa"/>
            <w:tcBorders/>
            <w:shd w:fill="auto" w:val="clear"/>
            <w:vAlign w:val="center"/>
          </w:tcPr>
          <w:p>
            <w:pPr>
              <w:pStyle w:val="TableContents"/>
              <w:spacing w:before="0" w:after="0"/>
              <w:ind w:left="0" w:right="0" w:hanging="0"/>
              <w:jc w:val="righ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516" w:type="dxa"/>
            <w:tcBorders/>
            <w:shd w:fill="auto" w:val="clear"/>
            <w:vAlign w:val="center"/>
          </w:tcPr>
          <w:p>
            <w:pPr>
              <w:pStyle w:val="TableContents"/>
              <w:spacing w:before="0" w:after="0"/>
              <w:ind w:left="0" w:right="0" w:firstLine="200"/>
              <w:jc w:val="right"/>
              <w:rPr/>
            </w:pPr>
            <w:r>
              <w:rPr/>
              <w:t> </w:t>
            </w:r>
          </w:p>
        </w:tc>
      </w:tr>
      <w:tr>
        <w:trPr/>
        <w:tc>
          <w:tcPr>
            <w:tcW w:w="21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w:t>
            </w:r>
            <w:r>
              <w:rPr>
                <w:rFonts w:ascii="Times New Roman;serif" w:hAnsi="Times New Roman;serif"/>
                <w:b w:val="false"/>
                <w:sz w:val="20"/>
              </w:rPr>
              <w:t>%</w:t>
            </w:r>
          </w:p>
        </w:tc>
        <w:tc>
          <w:tcPr>
            <w:tcW w:w="328" w:type="dxa"/>
            <w:tcBorders/>
            <w:shd w:fill="auto" w:val="clear"/>
            <w:vAlign w:val="center"/>
          </w:tcPr>
          <w:p>
            <w:pPr>
              <w:pStyle w:val="TableContents"/>
              <w:spacing w:before="0" w:after="0"/>
              <w:ind w:left="0" w:right="0" w:hanging="0"/>
              <w:jc w:val="righ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w:t>
            </w:r>
            <w:r>
              <w:rPr>
                <w:rFonts w:ascii="Times New Roman;serif" w:hAnsi="Times New Roman;serif"/>
                <w:b w:val="false"/>
                <w:sz w:val="20"/>
              </w:rPr>
              <w:t>%</w:t>
            </w:r>
          </w:p>
        </w:tc>
        <w:tc>
          <w:tcPr>
            <w:tcW w:w="516" w:type="dxa"/>
            <w:tcBorders/>
            <w:shd w:fill="auto" w:val="clear"/>
            <w:vAlign w:val="center"/>
          </w:tcPr>
          <w:p>
            <w:pPr>
              <w:pStyle w:val="TableContents"/>
              <w:spacing w:before="0" w:after="0"/>
              <w:ind w:left="0" w:right="0" w:firstLine="200"/>
              <w:jc w:val="right"/>
              <w:rPr/>
            </w:pPr>
            <w:r>
              <w:rPr/>
              <w:t> </w:t>
            </w:r>
          </w:p>
        </w:tc>
      </w:tr>
      <w:tr>
        <w:trPr/>
        <w:tc>
          <w:tcPr>
            <w:tcW w:w="21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3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Expected term (years)</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328"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516" w:type="dxa"/>
            <w:tcBorders/>
            <w:shd w:fill="auto" w:val="clear"/>
            <w:vAlign w:val="center"/>
          </w:tcPr>
          <w:p>
            <w:pPr>
              <w:pStyle w:val="TableContents"/>
              <w:spacing w:before="0" w:after="0"/>
              <w:ind w:left="0" w:right="0" w:firstLine="200"/>
              <w:jc w:val="left"/>
              <w:rPr/>
            </w:pPr>
            <w:r>
              <w:rPr/>
              <w:t> </w:t>
            </w:r>
          </w:p>
        </w:tc>
      </w:tr>
      <w:tr>
        <w:trPr/>
        <w:tc>
          <w:tcPr>
            <w:tcW w:w="21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3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Fair value of share</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11.37</w:t>
            </w:r>
          </w:p>
        </w:tc>
        <w:tc>
          <w:tcPr>
            <w:tcW w:w="328"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34.86</w:t>
            </w:r>
          </w:p>
        </w:tc>
        <w:tc>
          <w:tcPr>
            <w:tcW w:w="51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 summary of the status of the Company’s stock option activity and the changes during the three months ended March 31, 2023, are as follows (in millions, except share and per share amounts):</w:t>
      </w:r>
      <w:r>
        <w:rPr>
          <w:rFonts w:ascii="Times New Roman" w:hAnsi="Times New Roman"/>
          <w:sz w:val="20"/>
        </w:rPr>
        <w:t xml:space="preserve"> </w:t>
      </w:r>
    </w:p>
    <w:p>
      <w:pPr>
        <w:pStyle w:val="TextBody"/>
        <w:spacing w:before="0" w:after="0"/>
        <w:jc w:val="left"/>
        <w:rPr/>
      </w:pPr>
      <w:r>
        <w:rPr/>
        <w:t> </w:t>
      </w:r>
    </w:p>
    <w:tbl>
      <w:tblPr>
        <w:tblW w:w="8618" w:type="dxa"/>
        <w:jc w:val="left"/>
        <w:tblInd w:w="0" w:type="dxa"/>
        <w:tblCellMar>
          <w:top w:w="28" w:type="dxa"/>
          <w:left w:w="28" w:type="dxa"/>
          <w:bottom w:w="28" w:type="dxa"/>
          <w:right w:w="28" w:type="dxa"/>
        </w:tblCellMar>
      </w:tblPr>
      <w:tblGrid>
        <w:gridCol w:w="3121"/>
        <w:gridCol w:w="146"/>
        <w:gridCol w:w="146"/>
        <w:gridCol w:w="931"/>
        <w:gridCol w:w="166"/>
        <w:gridCol w:w="146"/>
        <w:gridCol w:w="229"/>
        <w:gridCol w:w="896"/>
        <w:gridCol w:w="146"/>
        <w:gridCol w:w="146"/>
        <w:gridCol w:w="285"/>
        <w:gridCol w:w="706"/>
        <w:gridCol w:w="146"/>
        <w:gridCol w:w="146"/>
        <w:gridCol w:w="271"/>
        <w:gridCol w:w="600"/>
        <w:gridCol w:w="391"/>
      </w:tblGrid>
      <w:tr>
        <w:trPr/>
        <w:tc>
          <w:tcPr>
            <w:tcW w:w="31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1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 Price</w:t>
              <w:br/>
              <w:t>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br/>
              <w:t>Remaining</w:t>
              <w:br/>
              <w:t>Contractual</w:t>
              <w:br/>
              <w:t>Term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w:t>
              <w:br/>
              <w:t>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12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Exercisable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1,391,047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3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2,841,419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61.4</w:t>
            </w:r>
          </w:p>
        </w:tc>
        <w:tc>
          <w:tcPr>
            <w:tcW w:w="391" w:type="dxa"/>
            <w:tcBorders/>
            <w:shd w:fill="auto" w:val="clear"/>
            <w:vAlign w:val="center"/>
          </w:tcPr>
          <w:p>
            <w:pPr>
              <w:pStyle w:val="TableContents"/>
              <w:spacing w:before="0" w:after="0"/>
              <w:ind w:left="0" w:right="0" w:firstLine="200"/>
              <w:jc w:val="left"/>
              <w:rPr/>
            </w:pPr>
            <w:r>
              <w:rPr/>
              <w:t> </w:t>
            </w:r>
          </w:p>
        </w:tc>
      </w:tr>
      <w:tr>
        <w:trPr/>
        <w:tc>
          <w:tcPr>
            <w:tcW w:w="31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428,278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31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(70,316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31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(60,347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31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Expired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3,138,478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3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Exercisable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1,581,106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7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The weighted average grant date fair value of options granted during the three months ended March 31, 2023 and 2022, was $17.00</w:t>
      </w:r>
      <w:r>
        <w:rPr>
          <w:rFonts w:ascii="Times New Roman" w:hAnsi="Times New Roman"/>
          <w:sz w:val="20"/>
        </w:rPr>
        <w:t xml:space="preserve"> </w:t>
      </w:r>
      <w:r>
        <w:rPr>
          <w:rFonts w:ascii="Times New Roman;serif" w:hAnsi="Times New Roman;serif"/>
          <w:b w:val="false"/>
          <w:sz w:val="20"/>
        </w:rPr>
        <w:t>and $21.08, respectively. The total intrinsic value of options exercised during the three months ended March 31, 2023 and 2022, was $1.3</w:t>
      </w:r>
      <w:r>
        <w:rPr>
          <w:rFonts w:ascii="Times New Roman" w:hAnsi="Times New Roman"/>
          <w:sz w:val="20"/>
        </w:rPr>
        <w:t xml:space="preserve"> </w:t>
      </w:r>
      <w:r>
        <w:rPr>
          <w:rFonts w:ascii="Times New Roman;serif" w:hAnsi="Times New Roman;serif"/>
          <w:b w:val="false"/>
          <w:sz w:val="20"/>
        </w:rPr>
        <w:t>million and $9.7</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At March 31, 2023 and 2022, there was approximately $21.7</w:t>
      </w:r>
      <w:r>
        <w:rPr>
          <w:rFonts w:ascii="Times New Roman" w:hAnsi="Times New Roman"/>
          <w:sz w:val="20"/>
        </w:rPr>
        <w:t xml:space="preserve"> </w:t>
      </w:r>
      <w:r>
        <w:rPr>
          <w:rFonts w:ascii="Times New Roman;serif" w:hAnsi="Times New Roman;serif"/>
          <w:b w:val="false"/>
          <w:sz w:val="20"/>
        </w:rPr>
        <w:t>million and $25.5</w:t>
      </w:r>
      <w:r>
        <w:rPr>
          <w:rFonts w:ascii="Times New Roman" w:hAnsi="Times New Roman"/>
          <w:sz w:val="20"/>
        </w:rPr>
        <w:t xml:space="preserve"> </w:t>
      </w:r>
      <w:r>
        <w:rPr>
          <w:rFonts w:ascii="Times New Roman;serif" w:hAnsi="Times New Roman;serif"/>
          <w:b w:val="false"/>
          <w:sz w:val="20"/>
        </w:rPr>
        <w:t>million, respectively, of total unrecognized compensation cost related to unvested stock options. That cost is expected to be recognized over a weighted average period of approximately three years</w:t>
      </w:r>
      <w:r>
        <w:rPr>
          <w:rFonts w:ascii="Times New Roman" w:hAnsi="Times New Roman"/>
          <w:sz w:val="20"/>
        </w:rPr>
        <w:t xml:space="preserve"> </w:t>
      </w:r>
      <w:r>
        <w:rPr>
          <w:rFonts w:ascii="Times New Roman;serif" w:hAnsi="Times New Roman;serif"/>
          <w:b w:val="false"/>
          <w:sz w:val="20"/>
        </w:rPr>
        <w:t>as of March 31, 2023 and 2022.</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currently uses authorized and unissued shares to satisfy share award exercises.</w:t>
      </w:r>
    </w:p>
    <w:p>
      <w:pPr>
        <w:pStyle w:val="TextBody"/>
        <w:spacing w:before="120" w:after="0"/>
        <w:jc w:val="left"/>
        <w:rPr>
          <w:rFonts w:ascii="Times New Roman;serif" w:hAnsi="Times New Roman;serif"/>
          <w:b/>
          <w:sz w:val="20"/>
        </w:rPr>
      </w:pPr>
      <w:r>
        <w:rPr>
          <w:rFonts w:ascii="Times New Roman;serif" w:hAnsi="Times New Roman;serif"/>
          <w:b/>
          <w:sz w:val="20"/>
        </w:rPr>
        <w:t>Restricted Stock Units</w:t>
      </w:r>
    </w:p>
    <w:p>
      <w:pPr>
        <w:pStyle w:val="TextBody"/>
        <w:spacing w:before="120" w:after="0"/>
        <w:jc w:val="left"/>
        <w:rPr>
          <w:rFonts w:ascii="Times New Roman" w:hAnsi="Times New Roman"/>
          <w:sz w:val="20"/>
        </w:rPr>
      </w:pPr>
      <w:r>
        <w:rPr>
          <w:rFonts w:ascii="Times New Roman;serif" w:hAnsi="Times New Roman;serif"/>
          <w:b w:val="false"/>
          <w:sz w:val="20"/>
        </w:rPr>
        <w:t>A summary of the status of the Company’s restricted stock unit activity and the changes during the three months ended March 31, 2023 are as follows (in millions, except share and per share amounts):</w:t>
      </w:r>
      <w:r>
        <w:rPr>
          <w:rFonts w:ascii="Times New Roman" w:hAnsi="Times New Roman"/>
          <w:sz w:val="20"/>
        </w:rPr>
        <w:t xml:space="preserve"> </w:t>
      </w:r>
    </w:p>
    <w:p>
      <w:pPr>
        <w:pStyle w:val="TextBody"/>
        <w:spacing w:before="120" w:after="0"/>
        <w:jc w:val="left"/>
        <w:rPr/>
      </w:pPr>
      <w:r>
        <w:rPr/>
        <w:t> </w:t>
      </w:r>
    </w:p>
    <w:tbl>
      <w:tblPr>
        <w:tblW w:w="8845" w:type="dxa"/>
        <w:jc w:val="left"/>
        <w:tblInd w:w="0" w:type="dxa"/>
        <w:tblCellMar>
          <w:top w:w="28" w:type="dxa"/>
          <w:left w:w="28" w:type="dxa"/>
          <w:bottom w:w="28" w:type="dxa"/>
          <w:right w:w="28" w:type="dxa"/>
        </w:tblCellMar>
      </w:tblPr>
      <w:tblGrid>
        <w:gridCol w:w="3421"/>
        <w:gridCol w:w="146"/>
        <w:gridCol w:w="146"/>
        <w:gridCol w:w="931"/>
        <w:gridCol w:w="166"/>
        <w:gridCol w:w="146"/>
        <w:gridCol w:w="516"/>
        <w:gridCol w:w="2019"/>
        <w:gridCol w:w="146"/>
        <w:gridCol w:w="146"/>
        <w:gridCol w:w="271"/>
        <w:gridCol w:w="600"/>
        <w:gridCol w:w="191"/>
      </w:tblGrid>
      <w:tr>
        <w:trPr/>
        <w:tc>
          <w:tcPr>
            <w:tcW w:w="3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20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Grant Date fair value (per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w:t>
              <w:br/>
              <w:t>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RSUs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875,902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left"/>
              <w:rPr/>
            </w:pPr>
            <w:r>
              <w:rPr/>
              <w:t> </w:t>
            </w:r>
          </w:p>
        </w:tc>
        <w:tc>
          <w:tcPr>
            <w:tcW w:w="2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w:t>
            </w:r>
          </w:p>
        </w:tc>
        <w:tc>
          <w:tcPr>
            <w:tcW w:w="1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1,242,169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left"/>
              <w:rPr/>
            </w:pPr>
            <w:r>
              <w:rPr/>
              <w:t> </w:t>
            </w:r>
          </w:p>
        </w:tc>
        <w:tc>
          <w:tcPr>
            <w:tcW w:w="2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(169,371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left"/>
              <w:rPr/>
            </w:pPr>
            <w:r>
              <w:rPr/>
              <w:t> </w:t>
            </w:r>
          </w:p>
        </w:tc>
        <w:tc>
          <w:tcPr>
            <w:tcW w:w="2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 and cancelled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(97,629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left"/>
              <w:rPr/>
            </w:pPr>
            <w:r>
              <w:rPr/>
              <w:t> </w:t>
            </w:r>
          </w:p>
        </w:tc>
        <w:tc>
          <w:tcPr>
            <w:tcW w:w="2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RSUs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1,851,071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left"/>
              <w:rPr/>
            </w:pPr>
            <w:r>
              <w:rPr/>
              <w:t> </w:t>
            </w:r>
          </w:p>
        </w:tc>
        <w:tc>
          <w:tcPr>
            <w:tcW w:w="2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At March 31, 2023 and 2022, there was approximately $43.5</w:t>
      </w:r>
      <w:r>
        <w:rPr>
          <w:rFonts w:ascii="Times New Roman" w:hAnsi="Times New Roman"/>
          <w:sz w:val="20"/>
        </w:rPr>
        <w:t xml:space="preserve"> </w:t>
      </w:r>
      <w:r>
        <w:rPr>
          <w:rFonts w:ascii="Times New Roman;serif" w:hAnsi="Times New Roman;serif"/>
          <w:b w:val="false"/>
          <w:sz w:val="20"/>
        </w:rPr>
        <w:t>million and $35.3</w:t>
      </w:r>
      <w:r>
        <w:rPr>
          <w:rFonts w:ascii="Times New Roman" w:hAnsi="Times New Roman"/>
          <w:sz w:val="20"/>
        </w:rPr>
        <w:t xml:space="preserve"> </w:t>
      </w:r>
      <w:r>
        <w:rPr>
          <w:rFonts w:ascii="Times New Roman;serif" w:hAnsi="Times New Roman;serif"/>
          <w:b w:val="false"/>
          <w:sz w:val="20"/>
        </w:rPr>
        <w:t>million, respectively of total unrecognized compensation cost related to unvested restricted stock units granted under the 2021 Equity Incentive Plan. That cost is expected to be recognized over a weighted average period of approximately three years</w:t>
      </w:r>
      <w:r>
        <w:rPr>
          <w:rFonts w:ascii="Times New Roman" w:hAnsi="Times New Roman"/>
          <w:sz w:val="20"/>
        </w:rPr>
        <w:t xml:space="preserve"> </w:t>
      </w:r>
      <w:r>
        <w:rPr>
          <w:rFonts w:ascii="Times New Roman;serif" w:hAnsi="Times New Roman;serif"/>
          <w:b w:val="false"/>
          <w:sz w:val="20"/>
        </w:rPr>
        <w:t>and four years</w:t>
      </w:r>
      <w:r>
        <w:rPr>
          <w:rFonts w:ascii="Times New Roman" w:hAnsi="Times New Roman"/>
          <w:sz w:val="20"/>
        </w:rPr>
        <w:t xml:space="preserve"> </w:t>
      </w:r>
      <w:r>
        <w:rPr>
          <w:rFonts w:ascii="Times New Roman;serif" w:hAnsi="Times New Roman;serif"/>
          <w:b w:val="false"/>
          <w:sz w:val="20"/>
        </w:rPr>
        <w:t>as of March 31, 2023 and March 31, 2022, respectively.</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Total stock-based compensation cost for the three months ended March 31, 2023 and 2022 were as follows (in thousands):</w:t>
      </w:r>
      <w:r>
        <w:rPr>
          <w:rFonts w:ascii="Times New Roman" w:hAnsi="Times New Roman"/>
          <w:sz w:val="20"/>
        </w:rPr>
        <w:t xml:space="preserve"> </w:t>
      </w:r>
    </w:p>
    <w:tbl>
      <w:tblPr>
        <w:tblW w:w="5659" w:type="dxa"/>
        <w:jc w:val="left"/>
        <w:tblInd w:w="0" w:type="dxa"/>
        <w:tblCellMar>
          <w:top w:w="28" w:type="dxa"/>
          <w:left w:w="28" w:type="dxa"/>
          <w:bottom w:w="28" w:type="dxa"/>
          <w:right w:w="28" w:type="dxa"/>
        </w:tblCellMar>
      </w:tblPr>
      <w:tblGrid>
        <w:gridCol w:w="2926"/>
        <w:gridCol w:w="146"/>
        <w:gridCol w:w="272"/>
        <w:gridCol w:w="738"/>
        <w:gridCol w:w="188"/>
        <w:gridCol w:w="188"/>
        <w:gridCol w:w="272"/>
        <w:gridCol w:w="738"/>
        <w:gridCol w:w="191"/>
      </w:tblGrid>
      <w:tr>
        <w:trPr/>
        <w:tc>
          <w:tcPr>
            <w:tcW w:w="2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1,052</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636</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Operations and support</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1,697</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1,423</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1,076</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894</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869</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4,694</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sz w:val="20"/>
        </w:rPr>
        <w:t>(11)</w:t>
      </w:r>
      <w:r>
        <w:rPr>
          <w:rFonts w:ascii="Times New Roman" w:hAnsi="Times New Roman"/>
          <w:sz w:val="20"/>
        </w:rPr>
        <w:t xml:space="preserve"> </w:t>
      </w:r>
      <w:r>
        <w:rPr>
          <w:rFonts w:ascii="Times New Roman;serif" w:hAnsi="Times New Roman;serif"/>
          <w:b/>
          <w:sz w:val="20"/>
        </w:rPr>
        <w:t>Income Taxes</w:t>
      </w:r>
      <w:r>
        <w:rPr>
          <w:rFonts w:ascii="Times New Roman" w:hAnsi="Times New Roman"/>
          <w:sz w:val="20"/>
        </w:rPr>
        <w:t xml:space="preserve"> </w:t>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full valuation allowance has been established against our net U.S. federal and state deferred tax assets and foreign deferred tax assets, including net operating loss carryforwards.</w:t>
      </w:r>
    </w:p>
    <w:p>
      <w:pPr>
        <w:pStyle w:val="TextBody"/>
        <w:spacing w:before="120" w:after="0"/>
        <w:jc w:val="left"/>
        <w:rPr>
          <w:rFonts w:ascii="Times New Roman" w:hAnsi="Times New Roman"/>
          <w:sz w:val="20"/>
        </w:rPr>
      </w:pPr>
      <w:r>
        <w:rPr>
          <w:rFonts w:ascii="Times New Roman;serif" w:hAnsi="Times New Roman;serif"/>
          <w:b w:val="false"/>
          <w:sz w:val="20"/>
        </w:rPr>
        <w:t>During the three months ended March 31, 2023, the Company has a $0.1</w:t>
      </w:r>
      <w:r>
        <w:rPr>
          <w:rFonts w:ascii="Times New Roman" w:hAnsi="Times New Roman"/>
          <w:sz w:val="20"/>
        </w:rPr>
        <w:t xml:space="preserve"> </w:t>
      </w:r>
      <w:r>
        <w:rPr>
          <w:rFonts w:ascii="Times New Roman;serif" w:hAnsi="Times New Roman;serif"/>
          <w:b w:val="false"/>
          <w:sz w:val="20"/>
        </w:rPr>
        <w:t>million income tax expense in the U.S. The Company had a $0.6</w:t>
      </w:r>
      <w:r>
        <w:rPr>
          <w:rFonts w:ascii="Times New Roman" w:hAnsi="Times New Roman"/>
          <w:sz w:val="20"/>
        </w:rPr>
        <w:t xml:space="preserve"> </w:t>
      </w:r>
      <w:r>
        <w:rPr>
          <w:rFonts w:ascii="Times New Roman;serif" w:hAnsi="Times New Roman;serif"/>
          <w:b w:val="false"/>
          <w:sz w:val="20"/>
        </w:rPr>
        <w:t>million income tax benefit in the U.S. for the three months ended March 31, 2022. This estimated annual effective tax rate of (0.1)%, differs from the U.S. federal statutory rate primarily due to the effects of certain permanent items, foreign tax rate differences, and increases in the valuation allowance against deferred tax assets.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Net Operating Loss and Credit Carryforwards</w:t>
      </w:r>
    </w:p>
    <w:p>
      <w:pPr>
        <w:pStyle w:val="TextBody"/>
        <w:spacing w:before="120" w:after="0"/>
        <w:jc w:val="left"/>
        <w:rPr>
          <w:rFonts w:ascii="Times New Roman" w:hAnsi="Times New Roman"/>
          <w:sz w:val="20"/>
        </w:rPr>
      </w:pPr>
      <w:r>
        <w:rPr>
          <w:rFonts w:ascii="Times New Roman;serif" w:hAnsi="Times New Roman;serif"/>
          <w:b w:val="false"/>
          <w:sz w:val="20"/>
        </w:rPr>
        <w:t>As of December 31, 2022, the Company has net operating loss (“NOL”) carryforwards for U.S. federal income tax purposes, and similar state amounts, of approximately $224.6</w:t>
      </w:r>
      <w:r>
        <w:rPr>
          <w:rFonts w:ascii="Times New Roman" w:hAnsi="Times New Roman"/>
          <w:sz w:val="20"/>
        </w:rPr>
        <w:t xml:space="preserve"> </w:t>
      </w:r>
      <w:r>
        <w:rPr>
          <w:rFonts w:ascii="Times New Roman;serif" w:hAnsi="Times New Roman;serif"/>
          <w:b w:val="false"/>
          <w:sz w:val="20"/>
        </w:rPr>
        <w:t>million available to reduce future income subject to income taxes before limitations. As of December 31, 2022, the Company had a net operating loss carryforward for tax purposes related to its foreign subsidiaries of $33.8</w:t>
      </w:r>
      <w:r>
        <w:rPr>
          <w:rFonts w:ascii="Times New Roman" w:hAnsi="Times New Roman"/>
          <w:sz w:val="20"/>
        </w:rPr>
        <w:t xml:space="preserve"> </w:t>
      </w:r>
      <w:r>
        <w:rPr>
          <w:rFonts w:ascii="Times New Roman;serif" w:hAnsi="Times New Roman;serif"/>
          <w:b w:val="false"/>
          <w:sz w:val="20"/>
        </w:rPr>
        <w:t>million. U.S. federal net operating carryforwards generated prior to 2018 in the approximate amount of $71.9</w:t>
      </w:r>
      <w:r>
        <w:rPr>
          <w:rFonts w:ascii="Times New Roman" w:hAnsi="Times New Roman"/>
          <w:sz w:val="20"/>
        </w:rPr>
        <w:t xml:space="preserve"> </w:t>
      </w:r>
      <w:r>
        <w:rPr>
          <w:rFonts w:ascii="Times New Roman;serif" w:hAnsi="Times New Roman;serif"/>
          <w:b w:val="false"/>
          <w:sz w:val="20"/>
        </w:rPr>
        <w:t>million will begin to expire, if not utilized, in 2023. Our non-U.S. net operating loss and U.S. federal net operating losses post 2017 have an indefinite life. Under the provisions of U.S. Internal Revenue Code Section 382, certain substantial changes in the Company’s ownership may result in a limitation in the amount of U.S. net operating loss carryforwards that can be utilized annually to offset future taxable income.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(12)</w:t>
      </w:r>
      <w:r>
        <w:rPr>
          <w:rFonts w:ascii="Times New Roman" w:hAnsi="Times New Roman"/>
          <w:sz w:val="20"/>
        </w:rPr>
        <w:t xml:space="preserve"> </w:t>
      </w:r>
      <w:r>
        <w:rPr>
          <w:rFonts w:ascii="Times New Roman;serif" w:hAnsi="Times New Roman;serif"/>
          <w:b/>
          <w:sz w:val="20"/>
        </w:rPr>
        <w:t>Net Loss Per Share Attributable to Common Stockholders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Company computes net loss per share of Class A common stock, Class B common stock and participating securities using the two-class method. Basic and diluted EPS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 </w:t>
      </w:r>
    </w:p>
    <w:p>
      <w:pPr>
        <w:pStyle w:val="TextBody"/>
        <w:spacing w:before="120" w:after="0"/>
        <w:jc w:val="left"/>
        <w:rPr/>
      </w:pPr>
      <w:r>
        <w:rPr/>
        <w:t> </w:t>
      </w:r>
    </w:p>
    <w:tbl>
      <w:tblPr>
        <w:tblW w:w="10205" w:type="dxa"/>
        <w:jc w:val="left"/>
        <w:tblInd w:w="0" w:type="dxa"/>
        <w:tblCellMar>
          <w:top w:w="28" w:type="dxa"/>
          <w:left w:w="28" w:type="dxa"/>
          <w:bottom w:w="28" w:type="dxa"/>
          <w:right w:w="28" w:type="dxa"/>
        </w:tblCellMar>
      </w:tblPr>
      <w:tblGrid>
        <w:gridCol w:w="7042"/>
        <w:gridCol w:w="146"/>
        <w:gridCol w:w="211"/>
        <w:gridCol w:w="1036"/>
        <w:gridCol w:w="166"/>
        <w:gridCol w:w="146"/>
        <w:gridCol w:w="211"/>
        <w:gridCol w:w="1036"/>
        <w:gridCol w:w="211"/>
      </w:tblGrid>
      <w:tr>
        <w:trPr/>
        <w:tc>
          <w:tcPr>
            <w:tcW w:w="70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704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04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0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(19,995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common stockholders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(18,344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(20,012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4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70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number of shares outstanding used to compute net loss per share attributable to common stockholders,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47,699,561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46,789,585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attributable to common stockholders,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p>
      <w:pPr>
        <w:pStyle w:val="TextBody"/>
        <w:spacing w:before="0" w:after="0"/>
        <w:jc w:val="left"/>
        <w:rPr/>
      </w:pPr>
      <w:r>
        <w:rPr/>
        <w:t> </w:t>
      </w:r>
    </w:p>
    <w:tbl>
      <w:tblPr>
        <w:tblW w:w="6444" w:type="dxa"/>
        <w:jc w:val="left"/>
        <w:tblInd w:w="0" w:type="dxa"/>
        <w:tblCellMar>
          <w:top w:w="28" w:type="dxa"/>
          <w:left w:w="28" w:type="dxa"/>
          <w:bottom w:w="28" w:type="dxa"/>
          <w:right w:w="28" w:type="dxa"/>
        </w:tblCellMar>
      </w:tblPr>
      <w:tblGrid>
        <w:gridCol w:w="3556"/>
        <w:gridCol w:w="146"/>
        <w:gridCol w:w="146"/>
        <w:gridCol w:w="1036"/>
        <w:gridCol w:w="146"/>
        <w:gridCol w:w="146"/>
        <w:gridCol w:w="146"/>
        <w:gridCol w:w="931"/>
        <w:gridCol w:w="191"/>
      </w:tblGrid>
      <w:tr>
        <w:trPr/>
        <w:tc>
          <w:tcPr>
            <w:tcW w:w="35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5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outstanding</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3,138,478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3,277,025</w:t>
            </w:r>
          </w:p>
        </w:tc>
        <w:tc>
          <w:tcPr>
            <w:tcW w:w="19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1,851,071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815,543</w:t>
            </w:r>
          </w:p>
        </w:tc>
        <w:tc>
          <w:tcPr>
            <w:tcW w:w="19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 outstanding</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87,784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87,784</w:t>
            </w:r>
          </w:p>
        </w:tc>
        <w:tc>
          <w:tcPr>
            <w:tcW w:w="19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charitable contribution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281,860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362,392</w:t>
            </w:r>
          </w:p>
        </w:tc>
        <w:tc>
          <w:tcPr>
            <w:tcW w:w="19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notes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5,123,624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5,123,624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shares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10,482,817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9,666,368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sz w:val="20"/>
        </w:rPr>
        <w:t>(13)</w:t>
      </w:r>
      <w:r>
        <w:rPr>
          <w:rFonts w:ascii="Times New Roman" w:hAnsi="Times New Roman"/>
          <w:sz w:val="20"/>
        </w:rPr>
        <w:t xml:space="preserve"> </w:t>
      </w:r>
      <w:r>
        <w:rPr>
          <w:rFonts w:ascii="Times New Roman;serif" w:hAnsi="Times New Roman;serif"/>
          <w:b/>
          <w:sz w:val="20"/>
        </w:rPr>
        <w:t>Debt Commitments and Contingencies</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2027 Convertible Notes</w:t>
      </w:r>
    </w:p>
    <w:p>
      <w:pPr>
        <w:pStyle w:val="TextBody"/>
        <w:spacing w:before="120" w:after="0"/>
        <w:jc w:val="left"/>
        <w:rPr>
          <w:rFonts w:ascii="Times New Roman" w:hAnsi="Times New Roman"/>
          <w:sz w:val="20"/>
        </w:rPr>
      </w:pPr>
      <w:r>
        <w:rPr>
          <w:rFonts w:ascii="Times New Roman;serif" w:hAnsi="Times New Roman;serif"/>
          <w:b w:val="false"/>
          <w:sz w:val="20"/>
        </w:rPr>
        <w:t>In February 2022, we entered into a purchase agreement with certain counterparties for the sale of an aggregate of $287.5</w:t>
      </w:r>
      <w:r>
        <w:rPr>
          <w:rFonts w:ascii="Times New Roman" w:hAnsi="Times New Roman"/>
          <w:sz w:val="20"/>
        </w:rPr>
        <w:t xml:space="preserve"> </w:t>
      </w:r>
      <w:r>
        <w:rPr>
          <w:rFonts w:ascii="Times New Roman;serif" w:hAnsi="Times New Roman;serif"/>
          <w:b w:val="false"/>
          <w:sz w:val="20"/>
        </w:rPr>
        <w:t>million principal amount of convertible senior notes due in 2027 (the “2027 Notes”) in a private offering to qualified institutional buyers pursuant to Rule 144A under the Securities Act of 1933, as amended (the “Securities Act”). The 2027 Notes consisted of a $250</w:t>
      </w:r>
      <w:r>
        <w:rPr>
          <w:rFonts w:ascii="Times New Roman" w:hAnsi="Times New Roman"/>
          <w:sz w:val="20"/>
        </w:rPr>
        <w:t xml:space="preserve"> </w:t>
      </w:r>
      <w:r>
        <w:rPr>
          <w:rFonts w:ascii="Times New Roman;serif" w:hAnsi="Times New Roman;serif"/>
          <w:b w:val="false"/>
          <w:sz w:val="20"/>
        </w:rPr>
        <w:t>million initial placement and an over-allotment option that provided the initial purchasers of the 2027 Notes with the option to purchase an additional $37.5</w:t>
      </w:r>
      <w:r>
        <w:rPr>
          <w:rFonts w:ascii="Times New Roman" w:hAnsi="Times New Roman"/>
          <w:sz w:val="20"/>
        </w:rPr>
        <w:t xml:space="preserve"> </w:t>
      </w:r>
      <w:r>
        <w:rPr>
          <w:rFonts w:ascii="Times New Roman;serif" w:hAnsi="Times New Roman;serif"/>
          <w:b w:val="false"/>
          <w:sz w:val="20"/>
        </w:rPr>
        <w:t>million aggregate principal amount of the 2027 Notes, which was fully exercised. The 2027 Notes were issued pursuant to an indenture dated February 4, 2022. The net proceeds from the issuance of the 2027 Notes were $278.2</w:t>
      </w:r>
      <w:r>
        <w:rPr>
          <w:rFonts w:ascii="Times New Roman" w:hAnsi="Times New Roman"/>
          <w:sz w:val="20"/>
        </w:rPr>
        <w:t xml:space="preserve"> </w:t>
      </w:r>
      <w:r>
        <w:rPr>
          <w:rFonts w:ascii="Times New Roman;serif" w:hAnsi="Times New Roman;serif"/>
          <w:b w:val="false"/>
          <w:sz w:val="20"/>
        </w:rPr>
        <w:t>million, net of debt issuance costs. The debt issuance costs are amortized to interest expense using the effective interest rate method.</w:t>
      </w:r>
    </w:p>
    <w:p>
      <w:pPr>
        <w:pStyle w:val="TextBody"/>
        <w:spacing w:before="120" w:after="0"/>
        <w:jc w:val="left"/>
        <w:rPr>
          <w:rFonts w:ascii="Times New Roman" w:hAnsi="Times New Roman"/>
          <w:sz w:val="20"/>
        </w:rPr>
      </w:pPr>
      <w:r>
        <w:rPr>
          <w:rFonts w:ascii="Times New Roman;serif" w:hAnsi="Times New Roman;serif"/>
          <w:b w:val="false"/>
          <w:sz w:val="20"/>
        </w:rPr>
        <w:t>The 2027 Notes are unsecured obligations which bear regular interest at 1% per annum and for which the principal balance will not accrete. Interest payment are due on February 1 and August 1 of each year the Notes remain outstanding. The 2027 Notes will mature on February 1, 2027</w:t>
      </w:r>
      <w:r>
        <w:rPr>
          <w:rFonts w:ascii="Times New Roman" w:hAnsi="Times New Roman"/>
          <w:sz w:val="20"/>
        </w:rPr>
        <w:t xml:space="preserve"> </w:t>
      </w:r>
      <w:r>
        <w:rPr>
          <w:rFonts w:ascii="Times New Roman;serif" w:hAnsi="Times New Roman;serif"/>
          <w:b w:val="false"/>
          <w:sz w:val="20"/>
        </w:rPr>
        <w:t>unless repurchased, redeemed, or converted in accordance with their terms prior to such date.</w:t>
      </w:r>
    </w:p>
    <w:p>
      <w:pPr>
        <w:pStyle w:val="TextBody"/>
        <w:spacing w:before="120" w:after="0"/>
        <w:jc w:val="left"/>
        <w:rPr>
          <w:rFonts w:ascii="Times New Roman" w:hAnsi="Times New Roman"/>
          <w:sz w:val="20"/>
        </w:rPr>
      </w:pPr>
      <w:r>
        <w:rPr>
          <w:rFonts w:ascii="Times New Roman;serif" w:hAnsi="Times New Roman;serif"/>
          <w:b w:val="false"/>
          <w:sz w:val="20"/>
        </w:rPr>
        <w:t>The 2027 Notes are convertible into cash, shares of our Class A common stock, or a combination of cash and shares of our Class A common stock, at our election, at an initial conversion rate of 17.8213</w:t>
      </w:r>
      <w:r>
        <w:rPr>
          <w:rFonts w:ascii="Times New Roman" w:hAnsi="Times New Roman"/>
          <w:sz w:val="20"/>
        </w:rPr>
        <w:t xml:space="preserve"> </w:t>
      </w:r>
      <w:r>
        <w:rPr>
          <w:rFonts w:ascii="Times New Roman;serif" w:hAnsi="Times New Roman;serif"/>
          <w:b w:val="false"/>
          <w:sz w:val="20"/>
        </w:rPr>
        <w:t>shares of Class A common stock per $1,000</w:t>
      </w:r>
      <w:r>
        <w:rPr>
          <w:rFonts w:ascii="Times New Roman" w:hAnsi="Times New Roman"/>
          <w:sz w:val="20"/>
        </w:rPr>
        <w:t xml:space="preserve"> </w:t>
      </w:r>
      <w:r>
        <w:rPr>
          <w:rFonts w:ascii="Times New Roman;serif" w:hAnsi="Times New Roman;serif"/>
          <w:b w:val="false"/>
          <w:sz w:val="20"/>
        </w:rPr>
        <w:t>principal amount of 2027 Notes, which is equivalent to an initial conversion price of approximately $56.11</w:t>
      </w:r>
      <w:r>
        <w:rPr>
          <w:rFonts w:ascii="Times New Roman" w:hAnsi="Times New Roman"/>
          <w:sz w:val="20"/>
        </w:rPr>
        <w:t xml:space="preserve"> </w:t>
      </w:r>
      <w:r>
        <w:rPr>
          <w:rFonts w:ascii="Times New Roman;serif" w:hAnsi="Times New Roman;serif"/>
          <w:b w:val="false"/>
          <w:sz w:val="20"/>
        </w:rPr>
        <w:t>per share of our Class A common stock. The conversion rate is subject to customary adjustments for certain events as described in the indenture governing the 2027 Notes.</w:t>
      </w:r>
    </w:p>
    <w:p>
      <w:pPr>
        <w:pStyle w:val="TextBody"/>
        <w:spacing w:before="120" w:after="0"/>
        <w:jc w:val="left"/>
        <w:rPr>
          <w:rFonts w:ascii="Times New Roman" w:hAnsi="Times New Roman"/>
          <w:sz w:val="20"/>
        </w:rPr>
      </w:pPr>
      <w:r>
        <w:rPr>
          <w:rFonts w:ascii="Times New Roman;serif" w:hAnsi="Times New Roman;serif"/>
          <w:b w:val="false"/>
          <w:sz w:val="20"/>
        </w:rPr>
        <w:t>We may redeem for cash all or any portion of the 2027 Notes, at our option, on or after February 5, 2025 if the last reported sale price of our Class A common stock has been at least 130% of the conversion price then in effect for at least 20</w:t>
      </w:r>
      <w:r>
        <w:rPr>
          <w:rFonts w:ascii="Times New Roman" w:hAnsi="Times New Roman"/>
          <w:sz w:val="20"/>
        </w:rPr>
        <w:t xml:space="preserve"> </w:t>
      </w:r>
      <w:r>
        <w:rPr>
          <w:rFonts w:ascii="Times New Roman;serif" w:hAnsi="Times New Roman;serif"/>
          <w:b w:val="false"/>
          <w:sz w:val="20"/>
        </w:rPr>
        <w:t>trading days at a redemption price equal to 100% of the principal amount of the 2027 Notes to be redeemed, plus accrued and unpaid interest or additional interest, if any.</w:t>
      </w:r>
    </w:p>
    <w:p>
      <w:pPr>
        <w:pStyle w:val="TextBody"/>
        <w:spacing w:before="120" w:after="0"/>
        <w:jc w:val="left"/>
        <w:rPr>
          <w:rFonts w:ascii="Times New Roman" w:hAnsi="Times New Roman"/>
          <w:sz w:val="20"/>
        </w:rPr>
      </w:pPr>
      <w:r>
        <w:rPr>
          <w:rFonts w:ascii="Times New Roman;serif" w:hAnsi="Times New Roman;serif"/>
          <w:b w:val="false"/>
          <w:sz w:val="20"/>
        </w:rPr>
        <w:t>Holders of the 2027 Notes may convert all or a portion of their 2027 Notes at their option prior to November 1, 2026, in multiples of $1,000</w:t>
      </w:r>
      <w:r>
        <w:rPr>
          <w:rFonts w:ascii="Times New Roman" w:hAnsi="Times New Roman"/>
          <w:sz w:val="20"/>
        </w:rPr>
        <w:t xml:space="preserve"> </w:t>
      </w:r>
      <w:r>
        <w:rPr>
          <w:rFonts w:ascii="Times New Roman;serif" w:hAnsi="Times New Roman;serif"/>
          <w:b w:val="false"/>
          <w:sz w:val="20"/>
        </w:rPr>
        <w:t>principal amounts, only under the following circumstances:</w:t>
      </w:r>
    </w:p>
    <w:p>
      <w:pPr>
        <w:pStyle w:val="TextBody"/>
        <w:spacing w:before="120" w:after="0"/>
        <w:jc w:val="both"/>
        <w:rPr/>
      </w:pPr>
      <w:r>
        <w:rPr/>
        <w:t>•</w:t>
      </w:r>
    </w:p>
    <w:p>
      <w:pPr>
        <w:pStyle w:val="TextBody"/>
        <w:spacing w:before="120" w:after="0"/>
        <w:jc w:val="both"/>
        <w:rPr/>
      </w:pPr>
      <w:r>
        <w:rPr>
          <w:rFonts w:ascii="Times New Roman;serif" w:hAnsi="Times New Roman;serif"/>
          <w:b w:val="false"/>
          <w:sz w:val="20"/>
        </w:rPr>
        <w:t>if the last reported sale price of our Class A common stock for at least 20</w:t>
      </w:r>
      <w:r>
        <w:rPr/>
        <w:t xml:space="preserve"> </w:t>
      </w:r>
      <w:r>
        <w:rPr>
          <w:rFonts w:ascii="Times New Roman;serif" w:hAnsi="Times New Roman;serif"/>
          <w:b w:val="false"/>
          <w:sz w:val="20"/>
        </w:rPr>
        <w:t>trading days (whether or not consecutive) during the period of 30</w:t>
      </w:r>
      <w:r>
        <w:rPr/>
        <w:t xml:space="preserve"> </w:t>
      </w:r>
      <w:r>
        <w:rPr>
          <w:rFonts w:ascii="Times New Roman;serif" w:hAnsi="Times New Roman;serif"/>
          <w:b w:val="false"/>
          <w:sz w:val="20"/>
        </w:rPr>
        <w:t>consecutive trading days ending on the last trading day of the preceding calendar quarter is greater than or equal to 130% of the applicable conversion price of the 2027 Notes on each such trading day;</w:t>
      </w:r>
    </w:p>
    <w:p>
      <w:pPr>
        <w:pStyle w:val="TextBody"/>
        <w:spacing w:before="120" w:after="0"/>
        <w:jc w:val="both"/>
        <w:rPr/>
      </w:pPr>
      <w:r>
        <w:rPr/>
        <w:t>•</w:t>
      </w:r>
    </w:p>
    <w:p>
      <w:pPr>
        <w:pStyle w:val="TextBody"/>
        <w:spacing w:before="120" w:after="0"/>
        <w:jc w:val="both"/>
        <w:rPr/>
      </w:pPr>
      <w:r>
        <w:rPr>
          <w:rFonts w:ascii="Times New Roman;serif" w:hAnsi="Times New Roman;serif"/>
          <w:b w:val="false"/>
          <w:sz w:val="20"/>
        </w:rPr>
        <w:t>during the five</w:t>
      </w:r>
      <w:r>
        <w:rPr/>
        <w:t xml:space="preserve"> </w:t>
      </w:r>
      <w:r>
        <w:rPr>
          <w:rFonts w:ascii="Times New Roman;serif" w:hAnsi="Times New Roman;serif"/>
          <w:b w:val="false"/>
          <w:sz w:val="20"/>
        </w:rPr>
        <w:t>business day period after any ten</w:t>
      </w:r>
      <w:r>
        <w:rPr/>
        <w:t xml:space="preserve"> </w:t>
      </w:r>
      <w:r>
        <w:rPr>
          <w:rFonts w:ascii="Times New Roman;serif" w:hAnsi="Times New Roman;serif"/>
          <w:b w:val="false"/>
          <w:sz w:val="20"/>
        </w:rPr>
        <w:t>consecutive trading day period in which the trading price per $1,000</w:t>
      </w:r>
      <w:r>
        <w:rPr/>
        <w:t xml:space="preserve"> </w:t>
      </w:r>
      <w:r>
        <w:rPr>
          <w:rFonts w:ascii="Times New Roman;serif" w:hAnsi="Times New Roman;serif"/>
          <w:b w:val="false"/>
          <w:sz w:val="20"/>
        </w:rPr>
        <w:t>principal amount of the 2027 Notes for each day of that ten consecutive trading day period was less than 98% of the product of the last reported sale price of our Class A common stock and the applicable conversion rate of the 2027 Notes;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on the occurrence of specified corporate events. </w:t>
      </w:r>
    </w:p>
    <w:p>
      <w:pPr>
        <w:pStyle w:val="TextBody"/>
        <w:spacing w:before="0" w:after="0"/>
        <w:jc w:val="both"/>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or after November 1, 2026, the 2027 Notes are convertible at any time until the close of business on the second scheduled trading day immediately preceding the maturity date.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accounted for the issuance of the 2027 Notes as a single liability measured at its amortized cost, as no other embedded features require bifurcation and recognition as derivatives.</w:t>
      </w:r>
    </w:p>
    <w:p>
      <w:pPr>
        <w:pStyle w:val="TextBody"/>
        <w:spacing w:before="12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presents the outstanding principal amount and carrying value of the 2027 Notes as of the dates indicated (in thousands):</w:t>
      </w:r>
    </w:p>
    <w:p>
      <w:pPr>
        <w:pStyle w:val="TextBody"/>
        <w:spacing w:before="120" w:after="0"/>
        <w:jc w:val="left"/>
        <w:rPr/>
      </w:pPr>
      <w:r>
        <w:rPr/>
        <w:t> </w:t>
      </w:r>
    </w:p>
    <w:tbl>
      <w:tblPr>
        <w:tblW w:w="5517" w:type="dxa"/>
        <w:jc w:val="left"/>
        <w:tblInd w:w="0" w:type="dxa"/>
        <w:tblCellMar>
          <w:top w:w="28" w:type="dxa"/>
          <w:left w:w="28" w:type="dxa"/>
          <w:bottom w:w="28" w:type="dxa"/>
          <w:right w:w="28" w:type="dxa"/>
        </w:tblCellMar>
      </w:tblPr>
      <w:tblGrid>
        <w:gridCol w:w="2761"/>
        <w:gridCol w:w="146"/>
        <w:gridCol w:w="211"/>
        <w:gridCol w:w="781"/>
        <w:gridCol w:w="166"/>
        <w:gridCol w:w="146"/>
        <w:gridCol w:w="172"/>
        <w:gridCol w:w="923"/>
        <w:gridCol w:w="211"/>
      </w:tblGrid>
      <w:tr>
        <w:trPr/>
        <w:tc>
          <w:tcPr>
            <w:tcW w:w="27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7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287,500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287,500</w:t>
            </w:r>
          </w:p>
        </w:tc>
        <w:tc>
          <w:tcPr>
            <w:tcW w:w="211" w:type="dxa"/>
            <w:tcBorders/>
            <w:shd w:fill="auto" w:val="clear"/>
            <w:vAlign w:val="center"/>
          </w:tcPr>
          <w:p>
            <w:pPr>
              <w:pStyle w:val="TableContents"/>
              <w:spacing w:before="0" w:after="0"/>
              <w:ind w:left="0" w:right="0" w:hanging="0"/>
              <w:jc w:val="left"/>
              <w:rPr/>
            </w:pPr>
            <w:r>
              <w:rPr/>
              <w:t> </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Unamortized debt discount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(6,613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(7,044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Unamortized debt issuance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carrying value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280,375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279,909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annual effective interest rate for the 2027 Notes was approximately 1.6%. Interest expense related to the 2027 Notes for the periods presented below was as follows (in thousands):</w:t>
      </w:r>
    </w:p>
    <w:p>
      <w:pPr>
        <w:pStyle w:val="TextBody"/>
        <w:spacing w:before="120" w:after="0"/>
        <w:jc w:val="left"/>
        <w:rPr/>
      </w:pPr>
      <w:r>
        <w:rPr/>
        <w:t> </w:t>
      </w:r>
    </w:p>
    <w:tbl>
      <w:tblPr>
        <w:tblW w:w="6645" w:type="dxa"/>
        <w:jc w:val="left"/>
        <w:tblInd w:w="0" w:type="dxa"/>
        <w:tblCellMar>
          <w:top w:w="28" w:type="dxa"/>
          <w:left w:w="28" w:type="dxa"/>
          <w:bottom w:w="28" w:type="dxa"/>
          <w:right w:w="28" w:type="dxa"/>
        </w:tblCellMar>
      </w:tblPr>
      <w:tblGrid>
        <w:gridCol w:w="2806"/>
        <w:gridCol w:w="146"/>
        <w:gridCol w:w="433"/>
        <w:gridCol w:w="1172"/>
        <w:gridCol w:w="146"/>
        <w:gridCol w:w="146"/>
        <w:gridCol w:w="534"/>
        <w:gridCol w:w="1071"/>
        <w:gridCol w:w="191"/>
      </w:tblGrid>
      <w:tr>
        <w:trPr/>
        <w:tc>
          <w:tcPr>
            <w:tcW w:w="28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8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Coupon interest</w:t>
            </w:r>
          </w:p>
        </w:tc>
        <w:tc>
          <w:tcPr>
            <w:tcW w:w="146" w:type="dxa"/>
            <w:tcBorders/>
            <w:shd w:fill="auto" w:val="clear"/>
            <w:vAlign w:val="center"/>
          </w:tcPr>
          <w:p>
            <w:pPr>
              <w:pStyle w:val="TableContents"/>
              <w:spacing w:before="0" w:after="0"/>
              <w:ind w:left="0" w:right="0" w:hanging="0"/>
              <w:jc w:val="left"/>
              <w:rPr/>
            </w:pPr>
            <w:r>
              <w:rPr/>
              <w:t> </w:t>
            </w:r>
          </w:p>
        </w:tc>
        <w:tc>
          <w:tcPr>
            <w:tcW w:w="4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449</w:t>
            </w:r>
          </w:p>
        </w:tc>
        <w:tc>
          <w:tcPr>
            <w:tcW w:w="191" w:type="dxa"/>
            <w:tcBorders/>
            <w:shd w:fill="auto" w:val="cle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debt discount</w:t>
            </w:r>
          </w:p>
        </w:tc>
        <w:tc>
          <w:tcPr>
            <w:tcW w:w="146" w:type="dxa"/>
            <w:tcBorders/>
            <w:shd w:fill="auto" w:val="clear"/>
            <w:vAlign w:val="center"/>
          </w:tcPr>
          <w:p>
            <w:pPr>
              <w:pStyle w:val="TableContents"/>
              <w:spacing w:before="0" w:after="0"/>
              <w:ind w:left="0" w:right="0" w:hanging="0"/>
              <w:jc w:val="left"/>
              <w:rPr/>
            </w:pPr>
            <w:r>
              <w:rPr/>
              <w:t> </w:t>
            </w:r>
          </w:p>
        </w:tc>
        <w:tc>
          <w:tcPr>
            <w:tcW w:w="433" w:type="dxa"/>
            <w:tcBorders/>
            <w:shd w:fill="auto" w:val="clear"/>
            <w:vAlign w:val="center"/>
          </w:tcPr>
          <w:p>
            <w:pPr>
              <w:pStyle w:val="TableContents"/>
              <w:spacing w:before="0" w:after="0"/>
              <w:ind w:left="0" w:right="0" w:hanging="0"/>
              <w:jc w:val="left"/>
              <w:rPr/>
            </w:pPr>
            <w:r>
              <w:rPr/>
              <w:t> </w:t>
            </w:r>
          </w:p>
        </w:tc>
        <w:tc>
          <w:tcPr>
            <w:tcW w:w="11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4" w:type="dxa"/>
            <w:tcBorders/>
            <w:shd w:fill="auto" w:val="clear"/>
            <w:vAlign w:val="center"/>
          </w:tcPr>
          <w:p>
            <w:pPr>
              <w:pStyle w:val="TableContents"/>
              <w:spacing w:before="0" w:after="0"/>
              <w:ind w:left="0" w:right="0" w:hanging="0"/>
              <w:jc w:val="left"/>
              <w:rPr/>
            </w:pPr>
            <w:r>
              <w:rPr/>
              <w:t> </w:t>
            </w:r>
          </w:p>
        </w:tc>
        <w:tc>
          <w:tcPr>
            <w:tcW w:w="10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w:t>
            </w:r>
          </w:p>
        </w:tc>
        <w:tc>
          <w:tcPr>
            <w:tcW w:w="191" w:type="dxa"/>
            <w:tcBorders/>
            <w:shd w:fill="auto" w:val="cle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transaction costs</w:t>
            </w:r>
          </w:p>
        </w:tc>
        <w:tc>
          <w:tcPr>
            <w:tcW w:w="146" w:type="dxa"/>
            <w:tcBorders/>
            <w:shd w:fill="auto" w:val="clear"/>
            <w:vAlign w:val="center"/>
          </w:tcPr>
          <w:p>
            <w:pPr>
              <w:pStyle w:val="TableContents"/>
              <w:spacing w:before="0" w:after="0"/>
              <w:ind w:left="0" w:right="0" w:hanging="0"/>
              <w:jc w:val="left"/>
              <w:rPr/>
            </w:pPr>
            <w:r>
              <w:rPr/>
              <w:t> </w:t>
            </w:r>
          </w:p>
        </w:tc>
        <w:tc>
          <w:tcPr>
            <w:tcW w:w="4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interest expense</w:t>
            </w:r>
          </w:p>
        </w:tc>
        <w:tc>
          <w:tcPr>
            <w:tcW w:w="146" w:type="dxa"/>
            <w:tcBorders/>
            <w:shd w:fill="auto" w:val="clear"/>
            <w:vAlign w:val="center"/>
          </w:tcPr>
          <w:p>
            <w:pPr>
              <w:pStyle w:val="TableContents"/>
              <w:spacing w:before="0" w:after="0"/>
              <w:ind w:left="0" w:right="0" w:hanging="0"/>
              <w:jc w:val="left"/>
              <w:rPr/>
            </w:pPr>
            <w:r>
              <w:rPr/>
              <w:t> </w:t>
            </w:r>
          </w:p>
        </w:tc>
        <w:tc>
          <w:tcPr>
            <w:tcW w:w="4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rFonts w:ascii="Times New Roman;serif" w:hAnsi="Times New Roman;serif"/>
          <w:b w:val="false"/>
          <w:sz w:val="20"/>
        </w:rPr>
      </w:pPr>
      <w:r>
        <w:rPr>
          <w:rFonts w:ascii="Times New Roman;serif" w:hAnsi="Times New Roman;serif"/>
          <w:b w:val="false"/>
          <w:sz w:val="20"/>
        </w:rPr>
        <w:t>The Company estimates the fair value of the 2027 Notes with inputs that are unobservable. The following table presents the carrying value and estimated fair value of the 2027 Notes as of the date indicated (in thousands):</w:t>
      </w:r>
    </w:p>
    <w:p>
      <w:pPr>
        <w:pStyle w:val="TextBody"/>
        <w:spacing w:before="0" w:after="0"/>
        <w:jc w:val="left"/>
        <w:rPr/>
      </w:pPr>
      <w:r>
        <w:rPr/>
        <w:t> </w:t>
      </w:r>
    </w:p>
    <w:tbl>
      <w:tblPr>
        <w:tblW w:w="7349" w:type="dxa"/>
        <w:jc w:val="left"/>
        <w:tblInd w:w="0" w:type="dxa"/>
        <w:tblCellMar>
          <w:top w:w="28" w:type="dxa"/>
          <w:left w:w="28" w:type="dxa"/>
          <w:bottom w:w="28" w:type="dxa"/>
          <w:right w:w="28" w:type="dxa"/>
        </w:tblCellMar>
      </w:tblPr>
      <w:tblGrid>
        <w:gridCol w:w="1216"/>
        <w:gridCol w:w="146"/>
        <w:gridCol w:w="306"/>
        <w:gridCol w:w="1134"/>
        <w:gridCol w:w="146"/>
        <w:gridCol w:w="146"/>
        <w:gridCol w:w="217"/>
        <w:gridCol w:w="803"/>
        <w:gridCol w:w="146"/>
        <w:gridCol w:w="146"/>
        <w:gridCol w:w="306"/>
        <w:gridCol w:w="1134"/>
        <w:gridCol w:w="146"/>
        <w:gridCol w:w="146"/>
        <w:gridCol w:w="217"/>
        <w:gridCol w:w="803"/>
        <w:gridCol w:w="191"/>
      </w:tblGrid>
      <w:tr>
        <w:trPr/>
        <w:tc>
          <w:tcPr>
            <w:tcW w:w="12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Carrying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Carrying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1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2027 Notes</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280,375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263,834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279,909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257,671</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rFonts w:ascii="Times New Roman" w:hAnsi="Times New Roman"/>
          <w:sz w:val="20"/>
        </w:rPr>
      </w:pPr>
      <w:r>
        <w:rPr>
          <w:rFonts w:ascii="Times New Roman;serif" w:hAnsi="Times New Roman;serif"/>
          <w:b w:val="false"/>
          <w:sz w:val="20"/>
        </w:rPr>
        <w:t>(1) The fair value is estimated using a discounted cash flow analysis, using interest rate that we believe are offered for similar borrowings (a Level 3 measurement).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Contingencies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Restructuring</w:t>
      </w:r>
    </w:p>
    <w:p>
      <w:pPr>
        <w:pStyle w:val="TextBody"/>
        <w:spacing w:before="120" w:after="0"/>
        <w:jc w:val="left"/>
        <w:rPr>
          <w:rFonts w:ascii="Times New Roman" w:hAnsi="Times New Roman"/>
          <w:sz w:val="20"/>
        </w:rPr>
      </w:pPr>
      <w:r>
        <w:rPr>
          <w:rFonts w:ascii="Times New Roman;serif" w:hAnsi="Times New Roman;serif"/>
          <w:b w:val="false"/>
          <w:sz w:val="20"/>
        </w:rPr>
        <w:t>In December 2022, we initiated a restructuring action to help manage our operating expenses by reducing our workforce by approximately 6%. The workforce reduction focused on realigning staffing levels to help meet the current and future objectives of the business. During the fourth quarter of 2022, we incurred $1.5</w:t>
      </w:r>
      <w:r>
        <w:rPr>
          <w:rFonts w:ascii="Times New Roman" w:hAnsi="Times New Roman"/>
          <w:sz w:val="20"/>
        </w:rPr>
        <w:t xml:space="preserve"> </w:t>
      </w:r>
      <w:r>
        <w:rPr>
          <w:rFonts w:ascii="Times New Roman;serif" w:hAnsi="Times New Roman;serif"/>
          <w:b w:val="false"/>
          <w:sz w:val="20"/>
        </w:rPr>
        <w:t>million for employee termination costs related to this restructuring.</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shows the total amount incurred and the liability, which was recorded in accrued expenses in the Condensed Consolidated Balance Sheets, for restructuring-related employee termination benefits as of December 31, 2022 and March 31, 2023 (in thousands):</w:t>
      </w:r>
    </w:p>
    <w:p>
      <w:pPr>
        <w:pStyle w:val="TextBody"/>
        <w:spacing w:before="0" w:after="0"/>
        <w:jc w:val="left"/>
        <w:rPr/>
      </w:pPr>
      <w:r>
        <w:rPr/>
        <w:t> </w:t>
      </w:r>
    </w:p>
    <w:tbl>
      <w:tblPr>
        <w:tblW w:w="8458" w:type="dxa"/>
        <w:jc w:val="left"/>
        <w:tblInd w:w="0" w:type="dxa"/>
        <w:tblCellMar>
          <w:top w:w="28" w:type="dxa"/>
          <w:left w:w="28" w:type="dxa"/>
          <w:bottom w:w="28" w:type="dxa"/>
          <w:right w:w="28" w:type="dxa"/>
        </w:tblCellMar>
      </w:tblPr>
      <w:tblGrid>
        <w:gridCol w:w="5731"/>
        <w:gridCol w:w="146"/>
        <w:gridCol w:w="593"/>
        <w:gridCol w:w="1777"/>
        <w:gridCol w:w="211"/>
      </w:tblGrid>
      <w:tr>
        <w:trPr/>
        <w:tc>
          <w:tcPr>
            <w:tcW w:w="57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7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Employee Termination Benefits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0"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5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0"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5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restructuring costs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1,549</w:t>
            </w:r>
          </w:p>
        </w:tc>
        <w:tc>
          <w:tcPr>
            <w:tcW w:w="211" w:type="dxa"/>
            <w:tcBorders/>
            <w:shd w:fill="auto" w:val="clear"/>
            <w:vAlign w:val="center"/>
          </w:tcPr>
          <w:p>
            <w:pPr>
              <w:pStyle w:val="TableContents"/>
              <w:spacing w:before="0" w:after="0"/>
              <w:ind w:left="0" w:right="0" w:hanging="0"/>
              <w:jc w:val="left"/>
              <w:rPr/>
            </w:pPr>
            <w:r>
              <w:rPr/>
              <w:t> </w:t>
            </w:r>
          </w:p>
        </w:tc>
      </w:tr>
      <w:tr>
        <w:trPr/>
        <w:tc>
          <w:tcPr>
            <w:tcW w:w="5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Restructuring costs incurred during the period ended March 31, 2023</w:t>
            </w:r>
          </w:p>
        </w:tc>
        <w:tc>
          <w:tcPr>
            <w:tcW w:w="146"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left"/>
              <w:rPr/>
            </w:pPr>
            <w:r>
              <w:rPr/>
              <w:t> </w:t>
            </w:r>
          </w:p>
        </w:tc>
        <w:tc>
          <w:tcPr>
            <w:tcW w:w="1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5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Amount paid during the period ended March 31, 2023</w:t>
            </w:r>
          </w:p>
        </w:tc>
        <w:tc>
          <w:tcPr>
            <w:tcW w:w="146" w:type="dxa"/>
            <w:tcBorders/>
            <w:shd w:fill="auto" w:val="clear"/>
            <w:vAlign w:val="center"/>
          </w:tcPr>
          <w:p>
            <w:pPr>
              <w:pStyle w:val="TableContents"/>
              <w:spacing w:before="0" w:after="0"/>
              <w:ind w:left="0" w:right="0" w:hanging="0"/>
              <w:jc w:val="left"/>
              <w:rPr/>
            </w:pPr>
            <w:r>
              <w:rPr/>
              <w:t> </w:t>
            </w:r>
          </w:p>
        </w:tc>
        <w:tc>
          <w:tcPr>
            <w:tcW w:w="5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restructuring costs as of March 31, 2023</w:t>
            </w:r>
          </w:p>
        </w:tc>
        <w:tc>
          <w:tcPr>
            <w:tcW w:w="146" w:type="dxa"/>
            <w:tcBorders/>
            <w:shd w:fill="auto" w:val="clear"/>
            <w:vAlign w:val="center"/>
          </w:tcPr>
          <w:p>
            <w:pPr>
              <w:pStyle w:val="TableContents"/>
              <w:spacing w:before="0" w:after="0"/>
              <w:ind w:left="0" w:right="0" w:hanging="0"/>
              <w:jc w:val="left"/>
              <w:rPr/>
            </w:pPr>
            <w:r>
              <w:rPr/>
              <w:t> </w:t>
            </w:r>
          </w:p>
        </w:tc>
        <w:tc>
          <w:tcPr>
            <w:tcW w:w="5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Defined Contribution Plans</w:t>
      </w:r>
    </w:p>
    <w:p>
      <w:pPr>
        <w:pStyle w:val="TextBody"/>
        <w:spacing w:before="120" w:after="0"/>
        <w:jc w:val="left"/>
        <w:rPr>
          <w:rFonts w:ascii="Times New Roman" w:hAnsi="Times New Roman"/>
          <w:sz w:val="20"/>
        </w:rPr>
      </w:pPr>
      <w:r>
        <w:rPr>
          <w:rFonts w:ascii="Times New Roman;serif" w:hAnsi="Times New Roman;serif"/>
          <w:b w:val="false"/>
          <w:sz w:val="20"/>
        </w:rPr>
        <w:t>We sponsor a defined contribution plan for qualifying employees, including a 401(k) Plan in the United States to which we make matching contributions of 50% of participating employee contributions up to 6% of eligible income. Our total matching contribution to the 401(k) Plan was $0.5</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for the three months ended March 31, 2023 and 2022, respectively.</w:t>
      </w:r>
    </w:p>
    <w:p>
      <w:pPr>
        <w:pStyle w:val="TextBody"/>
        <w:spacing w:before="120" w:after="0"/>
        <w:jc w:val="left"/>
        <w:rPr>
          <w:rFonts w:ascii="Times New Roman" w:hAnsi="Times New Roman"/>
          <w:sz w:val="20"/>
        </w:rPr>
      </w:pPr>
      <w:r>
        <w:rPr>
          <w:rFonts w:ascii="Times New Roman;serif" w:hAnsi="Times New Roman;serif"/>
          <w:b/>
          <w:sz w:val="20"/>
        </w:rPr>
        <w:t>(14)</w:t>
      </w:r>
      <w:r>
        <w:rPr>
          <w:rFonts w:ascii="Times New Roman" w:hAnsi="Times New Roman"/>
          <w:sz w:val="20"/>
        </w:rPr>
        <w:t xml:space="preserve"> </w:t>
      </w:r>
      <w:r>
        <w:rPr>
          <w:rFonts w:ascii="Times New Roman;serif" w:hAnsi="Times New Roman;serif"/>
          <w:b/>
          <w:sz w:val="20"/>
        </w:rPr>
        <w:t>Segments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Xometry is organized in two</w:t>
      </w:r>
      <w:r>
        <w:rPr>
          <w:rFonts w:ascii="Times New Roman" w:hAnsi="Times New Roman"/>
          <w:sz w:val="20"/>
        </w:rPr>
        <w:t xml:space="preserve"> </w:t>
      </w:r>
      <w:r>
        <w:rPr>
          <w:rFonts w:ascii="Times New Roman;serif" w:hAnsi="Times New Roman;serif"/>
          <w:b w:val="false"/>
          <w:sz w:val="20"/>
        </w:rPr>
        <w:t>segments referred to as: (1) the U.S. and (2) International. Xometry’s operating segments are also the Company’s reportable segments. Xometry’s reportable segments, whose products and offerings are generally the same, are managed separately based on geography. Xometry’s two</w:t>
      </w:r>
      <w:r>
        <w:rPr>
          <w:rFonts w:ascii="Times New Roman" w:hAnsi="Times New Roman"/>
          <w:sz w:val="20"/>
        </w:rPr>
        <w:t xml:space="preserve"> </w:t>
      </w:r>
      <w:r>
        <w:rPr>
          <w:rFonts w:ascii="Times New Roman;serif" w:hAnsi="Times New Roman;serif"/>
          <w:b w:val="false"/>
          <w:sz w:val="20"/>
        </w:rPr>
        <w:t>segments are defined based on the reporting and review process used by the chief operating decision maker (“CODM”), the Chief Executive Officer. The Company evaluates the performance of the operating segments primarily based on revenue and segment “profits/loss” which is largely the results of the segment before income taxes. The Company has not allocated certain general and administrative expenses to the International segment. The Company’s CODM monitors assets of the consolidated Company, but does not use assets by operating segment when assessing performance or making operating segment resource decisions.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tables reflect certain segment information for the three months ended March 31, 2023 and 2022 (in thousands):</w:t>
      </w:r>
      <w:r>
        <w:rPr>
          <w:rFonts w:ascii="Times New Roman" w:hAnsi="Times New Roman"/>
          <w:sz w:val="20"/>
        </w:rPr>
        <w:t xml:space="preserve"> </w:t>
      </w:r>
    </w:p>
    <w:p>
      <w:pPr>
        <w:pStyle w:val="TextBody"/>
        <w:spacing w:before="0" w:after="0"/>
        <w:jc w:val="left"/>
        <w:rPr/>
      </w:pPr>
      <w:r>
        <w:rPr/>
        <w:t> </w:t>
      </w:r>
    </w:p>
    <w:tbl>
      <w:tblPr>
        <w:tblW w:w="4326" w:type="dxa"/>
        <w:jc w:val="left"/>
        <w:tblInd w:w="0" w:type="dxa"/>
        <w:tblCellMar>
          <w:top w:w="28" w:type="dxa"/>
          <w:left w:w="28" w:type="dxa"/>
          <w:bottom w:w="28" w:type="dxa"/>
          <w:right w:w="28" w:type="dxa"/>
        </w:tblCellMar>
      </w:tblPr>
      <w:tblGrid>
        <w:gridCol w:w="1591"/>
        <w:gridCol w:w="146"/>
        <w:gridCol w:w="233"/>
        <w:gridCol w:w="863"/>
        <w:gridCol w:w="161"/>
        <w:gridCol w:w="161"/>
        <w:gridCol w:w="233"/>
        <w:gridCol w:w="747"/>
        <w:gridCol w:w="191"/>
      </w:tblGrid>
      <w:tr>
        <w:trPr/>
        <w:tc>
          <w:tcPr>
            <w:tcW w:w="15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5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9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Revenue</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center"/>
              <w:rPr/>
            </w:pPr>
            <w:r>
              <w:rPr/>
              <w:t> </w:t>
            </w:r>
          </w:p>
        </w:tc>
        <w:tc>
          <w:tcPr>
            <w:tcW w:w="980"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1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93,903</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77,209</w:t>
            </w:r>
          </w:p>
        </w:tc>
        <w:tc>
          <w:tcPr>
            <w:tcW w:w="191" w:type="dxa"/>
            <w:tcBorders/>
            <w:shd w:fill="auto" w:val="clear"/>
            <w:vAlign w:val="center"/>
          </w:tcPr>
          <w:p>
            <w:pPr>
              <w:pStyle w:val="TableContents"/>
              <w:spacing w:before="0" w:after="0"/>
              <w:ind w:left="0" w:right="0" w:hanging="0"/>
              <w:jc w:val="left"/>
              <w:rPr/>
            </w:pPr>
            <w:r>
              <w:rPr/>
              <w:t> </w:t>
            </w:r>
          </w:p>
        </w:tc>
      </w:tr>
      <w:tr>
        <w:trPr/>
        <w:tc>
          <w:tcPr>
            <w:tcW w:w="1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11,423</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105,326</w:t>
            </w:r>
          </w:p>
        </w:tc>
        <w:tc>
          <w:tcPr>
            <w:tcW w:w="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83,671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4166" w:type="dxa"/>
        <w:jc w:val="left"/>
        <w:tblInd w:w="0" w:type="dxa"/>
        <w:tblCellMar>
          <w:top w:w="28" w:type="dxa"/>
          <w:left w:w="28" w:type="dxa"/>
          <w:bottom w:w="28" w:type="dxa"/>
          <w:right w:w="28" w:type="dxa"/>
        </w:tblCellMar>
      </w:tblPr>
      <w:tblGrid>
        <w:gridCol w:w="1411"/>
        <w:gridCol w:w="146"/>
        <w:gridCol w:w="229"/>
        <w:gridCol w:w="801"/>
        <w:gridCol w:w="180"/>
        <w:gridCol w:w="158"/>
        <w:gridCol w:w="229"/>
        <w:gridCol w:w="801"/>
        <w:gridCol w:w="211"/>
      </w:tblGrid>
      <w:tr>
        <w:trPr/>
        <w:tc>
          <w:tcPr>
            <w:tcW w:w="14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4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Losses</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center"/>
              <w:rPr/>
            </w:pPr>
            <w:r>
              <w:rPr/>
              <w:t> </w:t>
            </w:r>
          </w:p>
        </w:tc>
        <w:tc>
          <w:tcPr>
            <w:tcW w:w="180" w:type="dxa"/>
            <w:tcBorders/>
            <w:shd w:fill="auto" w:val="cle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1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(12,937</w:t>
            </w:r>
          </w:p>
        </w:tc>
        <w:tc>
          <w:tcPr>
            <w:tcW w:w="1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(16,296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(5,407</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(18,344</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(20,012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left"/>
        <w:rPr>
          <w:rFonts w:ascii="Times New Roman" w:hAnsi="Times New Roman"/>
          <w:sz w:val="20"/>
        </w:rPr>
      </w:pPr>
      <w:r>
        <w:rPr>
          <w:rFonts w:ascii="Times New Roman;serif" w:hAnsi="Times New Roman;serif"/>
          <w:b/>
          <w:sz w:val="20"/>
        </w:rPr>
        <w:t>(15) Goodwill and Intangible Assets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tables summarize the Company’s intangible assets (dollars in thousands):</w:t>
      </w:r>
      <w:r>
        <w:rPr>
          <w:rFonts w:ascii="Times New Roman" w:hAnsi="Times New Roman"/>
          <w:sz w:val="20"/>
        </w:rPr>
        <w:t xml:space="preserve"> </w:t>
      </w:r>
    </w:p>
    <w:p>
      <w:pPr>
        <w:pStyle w:val="TextBody"/>
        <w:spacing w:before="0" w:after="0"/>
        <w:jc w:val="left"/>
        <w:rPr/>
      </w:pPr>
      <w:r>
        <w:rPr/>
        <w:t> </w:t>
      </w:r>
    </w:p>
    <w:tbl>
      <w:tblPr>
        <w:tblW w:w="8855" w:type="dxa"/>
        <w:jc w:val="left"/>
        <w:tblInd w:w="0" w:type="dxa"/>
        <w:tblCellMar>
          <w:top w:w="28" w:type="dxa"/>
          <w:left w:w="28" w:type="dxa"/>
          <w:bottom w:w="28" w:type="dxa"/>
          <w:right w:w="28" w:type="dxa"/>
        </w:tblCellMar>
      </w:tblPr>
      <w:tblGrid>
        <w:gridCol w:w="3166"/>
        <w:gridCol w:w="146"/>
        <w:gridCol w:w="332"/>
        <w:gridCol w:w="719"/>
        <w:gridCol w:w="146"/>
        <w:gridCol w:w="146"/>
        <w:gridCol w:w="211"/>
        <w:gridCol w:w="676"/>
        <w:gridCol w:w="146"/>
        <w:gridCol w:w="146"/>
        <w:gridCol w:w="283"/>
        <w:gridCol w:w="768"/>
        <w:gridCol w:w="146"/>
        <w:gridCol w:w="146"/>
        <w:gridCol w:w="211"/>
        <w:gridCol w:w="676"/>
        <w:gridCol w:w="791"/>
      </w:tblGrid>
      <w:tr>
        <w:trPr/>
        <w:tc>
          <w:tcPr>
            <w:tcW w:w="3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5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amortization</w:t>
              <w:br/>
              <w:t>period in</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w:t>
              <w:br/>
              <w:t>carrying</w:t>
              <w:br/>
              <w:t>amount</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52" w:type="dxa"/>
            <w:gridSpan w:val="14"/>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791" w:type="dxa"/>
            <w:tcBorders/>
            <w:shd w:fill="auto" w:val="clear"/>
            <w:vAlign w:val="center"/>
          </w:tcPr>
          <w:p>
            <w:pPr>
              <w:pStyle w:val="TableContents"/>
              <w:spacing w:before="0" w:after="0"/>
              <w:ind w:left="0" w:right="0" w:firstLine="200"/>
              <w:jc w:val="right"/>
              <w:rPr/>
            </w:pPr>
            <w:r>
              <w:rPr/>
              <w:t> </w:t>
            </w:r>
          </w:p>
        </w:tc>
      </w:tr>
      <w:tr>
        <w:trPr/>
        <w:tc>
          <w:tcPr>
            <w:tcW w:w="31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Amortizing intangible assets:</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791" w:type="dxa"/>
            <w:tcBorders/>
            <w:shd w:fill="auto" w:val="clear"/>
            <w:vAlign w:val="center"/>
          </w:tcPr>
          <w:p>
            <w:pPr>
              <w:pStyle w:val="TableContents"/>
              <w:spacing w:before="0" w:after="0"/>
              <w:ind w:left="0" w:right="0" w:firstLine="400"/>
              <w:jc w:val="right"/>
              <w:rPr/>
            </w:pPr>
            <w:r>
              <w:rPr/>
              <w:t> </w:t>
            </w:r>
          </w:p>
        </w:tc>
      </w:tr>
      <w:tr>
        <w:trPr/>
        <w:tc>
          <w:tcPr>
            <w:tcW w:w="31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33,402</w:t>
            </w:r>
          </w:p>
        </w:tc>
        <w:tc>
          <w:tcPr>
            <w:tcW w:w="791" w:type="dxa"/>
            <w:tcBorders/>
            <w:shd w:fill="auto" w:val="clear"/>
            <w:vAlign w:val="center"/>
          </w:tcPr>
          <w:p>
            <w:pPr>
              <w:pStyle w:val="TableContents"/>
              <w:spacing w:before="0" w:after="0"/>
              <w:ind w:left="0" w:right="0" w:firstLine="400"/>
              <w:jc w:val="left"/>
              <w:rPr/>
            </w:pPr>
            <w:r>
              <w:rPr/>
              <w:t> </w:t>
            </w:r>
          </w:p>
        </w:tc>
      </w:tr>
      <w:tr>
        <w:trPr/>
        <w:tc>
          <w:tcPr>
            <w:tcW w:w="31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Trade Names</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723</w:t>
            </w:r>
          </w:p>
        </w:tc>
        <w:tc>
          <w:tcPr>
            <w:tcW w:w="791" w:type="dxa"/>
            <w:tcBorders/>
            <w:shd w:fill="auto" w:val="clear"/>
            <w:vAlign w:val="center"/>
          </w:tcPr>
          <w:p>
            <w:pPr>
              <w:pStyle w:val="TableContents"/>
              <w:spacing w:before="0" w:after="0"/>
              <w:ind w:left="0" w:right="0" w:firstLine="400"/>
              <w:jc w:val="left"/>
              <w:rPr/>
            </w:pPr>
            <w:r>
              <w:rPr/>
              <w:t> </w:t>
            </w:r>
          </w:p>
        </w:tc>
      </w:tr>
      <w:tr>
        <w:trPr/>
        <w:tc>
          <w:tcPr>
            <w:tcW w:w="31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Developed Technology</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516</w:t>
            </w:r>
          </w:p>
        </w:tc>
        <w:tc>
          <w:tcPr>
            <w:tcW w:w="791" w:type="dxa"/>
            <w:tcBorders/>
            <w:shd w:fill="auto" w:val="clear"/>
            <w:vAlign w:val="center"/>
          </w:tcPr>
          <w:p>
            <w:pPr>
              <w:pStyle w:val="TableContents"/>
              <w:spacing w:before="0" w:after="0"/>
              <w:ind w:left="0" w:right="0" w:firstLine="400"/>
              <w:jc w:val="left"/>
              <w:rPr/>
            </w:pPr>
            <w:r>
              <w:rPr/>
              <w:t> </w:t>
            </w:r>
          </w:p>
        </w:tc>
      </w:tr>
      <w:tr>
        <w:trPr/>
        <w:tc>
          <w:tcPr>
            <w:tcW w:w="31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Vendor Relationships</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1,524</w:t>
            </w:r>
          </w:p>
        </w:tc>
        <w:tc>
          <w:tcPr>
            <w:tcW w:w="791" w:type="dxa"/>
            <w:tcBorders/>
            <w:shd w:fill="auto" w:val="clear"/>
            <w:vAlign w:val="center"/>
          </w:tcPr>
          <w:p>
            <w:pPr>
              <w:pStyle w:val="TableContents"/>
              <w:spacing w:before="0" w:after="0"/>
              <w:ind w:left="0" w:right="0" w:firstLine="400"/>
              <w:jc w:val="left"/>
              <w:rPr/>
            </w:pPr>
            <w:r>
              <w:rPr/>
              <w:t> </w:t>
            </w:r>
          </w:p>
        </w:tc>
      </w:tr>
      <w:tr>
        <w:trPr/>
        <w:tc>
          <w:tcPr>
            <w:tcW w:w="31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Database</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1,770</w:t>
            </w:r>
          </w:p>
        </w:tc>
        <w:tc>
          <w:tcPr>
            <w:tcW w:w="791" w:type="dxa"/>
            <w:tcBorders/>
            <w:shd w:fill="auto" w:val="clear"/>
            <w:vAlign w:val="center"/>
          </w:tcPr>
          <w:p>
            <w:pPr>
              <w:pStyle w:val="TableContents"/>
              <w:spacing w:before="0" w:after="0"/>
              <w:ind w:left="0" w:right="0" w:firstLine="400"/>
              <w:jc w:val="left"/>
              <w:rPr/>
            </w:pPr>
            <w:r>
              <w:rPr/>
              <w:t> </w:t>
            </w:r>
          </w:p>
        </w:tc>
      </w:tr>
      <w:tr>
        <w:trPr/>
        <w:tc>
          <w:tcPr>
            <w:tcW w:w="31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Patents</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316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Subtotal intangible assets</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42,651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38,048</w:t>
            </w:r>
          </w:p>
        </w:tc>
        <w:tc>
          <w:tcPr>
            <w:tcW w:w="791" w:type="dxa"/>
            <w:tcBorders/>
            <w:shd w:fill="auto" w:val="clear"/>
            <w:vAlign w:val="center"/>
          </w:tcPr>
          <w:p>
            <w:pPr>
              <w:pStyle w:val="TableContents"/>
              <w:spacing w:before="0" w:after="0"/>
              <w:ind w:left="0" w:right="0" w:firstLine="400"/>
              <w:jc w:val="left"/>
              <w:rPr/>
            </w:pPr>
            <w:r>
              <w:rPr/>
              <w:t> </w:t>
            </w:r>
          </w:p>
        </w:tc>
      </w:tr>
      <w:tr>
        <w:trPr/>
        <w:tc>
          <w:tcPr>
            <w:tcW w:w="31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In-place Lease Intangible Asset</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w:t>
            </w:r>
          </w:p>
        </w:tc>
        <w:tc>
          <w:tcPr>
            <w:tcW w:w="791" w:type="dxa"/>
            <w:tcBorders/>
            <w:shd w:fill="auto" w:val="clear"/>
            <w:vAlign w:val="center"/>
          </w:tcPr>
          <w:p>
            <w:pPr>
              <w:pStyle w:val="TableContents"/>
              <w:spacing w:before="0" w:after="0"/>
              <w:ind w:left="0" w:right="0" w:firstLine="400"/>
              <w:jc w:val="left"/>
              <w:rPr/>
            </w:pPr>
            <w:r>
              <w:rPr/>
              <w:t> </w:t>
            </w:r>
          </w:p>
        </w:tc>
      </w:tr>
      <w:tr>
        <w:trPr/>
        <w:tc>
          <w:tcPr>
            <w:tcW w:w="31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Above Market Lease Intangible Asset</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603</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316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intangible assets</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44,115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5,074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39,041</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120" w:after="0"/>
        <w:jc w:val="left"/>
        <w:rPr/>
      </w:pPr>
      <w:r>
        <w:rPr/>
        <w:t> </w:t>
      </w:r>
    </w:p>
    <w:tbl>
      <w:tblPr>
        <w:tblW w:w="8855" w:type="dxa"/>
        <w:jc w:val="left"/>
        <w:tblInd w:w="0" w:type="dxa"/>
        <w:tblCellMar>
          <w:top w:w="28" w:type="dxa"/>
          <w:left w:w="28" w:type="dxa"/>
          <w:bottom w:w="28" w:type="dxa"/>
          <w:right w:w="28" w:type="dxa"/>
        </w:tblCellMar>
      </w:tblPr>
      <w:tblGrid>
        <w:gridCol w:w="3166"/>
        <w:gridCol w:w="146"/>
        <w:gridCol w:w="332"/>
        <w:gridCol w:w="719"/>
        <w:gridCol w:w="146"/>
        <w:gridCol w:w="146"/>
        <w:gridCol w:w="211"/>
        <w:gridCol w:w="676"/>
        <w:gridCol w:w="146"/>
        <w:gridCol w:w="146"/>
        <w:gridCol w:w="283"/>
        <w:gridCol w:w="768"/>
        <w:gridCol w:w="146"/>
        <w:gridCol w:w="146"/>
        <w:gridCol w:w="211"/>
        <w:gridCol w:w="676"/>
        <w:gridCol w:w="791"/>
      </w:tblGrid>
      <w:tr>
        <w:trPr/>
        <w:tc>
          <w:tcPr>
            <w:tcW w:w="3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5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amortization</w:t>
              <w:br/>
              <w:t>period in</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w:t>
              <w:br/>
              <w:t>carrying</w:t>
              <w:br/>
              <w:t>amount</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791" w:type="dxa"/>
            <w:tcBorders/>
            <w:shd w:fill="auto" w:val="clear"/>
            <w:vAlign w:val="center"/>
          </w:tcPr>
          <w:p>
            <w:pPr>
              <w:pStyle w:val="TableContents"/>
              <w:spacing w:before="0" w:after="0"/>
              <w:ind w:left="0" w:right="0" w:firstLine="200"/>
              <w:jc w:val="right"/>
              <w:rPr/>
            </w:pPr>
            <w:r>
              <w:rPr/>
              <w:t> </w:t>
            </w:r>
          </w:p>
        </w:tc>
      </w:tr>
      <w:tr>
        <w:trPr/>
        <w:tc>
          <w:tcPr>
            <w:tcW w:w="31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Amortizing intangible assets:</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791" w:type="dxa"/>
            <w:tcBorders/>
            <w:shd w:fill="auto" w:val="clear"/>
            <w:vAlign w:val="center"/>
          </w:tcPr>
          <w:p>
            <w:pPr>
              <w:pStyle w:val="TableContents"/>
              <w:spacing w:before="0" w:after="0"/>
              <w:ind w:left="0" w:right="0" w:firstLine="400"/>
              <w:jc w:val="right"/>
              <w:rPr/>
            </w:pPr>
            <w:r>
              <w:rPr/>
              <w:t> </w:t>
            </w:r>
          </w:p>
        </w:tc>
      </w:tr>
      <w:tr>
        <w:trPr/>
        <w:tc>
          <w:tcPr>
            <w:tcW w:w="31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34,014</w:t>
            </w:r>
          </w:p>
        </w:tc>
        <w:tc>
          <w:tcPr>
            <w:tcW w:w="791" w:type="dxa"/>
            <w:tcBorders/>
            <w:shd w:fill="auto" w:val="clear"/>
            <w:vAlign w:val="center"/>
          </w:tcPr>
          <w:p>
            <w:pPr>
              <w:pStyle w:val="TableContents"/>
              <w:spacing w:before="0" w:after="0"/>
              <w:ind w:left="0" w:right="0" w:firstLine="400"/>
              <w:jc w:val="left"/>
              <w:rPr/>
            </w:pPr>
            <w:r>
              <w:rPr/>
              <w:t> </w:t>
            </w:r>
          </w:p>
        </w:tc>
      </w:tr>
      <w:tr>
        <w:trPr/>
        <w:tc>
          <w:tcPr>
            <w:tcW w:w="31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Trade Names</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w:t>
            </w:r>
          </w:p>
        </w:tc>
        <w:tc>
          <w:tcPr>
            <w:tcW w:w="791" w:type="dxa"/>
            <w:tcBorders/>
            <w:shd w:fill="auto" w:val="clear"/>
            <w:vAlign w:val="center"/>
          </w:tcPr>
          <w:p>
            <w:pPr>
              <w:pStyle w:val="TableContents"/>
              <w:spacing w:before="0" w:after="0"/>
              <w:ind w:left="0" w:right="0" w:firstLine="400"/>
              <w:jc w:val="left"/>
              <w:rPr/>
            </w:pPr>
            <w:r>
              <w:rPr/>
              <w:t> </w:t>
            </w:r>
          </w:p>
        </w:tc>
      </w:tr>
      <w:tr>
        <w:trPr/>
        <w:tc>
          <w:tcPr>
            <w:tcW w:w="31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Developed Technology</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557</w:t>
            </w:r>
          </w:p>
        </w:tc>
        <w:tc>
          <w:tcPr>
            <w:tcW w:w="791" w:type="dxa"/>
            <w:tcBorders/>
            <w:shd w:fill="auto" w:val="clear"/>
            <w:vAlign w:val="center"/>
          </w:tcPr>
          <w:p>
            <w:pPr>
              <w:pStyle w:val="TableContents"/>
              <w:spacing w:before="0" w:after="0"/>
              <w:ind w:left="0" w:right="0" w:firstLine="400"/>
              <w:jc w:val="left"/>
              <w:rPr/>
            </w:pPr>
            <w:r>
              <w:rPr/>
              <w:t> </w:t>
            </w:r>
          </w:p>
        </w:tc>
      </w:tr>
      <w:tr>
        <w:trPr/>
        <w:tc>
          <w:tcPr>
            <w:tcW w:w="31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Vendor Relationships</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968</w:t>
            </w:r>
          </w:p>
        </w:tc>
        <w:tc>
          <w:tcPr>
            <w:tcW w:w="791" w:type="dxa"/>
            <w:tcBorders/>
            <w:shd w:fill="auto" w:val="clear"/>
            <w:vAlign w:val="center"/>
          </w:tcPr>
          <w:p>
            <w:pPr>
              <w:pStyle w:val="TableContents"/>
              <w:spacing w:before="0" w:after="0"/>
              <w:ind w:left="0" w:right="0" w:firstLine="400"/>
              <w:jc w:val="left"/>
              <w:rPr/>
            </w:pPr>
            <w:r>
              <w:rPr/>
              <w:t> </w:t>
            </w:r>
          </w:p>
        </w:tc>
      </w:tr>
      <w:tr>
        <w:trPr/>
        <w:tc>
          <w:tcPr>
            <w:tcW w:w="31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Database</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1,890</w:t>
            </w:r>
          </w:p>
        </w:tc>
        <w:tc>
          <w:tcPr>
            <w:tcW w:w="791" w:type="dxa"/>
            <w:tcBorders/>
            <w:shd w:fill="auto" w:val="clear"/>
            <w:vAlign w:val="center"/>
          </w:tcPr>
          <w:p>
            <w:pPr>
              <w:pStyle w:val="TableContents"/>
              <w:spacing w:before="0" w:after="0"/>
              <w:ind w:left="0" w:right="0" w:firstLine="400"/>
              <w:jc w:val="left"/>
              <w:rPr/>
            </w:pPr>
            <w:r>
              <w:rPr/>
              <w:t> </w:t>
            </w:r>
          </w:p>
        </w:tc>
      </w:tr>
      <w:tr>
        <w:trPr/>
        <w:tc>
          <w:tcPr>
            <w:tcW w:w="31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Patents</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316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Subtotal intangible assets</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42,056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38,288</w:t>
            </w:r>
          </w:p>
        </w:tc>
        <w:tc>
          <w:tcPr>
            <w:tcW w:w="791" w:type="dxa"/>
            <w:tcBorders/>
            <w:shd w:fill="auto" w:val="clear"/>
            <w:vAlign w:val="center"/>
          </w:tcPr>
          <w:p>
            <w:pPr>
              <w:pStyle w:val="TableContents"/>
              <w:spacing w:before="0" w:after="0"/>
              <w:ind w:left="0" w:right="0" w:firstLine="400"/>
              <w:jc w:val="left"/>
              <w:rPr/>
            </w:pPr>
            <w:r>
              <w:rPr/>
              <w:t> </w:t>
            </w:r>
          </w:p>
        </w:tc>
      </w:tr>
      <w:tr>
        <w:trPr/>
        <w:tc>
          <w:tcPr>
            <w:tcW w:w="31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In-place Lease Intangible Asset</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405</w:t>
            </w:r>
          </w:p>
        </w:tc>
        <w:tc>
          <w:tcPr>
            <w:tcW w:w="791" w:type="dxa"/>
            <w:tcBorders/>
            <w:shd w:fill="auto" w:val="clear"/>
            <w:vAlign w:val="center"/>
          </w:tcPr>
          <w:p>
            <w:pPr>
              <w:pStyle w:val="TableContents"/>
              <w:spacing w:before="0" w:after="0"/>
              <w:ind w:left="0" w:right="0" w:firstLine="400"/>
              <w:jc w:val="left"/>
              <w:rPr/>
            </w:pPr>
            <w:r>
              <w:rPr/>
              <w:t> </w:t>
            </w:r>
          </w:p>
        </w:tc>
      </w:tr>
      <w:tr>
        <w:trPr/>
        <w:tc>
          <w:tcPr>
            <w:tcW w:w="31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Above Market Lease Intangible Asset</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658</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316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intangible assets</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43,500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39,351</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The following tables provides a roll forward of the carrying amount of goodwill (in thousands):</w:t>
      </w:r>
      <w:r>
        <w:rPr>
          <w:rFonts w:ascii="Times New Roman" w:hAnsi="Times New Roman"/>
          <w:sz w:val="20"/>
        </w:rPr>
        <w:t xml:space="preserve"> </w:t>
      </w:r>
    </w:p>
    <w:tbl>
      <w:tblPr>
        <w:tblW w:w="7804" w:type="dxa"/>
        <w:jc w:val="left"/>
        <w:tblInd w:w="0" w:type="dxa"/>
        <w:tblCellMar>
          <w:top w:w="28" w:type="dxa"/>
          <w:left w:w="28" w:type="dxa"/>
          <w:bottom w:w="28" w:type="dxa"/>
          <w:right w:w="28" w:type="dxa"/>
        </w:tblCellMar>
      </w:tblPr>
      <w:tblGrid>
        <w:gridCol w:w="4951"/>
        <w:gridCol w:w="146"/>
        <w:gridCol w:w="211"/>
        <w:gridCol w:w="781"/>
        <w:gridCol w:w="166"/>
        <w:gridCol w:w="146"/>
        <w:gridCol w:w="211"/>
        <w:gridCol w:w="781"/>
        <w:gridCol w:w="411"/>
      </w:tblGrid>
      <w:tr>
        <w:trPr/>
        <w:tc>
          <w:tcPr>
            <w:tcW w:w="4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9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January 1:</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261,110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257,746</w:t>
            </w:r>
          </w:p>
        </w:tc>
        <w:tc>
          <w:tcPr>
            <w:tcW w:w="411" w:type="dxa"/>
            <w:tcBorders/>
            <w:shd w:fill="auto" w:val="clear"/>
            <w:vAlign w:val="center"/>
          </w:tcPr>
          <w:p>
            <w:pPr>
              <w:pStyle w:val="TableContents"/>
              <w:spacing w:before="0" w:after="0"/>
              <w:ind w:left="0" w:right="0" w:hanging="0"/>
              <w:jc w:val="left"/>
              <w:rPr/>
            </w:pPr>
            <w:r>
              <w:rPr/>
              <w:t> </w:t>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impairments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9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goodwill as of January 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258,036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254,672</w:t>
            </w:r>
          </w:p>
        </w:tc>
        <w:tc>
          <w:tcPr>
            <w:tcW w:w="411" w:type="dxa"/>
            <w:tcBorders/>
            <w:shd w:fill="auto" w:val="clear"/>
            <w:vAlign w:val="center"/>
          </w:tcPr>
          <w:p>
            <w:pPr>
              <w:pStyle w:val="TableContents"/>
              <w:spacing w:before="0" w:after="0"/>
              <w:ind w:left="0" w:right="0" w:hanging="0"/>
              <w:jc w:val="left"/>
              <w:rPr/>
            </w:pPr>
            <w:r>
              <w:rPr/>
              <w:t> </w:t>
            </w:r>
          </w:p>
        </w:tc>
      </w:tr>
      <w:tr>
        <w:trPr/>
        <w:tc>
          <w:tcPr>
            <w:tcW w:w="49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Goodwill adjustment during the year</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3,364</w:t>
            </w:r>
          </w:p>
        </w:tc>
        <w:tc>
          <w:tcPr>
            <w:tcW w:w="411" w:type="dxa"/>
            <w:tcBorders/>
            <w:shd w:fill="auto" w:val="clear"/>
            <w:vAlign w:val="center"/>
          </w:tcPr>
          <w:p>
            <w:pPr>
              <w:pStyle w:val="TableContents"/>
              <w:spacing w:before="0" w:after="0"/>
              <w:ind w:left="0" w:right="0" w:hanging="0"/>
              <w:jc w:val="left"/>
              <w:rPr/>
            </w:pPr>
            <w:r>
              <w:rPr/>
              <w:t> </w:t>
            </w:r>
          </w:p>
        </w:tc>
      </w:tr>
      <w:tr>
        <w:trPr/>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Impact of foreign exchange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49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goodwill as of March 31, 2023, and December 31, 2022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262,441</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258,036</w:t>
            </w:r>
          </w:p>
        </w:tc>
        <w:tc>
          <w:tcPr>
            <w:tcW w:w="4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(1) See Note 7 - Acquisitions.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and December 31, 2022, Xometry had $262.4</w:t>
      </w:r>
      <w:r>
        <w:rPr>
          <w:rFonts w:ascii="Times New Roman" w:hAnsi="Times New Roman"/>
          <w:sz w:val="20"/>
        </w:rPr>
        <w:t xml:space="preserve"> </w:t>
      </w:r>
      <w:r>
        <w:rPr>
          <w:rFonts w:ascii="Times New Roman;serif" w:hAnsi="Times New Roman;serif"/>
          <w:b w:val="false"/>
          <w:sz w:val="20"/>
        </w:rPr>
        <w:t>million and $258.0</w:t>
      </w:r>
      <w:r>
        <w:rPr>
          <w:rFonts w:ascii="Times New Roman" w:hAnsi="Times New Roman"/>
          <w:sz w:val="20"/>
        </w:rPr>
        <w:t xml:space="preserve"> </w:t>
      </w:r>
      <w:r>
        <w:rPr>
          <w:rFonts w:ascii="Times New Roman;serif" w:hAnsi="Times New Roman;serif"/>
          <w:b w:val="false"/>
          <w:sz w:val="20"/>
        </w:rPr>
        <w:t>million, respectively of goodwill. As of March 31, 2023, $258.0</w:t>
      </w:r>
      <w:r>
        <w:rPr>
          <w:rFonts w:ascii="Times New Roman" w:hAnsi="Times New Roman"/>
          <w:sz w:val="20"/>
        </w:rPr>
        <w:t xml:space="preserve"> </w:t>
      </w:r>
      <w:r>
        <w:rPr>
          <w:rFonts w:ascii="Times New Roman;serif" w:hAnsi="Times New Roman;serif"/>
          <w:b w:val="false"/>
          <w:sz w:val="20"/>
        </w:rPr>
        <w:t>million is part of Xometry's U.S. operating segment and $4.4</w:t>
      </w:r>
      <w:r>
        <w:rPr>
          <w:rFonts w:ascii="Times New Roman" w:hAnsi="Times New Roman"/>
          <w:sz w:val="20"/>
        </w:rPr>
        <w:t xml:space="preserve"> </w:t>
      </w:r>
      <w:r>
        <w:rPr>
          <w:rFonts w:ascii="Times New Roman;serif" w:hAnsi="Times New Roman;serif"/>
          <w:b w:val="false"/>
          <w:sz w:val="20"/>
        </w:rPr>
        <w:t>million is part of Xometry's International operating segment. As of December 31, 2022, $258.0</w:t>
      </w:r>
      <w:r>
        <w:rPr>
          <w:rFonts w:ascii="Times New Roman" w:hAnsi="Times New Roman"/>
          <w:sz w:val="20"/>
        </w:rPr>
        <w:t xml:space="preserve"> </w:t>
      </w:r>
      <w:r>
        <w:rPr>
          <w:rFonts w:ascii="Times New Roman;serif" w:hAnsi="Times New Roman;serif"/>
          <w:b w:val="false"/>
          <w:sz w:val="20"/>
        </w:rPr>
        <w:t>million is part of Xometry's U.S. operating segment.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estimated amortization expense for intangible assets for the remainder of 2023 and the next five years is: $2.8</w:t>
      </w:r>
      <w:r>
        <w:rPr>
          <w:rFonts w:ascii="Times New Roman" w:hAnsi="Times New Roman"/>
          <w:sz w:val="20"/>
        </w:rPr>
        <w:t xml:space="preserve"> </w:t>
      </w:r>
      <w:r>
        <w:rPr>
          <w:rFonts w:ascii="Times New Roman;serif" w:hAnsi="Times New Roman;serif"/>
          <w:b w:val="false"/>
          <w:sz w:val="20"/>
        </w:rPr>
        <w:t>million in 2023, $3.7</w:t>
      </w:r>
      <w:r>
        <w:rPr>
          <w:rFonts w:ascii="Times New Roman" w:hAnsi="Times New Roman"/>
          <w:sz w:val="20"/>
        </w:rPr>
        <w:t xml:space="preserve"> </w:t>
      </w:r>
      <w:r>
        <w:rPr>
          <w:rFonts w:ascii="Times New Roman;serif" w:hAnsi="Times New Roman;serif"/>
          <w:b w:val="false"/>
          <w:sz w:val="20"/>
        </w:rPr>
        <w:t>million in 2024, $3.6</w:t>
      </w:r>
      <w:r>
        <w:rPr>
          <w:rFonts w:ascii="Times New Roman" w:hAnsi="Times New Roman"/>
          <w:sz w:val="20"/>
        </w:rPr>
        <w:t xml:space="preserve"> </w:t>
      </w:r>
      <w:r>
        <w:rPr>
          <w:rFonts w:ascii="Times New Roman;serif" w:hAnsi="Times New Roman;serif"/>
          <w:b w:val="false"/>
          <w:sz w:val="20"/>
        </w:rPr>
        <w:t>million in 2025, $3.2</w:t>
      </w:r>
      <w:r>
        <w:rPr>
          <w:rFonts w:ascii="Times New Roman" w:hAnsi="Times New Roman"/>
          <w:sz w:val="20"/>
        </w:rPr>
        <w:t xml:space="preserve"> </w:t>
      </w:r>
      <w:r>
        <w:rPr>
          <w:rFonts w:ascii="Times New Roman;serif" w:hAnsi="Times New Roman;serif"/>
          <w:b w:val="false"/>
          <w:sz w:val="20"/>
        </w:rPr>
        <w:t>million in 2026, $2.7</w:t>
      </w:r>
      <w:r>
        <w:rPr>
          <w:rFonts w:ascii="Times New Roman" w:hAnsi="Times New Roman"/>
          <w:sz w:val="20"/>
        </w:rPr>
        <w:t xml:space="preserve"> </w:t>
      </w:r>
      <w:r>
        <w:rPr>
          <w:rFonts w:ascii="Times New Roman;serif" w:hAnsi="Times New Roman;serif"/>
          <w:b w:val="false"/>
          <w:sz w:val="20"/>
        </w:rPr>
        <w:t>million in 2027, $2.7</w:t>
      </w:r>
      <w:r>
        <w:rPr>
          <w:rFonts w:ascii="Times New Roman" w:hAnsi="Times New Roman"/>
          <w:sz w:val="20"/>
        </w:rPr>
        <w:t xml:space="preserve"> </w:t>
      </w:r>
      <w:r>
        <w:rPr>
          <w:rFonts w:ascii="Times New Roman;serif" w:hAnsi="Times New Roman;serif"/>
          <w:b w:val="false"/>
          <w:sz w:val="20"/>
        </w:rPr>
        <w:t>million in 2028 and $20.3</w:t>
      </w:r>
      <w:r>
        <w:rPr>
          <w:rFonts w:ascii="Times New Roman" w:hAnsi="Times New Roman"/>
          <w:sz w:val="20"/>
        </w:rPr>
        <w:t xml:space="preserve"> </w:t>
      </w:r>
      <w:r>
        <w:rPr>
          <w:rFonts w:ascii="Times New Roman;serif" w:hAnsi="Times New Roman;serif"/>
          <w:b w:val="false"/>
          <w:sz w:val="20"/>
        </w:rPr>
        <w:t>million thereafter.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Amortization expense for the three months ended March 31, 2023 and 2022 was as follows (in thousands):</w:t>
      </w:r>
      <w:r>
        <w:rPr>
          <w:rFonts w:ascii="Times New Roman" w:hAnsi="Times New Roman"/>
          <w:sz w:val="20"/>
        </w:rPr>
        <w:t xml:space="preserve"> </w:t>
      </w:r>
    </w:p>
    <w:tbl>
      <w:tblPr>
        <w:tblW w:w="5256" w:type="dxa"/>
        <w:jc w:val="left"/>
        <w:tblInd w:w="0" w:type="dxa"/>
        <w:tblCellMar>
          <w:top w:w="28" w:type="dxa"/>
          <w:left w:w="28" w:type="dxa"/>
          <w:bottom w:w="28" w:type="dxa"/>
          <w:right w:w="28" w:type="dxa"/>
        </w:tblCellMar>
      </w:tblPr>
      <w:tblGrid>
        <w:gridCol w:w="2521"/>
        <w:gridCol w:w="146"/>
        <w:gridCol w:w="325"/>
        <w:gridCol w:w="649"/>
        <w:gridCol w:w="225"/>
        <w:gridCol w:w="225"/>
        <w:gridCol w:w="325"/>
        <w:gridCol w:w="649"/>
        <w:gridCol w:w="191"/>
      </w:tblGrid>
      <w:tr>
        <w:trPr/>
        <w:tc>
          <w:tcPr>
            <w:tcW w:w="25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9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791</w:t>
            </w:r>
          </w:p>
        </w:tc>
        <w:tc>
          <w:tcPr>
            <w:tcW w:w="2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6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774</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6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2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6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General and administrative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3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836</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3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 Amortization of the lease related intangible assets is recorded as operating lease expense in general and administrative.</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14" w:name="i_item2"/>
      <w:bookmarkEnd w:id="14"/>
      <w:r>
        <w:rPr>
          <w:rFonts w:ascii="Times New Roman;serif" w:hAnsi="Times New Roman;serif"/>
          <w:b/>
          <w:sz w:val="20"/>
        </w:rPr>
        <w:t>Item 2. Management’s Discussion and Analysis of Financial Condition and Results of Operations.</w:t>
      </w:r>
    </w:p>
    <w:p>
      <w:pPr>
        <w:pStyle w:val="TextBody"/>
        <w:spacing w:before="200" w:after="0"/>
        <w:jc w:val="left"/>
        <w:rPr>
          <w:rFonts w:ascii="Times New Roman" w:hAnsi="Times New Roman"/>
          <w:sz w:val="20"/>
        </w:rPr>
      </w:pPr>
      <w:r>
        <w:rPr>
          <w:rFonts w:ascii="Times New Roman;serif" w:hAnsi="Times New Roman;serif"/>
          <w:b w:val="false"/>
          <w:i/>
          <w:sz w:val="20"/>
        </w:rPr>
        <w:t>The following discussion and analysis should be read in conjunction with our unaudited condensed consolidated financial statements and the related notes thereto included elsewhere in this Quarterly Report on Form 10-Q.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in Part II, Item 1A, "Risk Factors" in our Annual Report on Form 10-K for the year ended December 31, 2022. Our historical results are not necessarily indicative of the results that may be expected in the future and our current quarterly results are not necessarily indicative of the results expected for the full year or any other period.</w:t>
      </w:r>
      <w:r>
        <w:rPr>
          <w:rFonts w:ascii="Times New Roman" w:hAnsi="Times New Roman"/>
          <w:sz w:val="20"/>
        </w:rPr>
        <w:t xml:space="preserve"> </w:t>
      </w:r>
    </w:p>
    <w:p>
      <w:pPr>
        <w:pStyle w:val="TextBody"/>
        <w:spacing w:before="300" w:after="0"/>
        <w:jc w:val="center"/>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Xometry, Inc. (“Xometry”, “Company”, “our” or “we”) was incorporated in the State of Delaware in May 2013. Xometry is a global online marketplace connecting buyers with suppliers of manufacturing services, transforming one of the largest industries in the world. We use our proprietary technology to create a marketplace that enables buyers to efficiently source manufactured parts and assemblies, and empower suppliers of manufacturing services to grow their businesses. Xometry's corporate headquarters is located in North Bethesda, Maryland.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AI-enabled technology platform is powered by proprietary machine learning algorithms and a dataset, resulting in a sophisticated marketplace for manufacturing. As a result, buyers can procure the products they want on demand and suppliers can source new manufacturing opportunities that match their specific capabilities and capacity. Interactions on our platform provide rich data insights that allow us to continuously improve our AI models and create new products and services, fueling powerful network effects as we scale.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aftermarket parts for its buyers.</w:t>
      </w:r>
    </w:p>
    <w:p>
      <w:pPr>
        <w:pStyle w:val="TextBody"/>
        <w:spacing w:before="120" w:after="0"/>
        <w:jc w:val="left"/>
        <w:rPr>
          <w:rFonts w:ascii="Times New Roman" w:hAnsi="Times New Roman"/>
          <w:sz w:val="20"/>
        </w:rPr>
      </w:pPr>
      <w:r>
        <w:rPr>
          <w:rFonts w:ascii="Times New Roman;serif" w:hAnsi="Times New Roman;serif"/>
          <w:b w:val="false"/>
          <w:sz w:val="20"/>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business benefits from a virtuous network liquidity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define “buyers” as individuals who have placed an order to purchase on-demand parts or assemblies on our marketplace.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platform for a buyer or have utilized our supplier services, including our financial services or the purchase of supplies.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majority of our revenue is derived from the sale of part(s) and assemblies to our customers on our marketplace, which we refer to as marketplace revenue. The suppliers on our platform offer a diversified mix of manufacturing processes. These manufacturing processes include computer numerical control (“CNC”) manufacturing, sheet metal forming, sheet cutting, 3D printing (including fused deposition modeling, direct metal laser sintering, PolyJet, stereolithography, selective laser sintering, binder jetting, carbon digital light synthesis and multi jet fusion), die casting, stamping, injection molding, urethane casting, tube cutting, tube bending, as well as finishing services, rapid prototyping and high-volume production. We enable buyers to source these processes to meet complex and specific design and order needs across several industries, including Defense, Aerospace, Healthcare, Consumer Goods, Robotics, Government, Education, Automotive, Consumer Goods, and Industrial.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empower suppliers to grow their manufacturing businesses and improve machine uptime by providing access to an extensive, diverse base of buyers. We also offer suppliers supporting products and services to meet their unique needs. Our suite of supplier services includes a cloud-based manufacturing execution system (“Workcenter”), access to competitively priced tools, materials and supplies from leading brands and financial service products to stabilize and enhance cash flow. In addition, we offer suppliers digital marketing and data solutions and SaaS based solutions to help suppliers optimize their productivity.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supplier services revenue primarily includes the sale of marketing services which includes advertising and to a lesser extent, supplies and financial service products that help our customers better manage cash flow at all stages of job production. Our financial services products, such as Xometry Pay, enable suppliers to stabilize and enhance their cash flows, supply discounts that</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allow suppliers to lower their operating costs, and resource management tools to optimize their businesses. In 2021, we acquired Thomas Publishing Company (“Thomas”) and Fusiform, Inc. (d/b/a FactoryFour) (“FactoryFour”), expanding our basket of supplier services to include marketing and advertising services and to a lesser extent SaaS based solutions to help suppliers optimize their productivity. Our revenue from Thomas is primarily advertising revenue.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January 2, 2023, the Company acquired Tridi Teknoloj A.S. (“Tridi”) located in Istanbul, Turkey pursuant to a Share Purchase Agreement. The acquisition of Tridi extends our marketplace capabilities in Europe and provides us access to the Turkish market.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Unfavorable conditions in the economy both in the United States and abroad may negatively affect the growth of our business and our results of operations. For example, macroeconomic events, including rising inflation, the U.S. Federal Reserve raising interest rates, disruptions in access to bank deposits or lending commitments due to bank failures, the Russia-Ukraine war and the COVID-19 pandemic, have led to economic uncertainty globally. Historically, during periods of economic uncertainty and downturns, businesses may slow spending on information technology and manufacturing, which may impact our business and our customers’ businesses.</w:t>
      </w:r>
    </w:p>
    <w:p>
      <w:pPr>
        <w:pStyle w:val="TextBody"/>
        <w:spacing w:before="120" w:after="0"/>
        <w:jc w:val="left"/>
        <w:rPr>
          <w:rFonts w:ascii="Times New Roman" w:hAnsi="Times New Roman"/>
          <w:sz w:val="20"/>
        </w:rPr>
      </w:pPr>
      <w:r>
        <w:rPr>
          <w:rFonts w:ascii="Times New Roman;serif" w:hAnsi="Times New Roman;serif"/>
          <w:b w:val="false"/>
          <w:sz w:val="20"/>
        </w:rPr>
        <w:t>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360" w:after="0"/>
        <w:jc w:val="center"/>
        <w:rPr>
          <w:rFonts w:ascii="Times New Roman" w:hAnsi="Times New Roman"/>
          <w:sz w:val="20"/>
        </w:rPr>
      </w:pPr>
      <w:r>
        <w:rPr>
          <w:rFonts w:ascii="Times New Roman;serif" w:hAnsi="Times New Roman;serif"/>
          <w:b/>
          <w:sz w:val="20"/>
        </w:rPr>
        <w:t>Key Marketplace Operational and Business Metrics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to the measures presented in our condensed consolidated financial statements included elsewhere in this Quarterly Report on Form 10-Q, we use the following key operational and business metrics to help us evaluate our marketplace business, measure our performance, identify trends affecting our business, formulate business plans and develop forecasts, and make strategic decisions: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Active Buyers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define Active Buyers as the number of</w:t>
      </w:r>
      <w:r>
        <w:rPr>
          <w:rFonts w:ascii="Times New Roman" w:hAnsi="Times New Roman"/>
          <w:sz w:val="20"/>
        </w:rPr>
        <w:t xml:space="preserve"> </w:t>
      </w:r>
      <w:r>
        <w:rPr>
          <w:rFonts w:ascii="Times New Roman;serif" w:hAnsi="Times New Roman;serif"/>
          <w:b w:val="false"/>
          <w:sz w:val="20"/>
        </w:rPr>
        <w:t>buyers who have made at least one purchase on our marketplace during the last twelve months. An increase or decrease in the number of Active Buyers is a key indicator of our ability to attract, retain and engage buyers on our platform.</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Active Buyers has consistently grown over time. The number of Active Buyers on our platform reached 44,716 as of March 31, 2023, up 46% from 30,683 as of March 31, 2022. The key drivers of Active Buyer growth are continued account and buyer engagement and the success of our strategy to attract new buyers.</w:t>
      </w:r>
      <w:r>
        <w:rPr>
          <w:rFonts w:ascii="Times New Roman" w:hAnsi="Times New Roman"/>
          <w:sz w:val="20"/>
        </w:rPr>
        <w:t xml:space="preserve"> </w:t>
      </w:r>
    </w:p>
    <w:p>
      <w:pPr>
        <w:pStyle w:val="TextBody"/>
        <w:spacing w:before="0" w:after="0"/>
        <w:jc w:val="center"/>
        <w:rPr/>
      </w:pPr>
      <w:r>
        <w:rPr/>
        <w:drawing>
          <wp:inline distT="0" distB="0" distL="0" distR="0">
            <wp:extent cx="6858000" cy="4914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4914900"/>
                    </a:xfrm>
                    <a:prstGeom prst="rect">
                      <a:avLst/>
                    </a:prstGeom>
                  </pic:spPr>
                </pic:pic>
              </a:graphicData>
            </a:graphic>
          </wp:inline>
        </w:drawing>
      </w:r>
    </w:p>
    <w:p>
      <w:pPr>
        <w:pStyle w:val="TextBody"/>
        <w:spacing w:before="0" w:after="0"/>
        <w:jc w:val="center"/>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Percentage of Revenue from Existing Accounts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For the quarter ended March 31, 2023, 96% of our revenue was generated from existing accounts. We believe the repeat purchase activity from existing accounts reflects the underlying strength of our business and provides us with substantial revenue visibility and predictability.</w:t>
      </w:r>
      <w:r>
        <w:rPr>
          <w:rFonts w:ascii="Times New Roman" w:hAnsi="Times New Roman"/>
          <w:sz w:val="20"/>
        </w:rPr>
        <w:t xml:space="preserve"> </w:t>
      </w:r>
    </w:p>
    <w:p>
      <w:pPr>
        <w:pStyle w:val="TextBody"/>
        <w:spacing w:before="0" w:after="0"/>
        <w:jc w:val="center"/>
        <w:rPr/>
      </w:pPr>
      <w:r>
        <w:rPr/>
        <w:drawing>
          <wp:inline distT="0" distB="0" distL="0" distR="0">
            <wp:extent cx="6858000" cy="3924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924300"/>
                    </a:xfrm>
                    <a:prstGeom prst="rect">
                      <a:avLst/>
                    </a:prstGeom>
                  </pic:spPr>
                </pic:pic>
              </a:graphicData>
            </a:graphic>
          </wp:inline>
        </w:drawing>
      </w: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Accounts with Last Twelve-Month Spend of At Least $50,000</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1,109 as of March 31, 2023, up 40%</w:t>
      </w:r>
      <w:r>
        <w:rPr>
          <w:rFonts w:ascii="Times New Roman" w:hAnsi="Times New Roman"/>
          <w:sz w:val="20"/>
        </w:rPr>
        <w:t xml:space="preserve"> </w:t>
      </w:r>
      <w:r>
        <w:rPr>
          <w:rFonts w:ascii="Times New Roman;serif" w:hAnsi="Times New Roman;serif"/>
          <w:b w:val="false"/>
          <w:sz w:val="20"/>
        </w:rPr>
        <w:t>from 790 as of March 30, 2022.</w:t>
      </w:r>
      <w:r>
        <w:rPr>
          <w:rFonts w:ascii="Times New Roman" w:hAnsi="Times New Roman"/>
          <w:sz w:val="20"/>
        </w:rPr>
        <w:t xml:space="preserve"> </w:t>
      </w:r>
    </w:p>
    <w:p>
      <w:pPr>
        <w:pStyle w:val="TextBody"/>
        <w:spacing w:before="0" w:after="0"/>
        <w:jc w:val="center"/>
        <w:rPr/>
      </w:pPr>
      <w:r>
        <w:rPr/>
        <w:drawing>
          <wp:inline distT="0" distB="0" distL="0" distR="0">
            <wp:extent cx="6848475" cy="4991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48475" cy="4991100"/>
                    </a:xfrm>
                    <a:prstGeom prst="rect">
                      <a:avLst/>
                    </a:prstGeom>
                  </pic:spPr>
                </pic:pic>
              </a:graphicData>
            </a:graphic>
          </wp:inline>
        </w:drawing>
      </w: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Active Paying Suppliers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define Active Paying Suppliers as individuals or businesses who have purchased one or more of our supplier services, including digital marketing services, data services, financial services or supplies on our platforms during the last twelve months. An increase or decrease in the number of Active Paying Suppliers is a key indicator of our ability to engage suppliers on our platform.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Active Paying Suppliers has consistently grown over time. The number of Active Paying Suppliers on our platform reached 7,621 as of March 31, 2023, up 11% from 6,872 as of March 31, 2022. The key drivers of Active Paying Suppliers are continued supplier engagement and the success of our strategy to attract new suppliers.</w:t>
      </w:r>
    </w:p>
    <w:p>
      <w:pPr>
        <w:pStyle w:val="TextBody"/>
        <w:spacing w:before="360" w:after="0"/>
        <w:jc w:val="left"/>
        <w:rPr>
          <w:rFonts w:ascii="Times New Roman" w:hAnsi="Times New Roman"/>
          <w:sz w:val="20"/>
        </w:rPr>
      </w:pPr>
      <w:r>
        <w:rPr>
          <w:rFonts w:ascii="Times New Roman;serif" w:hAnsi="Times New Roman;serif"/>
          <w:b/>
          <w:i/>
          <w:sz w:val="20"/>
        </w:rPr>
        <w:t>Adjusted EBITDA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define Adjusted EBITDA as net loss, adjusted for interest expense, interest and dividend income and other expenses, income tax provision (benefit), and certain other non-cash or non-recurring items impacting net loss from time to time, principally comprised of depreciation and amortization, amortization of lease intangible, stock-based compensation, charitable contributions of common stock, income from an unconsolidated joint venture, impairment of assets, restructuring charges and acquisition and other adjustments not reflective of the Company's ongoing business, such as adjustments related to purchase accounting, the revaluation of</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contingent consideration and transaction costs. Adjusted EBITDA is a performance measure that we use to assess our operating performance and the operating leverage in our business. Adjusted EBITDA Margin is calculated by dividing Adjusted EBITDA for a period by revenue for the same period.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 the three months ended March 31, 2023, Adjusted EBITDA loss decreased to $(11.8) million, as compared to Adjusted EBITDA loss of $(12.7) million for the same quarter in 2022. For the quarter ended March 31, 2023, Adjusted EBITDA Margin decreased to (11)% of revenue, as compared to (15)% of revenue for the same quarter in 2022, driven primarily by increased operating efficiencies as we continue to grow our revenue and margins faster than our expenses.</w:t>
      </w:r>
      <w:r>
        <w:rPr>
          <w:rFonts w:ascii="Times New Roman" w:hAnsi="Times New Roman"/>
          <w:sz w:val="20"/>
        </w:rPr>
        <w:t xml:space="preserve"> </w:t>
      </w:r>
    </w:p>
    <w:p>
      <w:pPr>
        <w:pStyle w:val="TextBody"/>
        <w:spacing w:before="240" w:after="0"/>
        <w:jc w:val="left"/>
        <w:rPr/>
      </w:pPr>
      <w:r>
        <w:rPr/>
        <w:t> </w:t>
      </w:r>
    </w:p>
    <w:tbl>
      <w:tblPr>
        <w:tblW w:w="8231" w:type="dxa"/>
        <w:jc w:val="left"/>
        <w:tblInd w:w="0" w:type="dxa"/>
        <w:tblCellMar>
          <w:top w:w="28" w:type="dxa"/>
          <w:left w:w="28" w:type="dxa"/>
          <w:bottom w:w="28" w:type="dxa"/>
          <w:right w:w="28" w:type="dxa"/>
        </w:tblCellMar>
      </w:tblPr>
      <w:tblGrid>
        <w:gridCol w:w="5476"/>
        <w:gridCol w:w="146"/>
        <w:gridCol w:w="229"/>
        <w:gridCol w:w="801"/>
        <w:gridCol w:w="180"/>
        <w:gridCol w:w="158"/>
        <w:gridCol w:w="229"/>
        <w:gridCol w:w="801"/>
        <w:gridCol w:w="211"/>
      </w:tblGrid>
      <w:tr>
        <w:trPr/>
        <w:tc>
          <w:tcPr>
            <w:tcW w:w="54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4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(18,343</w:t>
            </w:r>
          </w:p>
        </w:tc>
        <w:tc>
          <w:tcPr>
            <w:tcW w:w="1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(19,995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 (deduct)</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righ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interest and dividend income and other expenses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(1,514</w:t>
            </w:r>
          </w:p>
        </w:tc>
        <w:tc>
          <w:tcPr>
            <w:tcW w:w="1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1,635</w:t>
            </w:r>
          </w:p>
        </w:tc>
        <w:tc>
          <w:tcPr>
            <w:tcW w:w="211" w:type="dxa"/>
            <w:tcBorders/>
            <w:shd w:fill="auto" w:val="clear"/>
            <w:vAlign w:val="center"/>
          </w:tcPr>
          <w:p>
            <w:pPr>
              <w:pStyle w:val="TableContents"/>
              <w:spacing w:before="0" w:after="0"/>
              <w:ind w:left="0" w:right="0" w:hanging="0"/>
              <w:jc w:val="left"/>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2,566</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1,799</w:t>
            </w:r>
          </w:p>
        </w:tc>
        <w:tc>
          <w:tcPr>
            <w:tcW w:w="211" w:type="dxa"/>
            <w:tcBorders/>
            <w:shd w:fill="auto" w:val="clear"/>
            <w:vAlign w:val="center"/>
          </w:tcPr>
          <w:p>
            <w:pPr>
              <w:pStyle w:val="TableContents"/>
              <w:spacing w:before="0" w:after="0"/>
              <w:ind w:left="0" w:right="0" w:hanging="0"/>
              <w:jc w:val="left"/>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lease intangible</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w:t>
            </w:r>
          </w:p>
        </w:tc>
        <w:tc>
          <w:tcPr>
            <w:tcW w:w="211" w:type="dxa"/>
            <w:tcBorders/>
            <w:shd w:fill="auto" w:val="clear"/>
            <w:vAlign w:val="center"/>
          </w:tcPr>
          <w:p>
            <w:pPr>
              <w:pStyle w:val="TableContents"/>
              <w:spacing w:before="0" w:after="0"/>
              <w:ind w:left="0" w:right="0" w:hanging="0"/>
              <w:jc w:val="left"/>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provision (benefit)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based compensation</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4,694</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3,456</w:t>
            </w:r>
          </w:p>
        </w:tc>
        <w:tc>
          <w:tcPr>
            <w:tcW w:w="211" w:type="dxa"/>
            <w:tcBorders/>
            <w:shd w:fill="auto" w:val="clear"/>
            <w:vAlign w:val="center"/>
          </w:tcPr>
          <w:p>
            <w:pPr>
              <w:pStyle w:val="TableContents"/>
              <w:spacing w:before="0" w:after="0"/>
              <w:ind w:left="0" w:right="0" w:hanging="0"/>
              <w:jc w:val="left"/>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and other</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639</w:t>
            </w:r>
          </w:p>
        </w:tc>
        <w:tc>
          <w:tcPr>
            <w:tcW w:w="211" w:type="dxa"/>
            <w:tcBorders/>
            <w:shd w:fill="auto" w:val="clear"/>
            <w:vAlign w:val="center"/>
          </w:tcPr>
          <w:p>
            <w:pPr>
              <w:pStyle w:val="TableContents"/>
              <w:spacing w:before="0" w:after="0"/>
              <w:ind w:left="0" w:right="0" w:hanging="0"/>
              <w:jc w:val="left"/>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Charitable contribution of common stock</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unconsolidated joint venture</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Impairment of assets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(11,767</w:t>
            </w:r>
          </w:p>
        </w:tc>
        <w:tc>
          <w:tcPr>
            <w:tcW w:w="18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(12,726</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360" w:after="0"/>
        <w:jc w:val="left"/>
        <w:rPr>
          <w:rFonts w:ascii="Times New Roman" w:hAnsi="Times New Roman"/>
          <w:sz w:val="20"/>
        </w:rPr>
      </w:pPr>
      <w:r>
        <w:rPr>
          <w:rFonts w:ascii="Times New Roman;serif" w:hAnsi="Times New Roman;serif"/>
          <w:b/>
          <w:i/>
          <w:sz w:val="20"/>
        </w:rPr>
        <w:t>Non-GAAP Net Loss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define Non-GAAP net loss, as net loss adjusted for depreciation and amortization, stock-based compensation expense, amortization of lease intangible, amortization of deferred costs on convertible notes, losses on marketable securities, loss on sale of property and equipment, charitable contributions of common stock, impairment of assets, restructuring charges and acquisition and other adjustments not reflective of the Company's ongoing business, such as adjustments related to purchase accounting, the revaluation of contingent consideration and transaction costs.</w:t>
      </w:r>
      <w:r>
        <w:rPr>
          <w:rFonts w:ascii="Times New Roman" w:hAnsi="Times New Roman"/>
          <w:sz w:val="20"/>
        </w:rPr>
        <w:t xml:space="preserve"> </w:t>
      </w:r>
    </w:p>
    <w:tbl>
      <w:tblPr>
        <w:tblW w:w="6839" w:type="dxa"/>
        <w:jc w:val="left"/>
        <w:tblInd w:w="0" w:type="dxa"/>
        <w:tblCellMar>
          <w:top w:w="28" w:type="dxa"/>
          <w:left w:w="28" w:type="dxa"/>
          <w:bottom w:w="28" w:type="dxa"/>
          <w:right w:w="28" w:type="dxa"/>
        </w:tblCellMar>
      </w:tblPr>
      <w:tblGrid>
        <w:gridCol w:w="4276"/>
        <w:gridCol w:w="146"/>
        <w:gridCol w:w="211"/>
        <w:gridCol w:w="736"/>
        <w:gridCol w:w="166"/>
        <w:gridCol w:w="146"/>
        <w:gridCol w:w="211"/>
        <w:gridCol w:w="736"/>
        <w:gridCol w:w="211"/>
      </w:tblGrid>
      <w:tr>
        <w:trPr/>
        <w:tc>
          <w:tcPr>
            <w:tcW w:w="4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2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w:t>
              <w:br/>
              <w:t>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Non-GAAP Net Loss: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(19,995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 (deduct):</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1,799</w:t>
            </w:r>
          </w:p>
        </w:tc>
        <w:tc>
          <w:tcPr>
            <w:tcW w:w="21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3,456</w:t>
            </w:r>
          </w:p>
        </w:tc>
        <w:tc>
          <w:tcPr>
            <w:tcW w:w="21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lease intangible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w:t>
            </w:r>
          </w:p>
        </w:tc>
        <w:tc>
          <w:tcPr>
            <w:tcW w:w="21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deferred costs on convertible notes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w:t>
            </w:r>
          </w:p>
        </w:tc>
        <w:tc>
          <w:tcPr>
            <w:tcW w:w="21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858</w:t>
            </w:r>
          </w:p>
        </w:tc>
        <w:tc>
          <w:tcPr>
            <w:tcW w:w="21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and 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639</w:t>
            </w:r>
          </w:p>
        </w:tc>
        <w:tc>
          <w:tcPr>
            <w:tcW w:w="21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sale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Charitable contribution of common stock</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Impairment of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Non-GAAP 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(9,766</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(12,598</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For the three months ended March 31, 2023, Non-GAAP net loss decreased to $(9.8) million, as compared to Non-GAAP net loss of $(12.6) million for the same quarter in 2022. For the quarter ended March 31, 2023, Non-GAAP net loss decreased to (9)% of revenue, as compared to (15)% of revenue for the same quarter in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Adjusted EBITDA and Non-GAAP net loss are non-GAAP financial measures that we use, in addition to our GAAP financial measures, to evaluate our business. We have included Adjusted EBITDA and Non-GAAP net loss in this filing because they are key measures used by our management to evaluate our operating performance. Accordingly, we believe that Adjusted EBITDA and Non-GAAP net loss provide useful information to investors and others in understanding and evaluating our operating results in the same manner as our management team and board of directors. Our calculation of Adjusted EBITDA and Non-GAAP net loss may differ from similarly titled non-GAAP measures, if any, reported by our peer companies and therefore may not serve as an accurate basis of comparison among companies. Adjusted EBITDA and Non-GAAP net loss should not be considered in isolation from, or as a substitute for, financial information prepared in accordance with GAAP.</w:t>
      </w:r>
      <w:r>
        <w:rPr>
          <w:rFonts w:ascii="Times New Roman" w:hAnsi="Times New Roman"/>
          <w:sz w:val="20"/>
        </w:rPr>
        <w:t xml:space="preserve"> </w:t>
      </w:r>
    </w:p>
    <w:p>
      <w:pPr>
        <w:pStyle w:val="TextBody"/>
        <w:spacing w:before="360" w:after="0"/>
        <w:jc w:val="center"/>
        <w:rPr>
          <w:rFonts w:ascii="Times New Roman" w:hAnsi="Times New Roman"/>
          <w:sz w:val="20"/>
        </w:rPr>
      </w:pPr>
      <w:r>
        <w:rPr>
          <w:rFonts w:ascii="Times New Roman;serif" w:hAnsi="Times New Roman;serif"/>
          <w:b/>
          <w:sz w:val="20"/>
        </w:rPr>
        <w:t>Components of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marketplace revenue is primarily comprised of sales to customers through our platform. Buyers purchase specialized CNC manufacturing, sheet metal manufacturing, 3D printing, injection molding, urethane casting, tube cutting, tube bending and finishing services. Customer purchases range from rapid prototyping of single parts to high-volume production on our marketplace. These products are primarily manufactured by our network of suppliers.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Supplier services revenue includes the sale of marketing and advertising services, and to a lesser extent the sale of supplies, financial service products and SaaS based solutions.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Cost of 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Marketplace cost of revenue primarily consists of the cost to us of the products that are manufactured or produced by us or our suppliers for delivery to buyers on our platform, internal and external production costs, shipping costs and certain internal depreciation. We expect cost of revenue to increase in absolute dollars to the extent our revenue increases and transaction volume increases. As we grow and add suppliers to our platform, we are able to improve our pricing efficiency, we expect cost of revenue to decline as a percentage of revenue over time.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Cost of revenue for supplier services primarily consists of internal and external production costs and website hosting.</w:t>
      </w:r>
    </w:p>
    <w:p>
      <w:pPr>
        <w:pStyle w:val="TextBody"/>
        <w:spacing w:before="120" w:after="0"/>
        <w:jc w:val="left"/>
        <w:rPr>
          <w:rFonts w:ascii="Times New Roman" w:hAnsi="Times New Roman"/>
          <w:sz w:val="20"/>
        </w:rPr>
      </w:pPr>
      <w:r>
        <w:rPr>
          <w:rFonts w:ascii="Times New Roman;serif" w:hAnsi="Times New Roman;serif"/>
          <w:b/>
          <w:i/>
          <w:sz w:val="20"/>
        </w:rPr>
        <w:t>Gross Profit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Gross profit, or revenue less cost of revenue, is primarily affected by the growth of our revenue. Our gross profit margin is primarily affected by liquidity of our suppliers’ network and the efficiency of our pricing and will be benefited by increasing the use of existing supplier services and the variety of supplier services offerings over time.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operating expenses consist of sales and marketing, operations and support, product development and general and administrative functions.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Sales and Marketing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Sales and marketing expenses are expensed as incurred and include the costs of our digital marketing strategies, branding costs and other advertising costs, certain depreciation and amortization expense, contract acquisition costs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near-term sales and marketing expenses may fluctuate from period-to-period based on the timing of our investments in our sales and marketing functions as these investments may vary in scope and scale over future periods.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Operations and Support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Operations and support expenses are the costs we incur in support of the buyers and suppliers on our platform which are provided by phone, email and chat for purposes of resolving buyer and suppliers related matters. These costs primarily consist of compensation expenses of the support staff, including stock-based compensation, certain depreciation and amortization expense and software costs used in delivering buyer and suppliers services. We expect operations and support expense to increase in absolute dollars in the future, though in the near-term operations and support expenses may fluctuate from period-to-period based on total revenue levels and the timing of our investments in our operations and support functions as these investments may vary in scope and scale over future periods.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i/>
          <w:sz w:val="20"/>
        </w:rPr>
        <w:t>Product Development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Product development costs which are not eligible for capitalization are expensed as incurred. This account also includes compensation expenses, including stock-based compensation expenses to our employees performing these functions and certain depreciation and amortization expense. We expect product development expense to increase in absolute dollars in the future, though in the near-term product development expenses may fluctuate from period-to-period based on total revenue levels and the timing of our investments in our product development functions as these investments may vary in scope and scale over future periods.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General and Administrative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General and administrative expenses primarily consist of compensation expenses, including stock-based compensation expenses, for executive, finance, legal and other administrative personnel, professional service fees and certain depreciation and amortization expense. We expect our general and administrative expenses to increase. We expect to incur additional general and administrative expenses as a result of operating as a public company, including as a result of increased legal, accounting, and directors’ and officers’ insurance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Other (Expenses) Income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Interest Expense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Interest expense consists of interest incurred on our outstanding borrowings under our outstanding convertible notes or other borrowings.</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Interest and Dividend Income</w:t>
      </w:r>
    </w:p>
    <w:p>
      <w:pPr>
        <w:pStyle w:val="TextBody"/>
        <w:spacing w:before="120" w:after="0"/>
        <w:jc w:val="left"/>
        <w:rPr>
          <w:rFonts w:ascii="Times New Roman" w:hAnsi="Times New Roman"/>
          <w:sz w:val="20"/>
        </w:rPr>
      </w:pPr>
      <w:r>
        <w:rPr>
          <w:rFonts w:ascii="Times New Roman;serif" w:hAnsi="Times New Roman;serif"/>
          <w:b w:val="false"/>
          <w:sz w:val="20"/>
        </w:rPr>
        <w:t>Interest and dividend income consists of interest and dividends on our cash, cash equivalents and marketable securities.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Other Income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Other income (expenses) consist primarily of realized and/or unrealized losses and other expenses.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i/>
          <w:sz w:val="20"/>
        </w:rPr>
        <w:t>Income from Unconsolidated Joint Venture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Income from unconsolidated joint venture consists of our share of the joint venture's income.</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20"/>
        </w:rPr>
        <w:t>Comparison of the Three Months Ended March 31, 2023 and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following table sets forth our unaudited statements of operations data for the periods indicated:</w:t>
      </w:r>
      <w:r>
        <w:rPr>
          <w:rFonts w:ascii="Times New Roman" w:hAnsi="Times New Roman"/>
          <w:sz w:val="20"/>
        </w:rPr>
        <w:t xml:space="preserve"> </w:t>
      </w:r>
    </w:p>
    <w:tbl>
      <w:tblPr>
        <w:tblW w:w="7328" w:type="dxa"/>
        <w:jc w:val="left"/>
        <w:tblInd w:w="0" w:type="dxa"/>
        <w:tblCellMar>
          <w:top w:w="28" w:type="dxa"/>
          <w:left w:w="28" w:type="dxa"/>
          <w:bottom w:w="28" w:type="dxa"/>
          <w:right w:w="28" w:type="dxa"/>
        </w:tblCellMar>
      </w:tblPr>
      <w:tblGrid>
        <w:gridCol w:w="4171"/>
        <w:gridCol w:w="146"/>
        <w:gridCol w:w="225"/>
        <w:gridCol w:w="833"/>
        <w:gridCol w:w="177"/>
        <w:gridCol w:w="155"/>
        <w:gridCol w:w="225"/>
        <w:gridCol w:w="785"/>
        <w:gridCol w:w="611"/>
      </w:tblGrid>
      <w:tr>
        <w:trPr/>
        <w:tc>
          <w:tcPr>
            <w:tcW w:w="41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41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0"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611" w:type="dxa"/>
            <w:tcBorders/>
            <w:shd w:fill="auto" w:val="clear"/>
            <w:vAlign w:val="center"/>
          </w:tcPr>
          <w:p>
            <w:pPr>
              <w:pStyle w:val="TableContents"/>
              <w:spacing w:before="0" w:after="0"/>
              <w:ind w:left="0" w:right="0" w:hanging="0"/>
              <w:jc w:val="center"/>
              <w:rPr/>
            </w:pPr>
            <w:r>
              <w:rPr/>
              <w:t> </w:t>
            </w:r>
          </w:p>
        </w:tc>
      </w:tr>
      <w:tr>
        <w:trPr/>
        <w:tc>
          <w:tcPr>
            <w:tcW w:w="4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105,326</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83,671</w:t>
            </w:r>
          </w:p>
        </w:tc>
        <w:tc>
          <w:tcPr>
            <w:tcW w:w="611" w:type="dxa"/>
            <w:tcBorders/>
            <w:shd w:fill="auto" w:val="clear"/>
            <w:vAlign w:val="center"/>
          </w:tcPr>
          <w:p>
            <w:pPr>
              <w:pStyle w:val="TableContents"/>
              <w:spacing w:before="0" w:after="0"/>
              <w:ind w:left="0" w:right="0" w:hanging="0"/>
              <w:jc w:val="left"/>
              <w:rPr/>
            </w:pPr>
            <w:r>
              <w:rPr/>
              <w:t> </w:t>
            </w:r>
          </w:p>
        </w:tc>
      </w:tr>
      <w:tr>
        <w:trPr/>
        <w:tc>
          <w:tcPr>
            <w:tcW w:w="4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65,957</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50,732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39,369</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32,939</w:t>
            </w:r>
          </w:p>
        </w:tc>
        <w:tc>
          <w:tcPr>
            <w:tcW w:w="611" w:type="dxa"/>
            <w:tcBorders/>
            <w:shd w:fill="auto" w:val="clear"/>
            <w:vAlign w:val="center"/>
          </w:tcPr>
          <w:p>
            <w:pPr>
              <w:pStyle w:val="TableContents"/>
              <w:spacing w:before="0" w:after="0"/>
              <w:ind w:left="0" w:right="0" w:hanging="0"/>
              <w:jc w:val="left"/>
              <w:rPr/>
            </w:pPr>
            <w:r>
              <w:rPr/>
              <w:t> </w:t>
            </w:r>
          </w:p>
        </w:tc>
      </w:tr>
      <w:tr>
        <w:trPr/>
        <w:tc>
          <w:tcPr>
            <w:tcW w:w="4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058" w:type="dxa"/>
            <w:gridSpan w:val="2"/>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22,439</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19,285</w:t>
            </w:r>
          </w:p>
        </w:tc>
        <w:tc>
          <w:tcPr>
            <w:tcW w:w="611" w:type="dxa"/>
            <w:tcBorders/>
            <w:shd w:fill="auto" w:val="clear"/>
            <w:vAlign w:val="center"/>
          </w:tcPr>
          <w:p>
            <w:pPr>
              <w:pStyle w:val="TableContents"/>
              <w:spacing w:before="0" w:after="0"/>
              <w:ind w:left="0" w:right="0" w:firstLine="200"/>
              <w:jc w:val="left"/>
              <w:rPr/>
            </w:pPr>
            <w:r>
              <w:rPr/>
              <w:t> </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Operations and support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12,608</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12,358</w:t>
            </w:r>
          </w:p>
        </w:tc>
        <w:tc>
          <w:tcPr>
            <w:tcW w:w="611" w:type="dxa"/>
            <w:tcBorders/>
            <w:shd w:fill="auto" w:val="clear"/>
            <w:vAlign w:val="center"/>
          </w:tcPr>
          <w:p>
            <w:pPr>
              <w:pStyle w:val="TableContents"/>
              <w:spacing w:before="0" w:after="0"/>
              <w:ind w:left="0" w:right="0" w:firstLine="200"/>
              <w:jc w:val="left"/>
              <w:rPr/>
            </w:pPr>
            <w:r>
              <w:rPr/>
              <w:t> </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8,125</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7,290</w:t>
            </w:r>
          </w:p>
        </w:tc>
        <w:tc>
          <w:tcPr>
            <w:tcW w:w="611" w:type="dxa"/>
            <w:tcBorders/>
            <w:shd w:fill="auto" w:val="clear"/>
            <w:vAlign w:val="center"/>
          </w:tcPr>
          <w:p>
            <w:pPr>
              <w:pStyle w:val="TableContents"/>
              <w:spacing w:before="0" w:after="0"/>
              <w:ind w:left="0" w:right="0" w:firstLine="200"/>
              <w:jc w:val="left"/>
              <w:rPr/>
            </w:pPr>
            <w:r>
              <w:rPr/>
              <w:t> </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15,957</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12,959</w:t>
            </w:r>
          </w:p>
        </w:tc>
        <w:tc>
          <w:tcPr>
            <w:tcW w:w="611" w:type="dxa"/>
            <w:tcBorders/>
            <w:shd w:fill="auto" w:val="clear"/>
            <w:vAlign w:val="center"/>
          </w:tcPr>
          <w:p>
            <w:pPr>
              <w:pStyle w:val="TableContents"/>
              <w:spacing w:before="0" w:after="0"/>
              <w:ind w:left="0" w:right="0" w:firstLine="200"/>
              <w:jc w:val="left"/>
              <w:rPr/>
            </w:pPr>
            <w:r>
              <w:rPr/>
              <w:t> </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Impairment of assets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417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59,156</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51,892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(19,787</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(18,953</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(expenses) income:</w:t>
            </w:r>
          </w:p>
        </w:tc>
        <w:tc>
          <w:tcPr>
            <w:tcW w:w="146" w:type="dxa"/>
            <w:tcBorders/>
            <w:shd w:fill="auto" w:val="clear"/>
            <w:vAlign w:val="center"/>
          </w:tcPr>
          <w:p>
            <w:pPr>
              <w:pStyle w:val="TableContents"/>
              <w:spacing w:before="0" w:after="0"/>
              <w:ind w:left="0" w:right="0" w:hanging="0"/>
              <w:jc w:val="left"/>
              <w:rPr/>
            </w:pPr>
            <w:r>
              <w:rPr/>
              <w:t> </w:t>
            </w:r>
          </w:p>
        </w:tc>
        <w:tc>
          <w:tcPr>
            <w:tcW w:w="1058" w:type="dxa"/>
            <w:gridSpan w:val="2"/>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(1,198</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(769</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and dividend income</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2,695</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611" w:type="dxa"/>
            <w:tcBorders/>
            <w:shd w:fill="auto" w:val="clear"/>
            <w:vAlign w:val="center"/>
          </w:tcPr>
          <w:p>
            <w:pPr>
              <w:pStyle w:val="TableContents"/>
              <w:spacing w:before="0" w:after="0"/>
              <w:ind w:left="0" w:right="0" w:firstLine="200"/>
              <w:jc w:val="left"/>
              <w:rPr/>
            </w:pPr>
            <w:r>
              <w:rPr/>
              <w:t> </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(962</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unconsolidated joint venture</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417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 (expenses)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1,580</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(18,207</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(20,554</w:t>
            </w:r>
          </w:p>
        </w:tc>
        <w:tc>
          <w:tcPr>
            <w:tcW w:w="61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559</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(18,343</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(19,995</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attributable to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common stockholders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(18,344</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(20,012</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following table sets forth our unaudited statements of operations data expressed as a percentage of total revenue for the periods indicated:</w:t>
      </w:r>
      <w:r>
        <w:rPr>
          <w:rFonts w:ascii="Times New Roman" w:hAnsi="Times New Roman"/>
          <w:sz w:val="20"/>
        </w:rPr>
        <w:t xml:space="preserve"> </w:t>
      </w:r>
    </w:p>
    <w:tbl>
      <w:tblPr>
        <w:tblW w:w="7491" w:type="dxa"/>
        <w:jc w:val="left"/>
        <w:tblInd w:w="0" w:type="dxa"/>
        <w:tblCellMar>
          <w:top w:w="28" w:type="dxa"/>
          <w:left w:w="28" w:type="dxa"/>
          <w:bottom w:w="28" w:type="dxa"/>
          <w:right w:w="28" w:type="dxa"/>
        </w:tblCellMar>
      </w:tblPr>
      <w:tblGrid>
        <w:gridCol w:w="4171"/>
        <w:gridCol w:w="146"/>
        <w:gridCol w:w="183"/>
        <w:gridCol w:w="717"/>
        <w:gridCol w:w="415"/>
        <w:gridCol w:w="183"/>
        <w:gridCol w:w="183"/>
        <w:gridCol w:w="717"/>
        <w:gridCol w:w="776"/>
      </w:tblGrid>
      <w:tr>
        <w:trPr/>
        <w:tc>
          <w:tcPr>
            <w:tcW w:w="41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r>
      <w:tr>
        <w:trPr/>
        <w:tc>
          <w:tcPr>
            <w:tcW w:w="41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4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9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0" w:type="dxa"/>
            <w:gridSpan w:val="2"/>
            <w:tcBorders/>
            <w:shd w:fill="auto" w:val="clear"/>
            <w:vAlign w:val="center"/>
          </w:tcPr>
          <w:p>
            <w:pPr>
              <w:pStyle w:val="TableContents"/>
              <w:spacing w:before="0" w:after="0"/>
              <w:ind w:left="0" w:right="0" w:hanging="0"/>
              <w:jc w:val="center"/>
              <w:rPr/>
            </w:pPr>
            <w:r>
              <w:rPr/>
              <w:t> </w:t>
            </w:r>
          </w:p>
        </w:tc>
        <w:tc>
          <w:tcPr>
            <w:tcW w:w="415" w:type="dxa"/>
            <w:tcBorders/>
            <w:shd w:fill="auto" w:val="clear"/>
            <w:vAlign w:val="center"/>
          </w:tcPr>
          <w:p>
            <w:pPr>
              <w:pStyle w:val="TableContents"/>
              <w:spacing w:before="0" w:after="0"/>
              <w:ind w:left="0" w:right="0" w:hanging="0"/>
              <w:jc w:val="center"/>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900" w:type="dxa"/>
            <w:gridSpan w:val="2"/>
            <w:tcBorders/>
            <w:shd w:fill="auto" w:val="clear"/>
            <w:vAlign w:val="center"/>
          </w:tcPr>
          <w:p>
            <w:pPr>
              <w:pStyle w:val="TableContents"/>
              <w:spacing w:before="0" w:after="0"/>
              <w:ind w:left="0" w:right="0" w:hanging="0"/>
              <w:jc w:val="center"/>
              <w:rPr/>
            </w:pPr>
            <w:r>
              <w:rPr/>
              <w:t> </w:t>
            </w:r>
          </w:p>
        </w:tc>
        <w:tc>
          <w:tcPr>
            <w:tcW w:w="776" w:type="dxa"/>
            <w:tcBorders/>
            <w:shd w:fill="auto" w:val="clear"/>
            <w:vAlign w:val="center"/>
          </w:tcPr>
          <w:p>
            <w:pPr>
              <w:pStyle w:val="TableContents"/>
              <w:spacing w:before="0" w:after="0"/>
              <w:ind w:left="0" w:right="0" w:hanging="0"/>
              <w:jc w:val="center"/>
              <w:rPr/>
            </w:pPr>
            <w:r>
              <w:rPr/>
              <w:t> </w:t>
            </w:r>
          </w:p>
        </w:tc>
      </w:tr>
      <w:tr>
        <w:trPr/>
        <w:tc>
          <w:tcPr>
            <w:tcW w:w="4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4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62.6</w:t>
            </w:r>
          </w:p>
        </w:tc>
        <w:tc>
          <w:tcPr>
            <w:tcW w:w="4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60.6</w:t>
            </w:r>
          </w:p>
        </w:tc>
        <w:tc>
          <w:tcPr>
            <w:tcW w:w="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4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39.4</w:t>
            </w:r>
          </w:p>
        </w:tc>
        <w:tc>
          <w:tcPr>
            <w:tcW w:w="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900" w:type="dxa"/>
            <w:gridSpan w:val="2"/>
            <w:tcBorders/>
            <w:shd w:fill="auto" w:val="clear"/>
            <w:vAlign w:val="center"/>
          </w:tcPr>
          <w:p>
            <w:pPr>
              <w:pStyle w:val="TableContents"/>
              <w:spacing w:before="0" w:after="0"/>
              <w:ind w:left="0" w:right="0" w:hanging="0"/>
              <w:jc w:val="right"/>
              <w:rPr/>
            </w:pPr>
            <w:r>
              <w:rPr/>
              <w:t> </w:t>
            </w:r>
          </w:p>
        </w:tc>
        <w:tc>
          <w:tcPr>
            <w:tcW w:w="415" w:type="dxa"/>
            <w:tcBorders/>
            <w:shd w:fill="auto" w:val="clear"/>
            <w:vAlign w:val="center"/>
          </w:tcPr>
          <w:p>
            <w:pPr>
              <w:pStyle w:val="TableContents"/>
              <w:spacing w:before="0" w:after="0"/>
              <w:ind w:left="0" w:right="0" w:hanging="0"/>
              <w:jc w:val="righ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900" w:type="dxa"/>
            <w:gridSpan w:val="2"/>
            <w:tcBorders/>
            <w:shd w:fill="auto" w:val="clear"/>
            <w:vAlign w:val="center"/>
          </w:tcPr>
          <w:p>
            <w:pPr>
              <w:pStyle w:val="TableContents"/>
              <w:spacing w:before="0" w:after="0"/>
              <w:ind w:left="0" w:right="0" w:hanging="0"/>
              <w:jc w:val="right"/>
              <w:rPr/>
            </w:pPr>
            <w:r>
              <w:rPr/>
              <w:t> </w:t>
            </w:r>
          </w:p>
        </w:tc>
        <w:tc>
          <w:tcPr>
            <w:tcW w:w="776" w:type="dxa"/>
            <w:tcBorders/>
            <w:shd w:fill="auto" w:val="clear"/>
            <w:vAlign w:val="center"/>
          </w:tcPr>
          <w:p>
            <w:pPr>
              <w:pStyle w:val="TableContents"/>
              <w:spacing w:before="0" w:after="0"/>
              <w:ind w:left="0" w:right="0" w:firstLine="200"/>
              <w:jc w:val="right"/>
              <w:rPr/>
            </w:pPr>
            <w:r>
              <w:rPr/>
              <w:t> </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4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77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Operations and support</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4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77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4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77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4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w:t>
            </w:r>
          </w:p>
        </w:tc>
        <w:tc>
          <w:tcPr>
            <w:tcW w:w="77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Impairment of assets</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56.2</w:t>
            </w:r>
          </w:p>
        </w:tc>
        <w:tc>
          <w:tcPr>
            <w:tcW w:w="4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62.0</w:t>
            </w:r>
          </w:p>
        </w:tc>
        <w:tc>
          <w:tcPr>
            <w:tcW w:w="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4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w:t>
            </w:r>
          </w:p>
        </w:tc>
        <w:tc>
          <w:tcPr>
            <w:tcW w:w="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(expenses) income:</w:t>
            </w:r>
          </w:p>
        </w:tc>
        <w:tc>
          <w:tcPr>
            <w:tcW w:w="146" w:type="dxa"/>
            <w:tcBorders/>
            <w:shd w:fill="auto" w:val="clear"/>
            <w:vAlign w:val="center"/>
          </w:tcPr>
          <w:p>
            <w:pPr>
              <w:pStyle w:val="TableContents"/>
              <w:spacing w:before="0" w:after="0"/>
              <w:ind w:left="0" w:right="0" w:hanging="0"/>
              <w:jc w:val="left"/>
              <w:rPr/>
            </w:pPr>
            <w:r>
              <w:rPr/>
              <w:t> </w:t>
            </w:r>
          </w:p>
        </w:tc>
        <w:tc>
          <w:tcPr>
            <w:tcW w:w="900" w:type="dxa"/>
            <w:gridSpan w:val="2"/>
            <w:tcBorders/>
            <w:shd w:fill="auto" w:val="clear"/>
            <w:vAlign w:val="center"/>
          </w:tcPr>
          <w:p>
            <w:pPr>
              <w:pStyle w:val="TableContents"/>
              <w:spacing w:before="0" w:after="0"/>
              <w:ind w:left="0" w:right="0" w:hanging="0"/>
              <w:jc w:val="right"/>
              <w:rPr/>
            </w:pPr>
            <w:r>
              <w:rPr/>
              <w:t> </w:t>
            </w:r>
          </w:p>
        </w:tc>
        <w:tc>
          <w:tcPr>
            <w:tcW w:w="415" w:type="dxa"/>
            <w:tcBorders/>
            <w:shd w:fill="auto" w:val="clear"/>
            <w:vAlign w:val="center"/>
          </w:tcPr>
          <w:p>
            <w:pPr>
              <w:pStyle w:val="TableContents"/>
              <w:spacing w:before="0" w:after="0"/>
              <w:ind w:left="0" w:right="0" w:hanging="0"/>
              <w:jc w:val="righ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900" w:type="dxa"/>
            <w:gridSpan w:val="2"/>
            <w:tcBorders/>
            <w:shd w:fill="auto" w:val="clear"/>
            <w:vAlign w:val="center"/>
          </w:tcPr>
          <w:p>
            <w:pPr>
              <w:pStyle w:val="TableContents"/>
              <w:spacing w:before="0" w:after="0"/>
              <w:ind w:left="0" w:right="0" w:hanging="0"/>
              <w:jc w:val="right"/>
              <w:rPr/>
            </w:pPr>
            <w:r>
              <w:rPr/>
              <w:t> </w:t>
            </w:r>
          </w:p>
        </w:tc>
        <w:tc>
          <w:tcPr>
            <w:tcW w:w="776" w:type="dxa"/>
            <w:tcBorders/>
            <w:shd w:fill="auto" w:val="clear"/>
            <w:vAlign w:val="center"/>
          </w:tcPr>
          <w:p>
            <w:pPr>
              <w:pStyle w:val="TableContents"/>
              <w:spacing w:before="0" w:after="0"/>
              <w:ind w:left="0" w:right="0" w:firstLine="200"/>
              <w:jc w:val="right"/>
              <w:rPr/>
            </w:pPr>
            <w:r>
              <w:rPr/>
              <w:t> </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4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77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and dividend income</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4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77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(expenses)</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pPr>
            <w:r>
              <w:rPr/>
              <w:t>—</w:t>
            </w:r>
          </w:p>
        </w:tc>
        <w:tc>
          <w:tcPr>
            <w:tcW w:w="4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77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unconsolidated joint venture</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4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 (expenses)</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4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4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w:t>
            </w:r>
          </w:p>
        </w:tc>
        <w:tc>
          <w:tcPr>
            <w:tcW w:w="776"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4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common stockholders</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w:t>
            </w:r>
          </w:p>
        </w:tc>
        <w:tc>
          <w:tcPr>
            <w:tcW w:w="4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77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attributable to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common stockholders</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w:t>
            </w:r>
          </w:p>
        </w:tc>
        <w:tc>
          <w:tcPr>
            <w:tcW w:w="4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 w:type="dxa"/>
            <w:tcBorders/>
            <w:shd w:fill="auto" w:val="clear"/>
            <w:vAlign w:val="center"/>
          </w:tcPr>
          <w:p>
            <w:pPr>
              <w:pStyle w:val="TableContents"/>
              <w:spacing w:before="0" w:after="0"/>
              <w:ind w:left="0" w:right="0" w:hanging="0"/>
              <w:jc w:val="left"/>
              <w:rPr/>
            </w:pPr>
            <w:r>
              <w:rPr/>
              <w:t> </w:t>
            </w:r>
          </w:p>
        </w:tc>
        <w:tc>
          <w:tcPr>
            <w:tcW w:w="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7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left"/>
        <w:rPr>
          <w:rFonts w:ascii="Times New Roman" w:hAnsi="Times New Roman"/>
          <w:sz w:val="20"/>
        </w:rPr>
      </w:pPr>
      <w:r>
        <w:rPr>
          <w:rFonts w:ascii="Times New Roman;serif" w:hAnsi="Times New Roman;serif"/>
          <w:b w:val="false"/>
          <w:sz w:val="20"/>
        </w:rPr>
        <w:t>The following tables present our disaggregated revenue and cost of revenue. Revenue from our marketplace primarily reflects the sales of parts and assemblies on our platform. Revenue from supplier services primarily includes the sale of advertising and to a lesser extent supplies, financial service products and SaaS products.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Revenue and cost of revenue is presented in the following tables for the three months ended March 31, 2023 and 2022 (in thousands):</w:t>
      </w:r>
    </w:p>
    <w:tbl>
      <w:tblPr>
        <w:tblW w:w="3964" w:type="dxa"/>
        <w:jc w:val="left"/>
        <w:tblInd w:w="0" w:type="dxa"/>
        <w:tblCellMar>
          <w:top w:w="28" w:type="dxa"/>
          <w:left w:w="28" w:type="dxa"/>
          <w:bottom w:w="28" w:type="dxa"/>
          <w:right w:w="28" w:type="dxa"/>
        </w:tblCellMar>
      </w:tblPr>
      <w:tblGrid>
        <w:gridCol w:w="1561"/>
        <w:gridCol w:w="146"/>
        <w:gridCol w:w="211"/>
        <w:gridCol w:w="676"/>
        <w:gridCol w:w="146"/>
        <w:gridCol w:w="146"/>
        <w:gridCol w:w="211"/>
        <w:gridCol w:w="676"/>
        <w:gridCol w:w="191"/>
      </w:tblGrid>
      <w:tr>
        <w:trPr/>
        <w:tc>
          <w:tcPr>
            <w:tcW w:w="15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5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Three Months</w:t>
              <w:br/>
              <w:t>Ended March 31,</w:t>
            </w:r>
          </w:p>
        </w:tc>
        <w:tc>
          <w:tcPr>
            <w:tcW w:w="191" w:type="dxa"/>
            <w:tcBorders/>
            <w:shd w:fill="auto" w:val="clear"/>
            <w:vAlign w:val="center"/>
          </w:tcPr>
          <w:p>
            <w:pPr>
              <w:pStyle w:val="TableContents"/>
              <w:spacing w:before="0" w:after="0"/>
              <w:ind w:left="0" w:right="0" w:hanging="0"/>
              <w:jc w:val="center"/>
              <w:rPr/>
            </w:pPr>
            <w:r>
              <w:rPr/>
              <w:t> </w:t>
            </w:r>
          </w:p>
        </w:tc>
      </w:tr>
      <w:tr>
        <w:trPr/>
        <w:tc>
          <w:tcPr>
            <w:tcW w:w="15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Marketplace</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5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86,680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64,415</w:t>
            </w:r>
          </w:p>
        </w:tc>
        <w:tc>
          <w:tcPr>
            <w:tcW w:w="191" w:type="dxa"/>
            <w:tcBorders/>
            <w:shd w:fill="auto" w:val="clear"/>
            <w:vAlign w:val="center"/>
          </w:tcPr>
          <w:p>
            <w:pPr>
              <w:pStyle w:val="TableContents"/>
              <w:spacing w:before="0" w:after="0"/>
              <w:ind w:left="0" w:right="0" w:hanging="0"/>
              <w:jc w:val="left"/>
              <w:rPr/>
            </w:pPr>
            <w:r>
              <w:rPr/>
              <w:t> </w:t>
            </w:r>
          </w:p>
        </w:tc>
      </w:tr>
      <w:tr>
        <w:trPr/>
        <w:tc>
          <w:tcPr>
            <w:tcW w:w="15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61,747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46,741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24,933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17,674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15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Supplier services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15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19,256</w:t>
            </w:r>
          </w:p>
        </w:tc>
        <w:tc>
          <w:tcPr>
            <w:tcW w:w="191" w:type="dxa"/>
            <w:tcBorders/>
            <w:shd w:fill="auto" w:val="clear"/>
            <w:vAlign w:val="center"/>
          </w:tcPr>
          <w:p>
            <w:pPr>
              <w:pStyle w:val="TableContents"/>
              <w:spacing w:before="0" w:after="0"/>
              <w:ind w:left="0" w:right="0" w:hanging="0"/>
              <w:jc w:val="left"/>
              <w:rPr/>
            </w:pPr>
            <w:r>
              <w:rPr/>
              <w:t> </w:t>
            </w:r>
          </w:p>
        </w:tc>
      </w:tr>
      <w:tr>
        <w:trPr/>
        <w:tc>
          <w:tcPr>
            <w:tcW w:w="15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14,436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15,265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Total revenue increased $21.7 million, or 26%, from $83.7 million for the three months ended March 31, 2022 to $105.3 million for the three months ended March 31, 2023. This growth was a result of an increase in marketplace revenue, partially offset by a decrease in supplier services revenue. Total revenue from marketplace and supplier services for the three months ended March 31, 2023 was $86.7 million and $18.6 million, respectively, as compared to $64.4 million and $19.3 million, respectively for the three months ended March 31, 2022. Marketplace revenue increased $22.3 million, or 35% from $64.4 million for the three months ended March 31, 2022 to $86.7 million for the three months ended March 31, 2023. The increase in marketplace revenue was primarily due increased buyers activity on the platform for the three months ended March 31, 2023, as compared to the prior year period.</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Supplier services revenue decreased $0.6 million, or 3% from $19.3 million for the three months ended March 31, 2022 to $18.6 million for the three months ended March 31, 2023.</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Total revenue for the three months ended March 31, 2023 and 2022, was $93.9 million and $77.2 million, respectively, for the U.S. operating segment, and $11.4 million and $6.5 million, respectively, for the International operating segment.</w:t>
      </w:r>
    </w:p>
    <w:p>
      <w:pPr>
        <w:pStyle w:val="TextBody"/>
        <w:spacing w:before="120" w:after="0"/>
        <w:jc w:val="left"/>
        <w:rPr>
          <w:rFonts w:ascii="Times New Roman" w:hAnsi="Times New Roman"/>
          <w:sz w:val="20"/>
        </w:rPr>
      </w:pPr>
      <w:r>
        <w:rPr>
          <w:rFonts w:ascii="Times New Roman;serif" w:hAnsi="Times New Roman;serif"/>
          <w:b/>
          <w:i/>
          <w:sz w:val="20"/>
        </w:rPr>
        <w:t>Cost of Revenue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Total cost of revenue increased $15.2 million, or 30%, from $50.7 million for the three months ended March 31, 2022 to $66.0 million for the three months ended March 31, 2023. This increase was primarily the result of an increase in marketplace cost of revenue and to a lesser extent an increase in supplier services costs of revenue. Total cost of revenue from marketplace and supplier services for the three months ended March 31, 2023 was $61.7 million and $4.2 million, respectively, as compared to $46.7 million and $4.0 million, respectively for the three months ended March 31,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Marketplace cost of revenue was driven by increased payments to suppliers on our platform due to order growth and increased activity on our marketplace.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Gross Profit and Margin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Gross profit increased $6.4 million, or 20%, from $32.9 million for the three months ended March 31, 2022 to $39.4 million for the three months ended March 31, 2023. The increase in gross profit was primarily due to increases in revenue from marketplace and improved marketplace gross margins as compared to the prior year period.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Gross margin for marketplace was 28.8% for the three months ended March 31, 2023, as compared to 27.4% for the three months ended March 31, 2022. The improvement over the prior year period was due in part to our AI-driven platform and increasing supplier selection. Pricing has become more efficient due to the increased number of orders over time, improving the data set and thus making our pricing decisions more accurate. Additionally, we continue to grow our active suppliers resulting in more competition for buyers’ orders and therefore a lower cost of revenue. Gross margin for our supplier services was 77.4% for the three months ended March 31, 2023, as compared to 79.3% for the three months ended March 31, 2022. The decline in gross margin for supplier services is primarily due to lower gross margin on the sale of supplies.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Sales and Marketing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Sales and marketing expense increased $3.2 million, or 16%, from $19.3 million for the three months ended March 31, 2022 to $22.4 million for the three months ended March 31, 2023, primarily due to additional sales employees and compensation costs including stock-based compensation, increases in marketing and advertising spend, commissions and consulting expense. As a percent of total revenue, sales and marketing expenses decreased to 21.3% for the three months ended March 31, 2023 from 23.0% for the three months ended March 31, 2022.</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Operations and Support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Operations and support increased $0.3 million, or 2%, from $12.4 million for the three months ended March 31, 2022 to $12.6 million for the three months ended March 31, 2023, primarily due to hiring of additional operations and support employees and their compensation costs including stock-based compensation, partly offset by lower consulting expenses. As a percent of total revenue, operations and support expenses decreased to 12.0% for the three months ended March 31, 2023 from 14.8% for the three months ended March 31, 2022.</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Product Development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Product development expense increased $0.8 million, or 11%, from $7.3 million for the three months ended March 31, 2022 to $8.1 million for the three months ended March 31, 2023, primarily as result of increases in depreciation expense related to developed software assets, hiring additional product development employees and their compensation, including stock-based compensation and additional software costs. As a percent of total revenue, product development expenses decreased to 7.7% for the three months ended March 31, 2023 from 8.7% for the three months ended March 31, 2022.</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General and Administrative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General and administrative expense increased $3.0 million, or 23%, from $13.0 million for the three months ended March 31, 2022 to $16.0 million for the three months ended March 31, 2023. The primary driver of the increase was due to higher professional fees related to accounting and legal services of which approximately $0.8 million was associated with Sarbanes-Oxley Act implementation. In addition, we incurred higher software and maintenance costs, consulting expenses, stock-based compensation expense and facilities costs. We also donated $0.4 million of Class A common stock to our donor advised fund and had lower acquisition and other related costs. These increases were partially offset by a reduction in payroll related costs due to the reduction in</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force that occurred in January 2023 and lower acquisition related costs. As a percent of total revenue, general and administrative expenses decreased to 15.2% for the for the three months ended March 31, 2023 from 15.5% for the three months ended March 31, 2022.</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Other (Expenses) Income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Interest Expense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Interest expense increased by $0.4 million, or 56%, from $0.8 million for the three months ended March 31, 2022 to $1.2 million for the three months ended March 31, 2023, primarily as a result of the interest on the 2027 convertible notes issued in February 2022.</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Interest and Dividend Income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Interest and dividend income increased by $2.6 million, or 2,707%, from $0.1 million for the three months ended March 31, 2022 to $2.7 million for the three months ended March 31, 2023, primarily due to dividend income from our marketable securities.</w:t>
      </w:r>
    </w:p>
    <w:p>
      <w:pPr>
        <w:pStyle w:val="TextBody"/>
        <w:spacing w:before="120" w:after="0"/>
        <w:jc w:val="left"/>
        <w:rPr>
          <w:rFonts w:ascii="Times New Roman" w:hAnsi="Times New Roman"/>
          <w:sz w:val="20"/>
        </w:rPr>
      </w:pPr>
      <w:r>
        <w:rPr>
          <w:rFonts w:ascii="Times New Roman;serif" w:hAnsi="Times New Roman;serif"/>
          <w:b w:val="false"/>
          <w:i/>
          <w:sz w:val="20"/>
        </w:rPr>
        <w:t>Other Income (Expenses)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income (expenses) changed by $1.0 million, or 102%, from $(1.0) million for the three months ended March 31, 2022 to $17,000 for the three months ended March 31, 2023, as a result of decreased losses on our marketable securities.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i/>
          <w:sz w:val="20"/>
        </w:rPr>
        <w:t>Income from Unconsolidated Joint Venture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Income from unconsolidated joint venture increased $32,000 due to our 50% interest in Industrial Media, LLC.</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Additional Segment Considerations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Total segment loss from our U.S. operating segment for the three months ended March 31, 2023 and 2022, was $12.9 million and $16.3 million, respectively. Total segment loss from our International operating segment for the three months ended March 31, 2023 and 2022, was $5.4 million and $3.7 million, respectively.</w:t>
      </w:r>
    </w:p>
    <w:p>
      <w:pPr>
        <w:pStyle w:val="TextBody"/>
        <w:spacing w:before="0" w:after="0"/>
        <w:jc w:val="left"/>
        <w:rPr/>
      </w:pPr>
      <w:r>
        <w:rPr/>
        <w:t> </w:t>
      </w:r>
    </w:p>
    <w:p>
      <w:pPr>
        <w:pStyle w:val="TextBody"/>
        <w:spacing w:before="0" w:after="0"/>
        <w:jc w:val="center"/>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General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financed our operations primarily through sales of our equity securities and borrowings under our convertible notes. As of March 31, 2023, our cash and cash equivalents and marketable securities totaled $296.2 million. We believe our existing cash and cash equivalents and marketable securities will be sufficient to support our working capital and capital expenditure requirements for at least the next twelve months and over the long-term. We believe we will meet our longer-term expected future cash requirements primarily from a combination of cash flow from operating activities and available cash and cash equivalents and marketable securities. We may also engage in equity or debt financings to secure additional funds. Our future capital requirements will depend on many factors, including our revenue growth rate, receivable and payable cycles, the timing and extent of investments in product development, sales and marketing, operations and support and general and administrative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capital expenditures consist primarily of internal-use software costs, manufacturing equipment, computers and peripheral equipment, furniture and fixtures and leasehold improvements and patents.</w:t>
      </w:r>
      <w:r>
        <w:rPr>
          <w:rFonts w:ascii="Times New Roman" w:hAnsi="Times New Roman"/>
          <w:sz w:val="20"/>
        </w:rPr>
        <w:t xml:space="preserve"> </w:t>
      </w:r>
    </w:p>
    <w:p>
      <w:pPr>
        <w:pStyle w:val="TextBody"/>
        <w:spacing w:before="12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Convertible Notes due 2027</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 issuance of the 2027 Notes were $278.2 million, net of debt issuance costs. The debt issuance costs are amortized to interest expense using the effective interest rate method.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2027 Notes are unsecured obligations which bear regular interest at 1% per annum and for which the principal balance will not accrete. Interest payment are due on February 1 and August 1 of each year the Notes remain outstanding. The 2027 Notes will mature on February 1, 2027 unless repurchased, redeemed, or converted in accordance with their terms prior to such date.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Holders of the 2027 Notes may convert all or a portion of their 2027 Notes at their option prior to November 1, 2026, in multiples of $1,000 principal amounts, only under the following circumstances: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five-business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on the occurrence of specified corporate events.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or after November 1, 2026, the 2027 Notes are convertible at any time until the close of business on the second scheduled trading day immediately preceding the maturity date.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accounted for the issuance of the 2027 Notes as a single liability measured at its amortized cost, as no other embedded features require bifurcation and recognition as derivatives.</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 2027 Notes have a carrying value of $280.4 million with an effective annual interest rate of 1.6%.</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presents a summary of our cash flows from operating, investing, and financing activities for the three months ended March 31, 2023 and 2022.</w:t>
      </w:r>
      <w:r>
        <w:rPr>
          <w:rFonts w:ascii="Times New Roman" w:hAnsi="Times New Roman"/>
          <w:sz w:val="20"/>
        </w:rPr>
        <w:t xml:space="preserve"> </w:t>
      </w:r>
    </w:p>
    <w:tbl>
      <w:tblPr>
        <w:tblW w:w="6221" w:type="dxa"/>
        <w:jc w:val="left"/>
        <w:tblInd w:w="0" w:type="dxa"/>
        <w:tblCellMar>
          <w:top w:w="28" w:type="dxa"/>
          <w:left w:w="28" w:type="dxa"/>
          <w:bottom w:w="28" w:type="dxa"/>
          <w:right w:w="28" w:type="dxa"/>
        </w:tblCellMar>
      </w:tblPr>
      <w:tblGrid>
        <w:gridCol w:w="3466"/>
        <w:gridCol w:w="146"/>
        <w:gridCol w:w="219"/>
        <w:gridCol w:w="764"/>
        <w:gridCol w:w="172"/>
        <w:gridCol w:w="151"/>
        <w:gridCol w:w="219"/>
        <w:gridCol w:w="873"/>
        <w:gridCol w:w="211"/>
      </w:tblGrid>
      <w:tr>
        <w:trPr/>
        <w:tc>
          <w:tcPr>
            <w:tcW w:w="3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0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(16,455</w:t>
            </w:r>
          </w:p>
        </w:tc>
        <w:tc>
          <w:tcPr>
            <w:tcW w:w="1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(24,259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(282,465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483</w:t>
            </w:r>
          </w:p>
        </w:tc>
        <w:tc>
          <w:tcPr>
            <w:tcW w:w="172"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279,460</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i/>
          <w:sz w:val="20"/>
        </w:rPr>
        <w:t>Operating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 the three months ended March 31, 2023, net cash used in operating activities was $16.5 million, primarily due to a net loss of $(18.3) million adjusted for non-cash charges of $10.1 million and a net decrease in our operating assets and liabilities of $(8.2) million. The non-cash adjustments primarily relate to stock-based compensation of $4.7 million, depreciation and amortization of $2.6 million, and $1.9 million of reduction to our right of use lease assets. The net decrease in operating assets and liabilities is primarily driven by an increase in accounts receivable of $2.8 million, an increase in other assets of $3.7 million, and a decrease in accrued expenses of $2.1 million. These decreases were offset by an increase in contract liabilities of $1.4 million.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 the three months ended March 31, 2022, net cash used in operating activities was $24.3 million, primarily due to a net loss of $(20.0) million adjusted for non-cash charges of $8.1 million and a net decrease in our operating assets and liabilities of $(12.4) million. The non-cash adjustments primarily relate to stock-based compensation of $3.5 million, depreciation and amortization of $1.8 million, $0.9 unrealized loss on marketable securities, and $1.8 million of reduction to our right of use lease assets. The net decrease in operating assets and liabilities is primarily driven by an increase in accounts receivable of $6.1 million, a $1.8 million increase other assets, a decrease in accounts payable of $2.8 million and accrued expenses of $2.8 million. These decreases are partially offset by an increase in contract liabilities of $2.1 million</w:t>
      </w:r>
      <w:r>
        <w:rPr>
          <w:rFonts w:ascii="Times New Roman;serif" w:hAnsi="Times New Roman;serif"/>
          <w:b w:val="false"/>
          <w:sz w:val="24"/>
        </w:rPr>
        <w: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Investing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 the three months ended March 31, 2023, net cash used in investing activities was $10.0 million, primarily due to the purchase of property and equipment (which includes internal-use software development costs) of $4.2 million, $3.3 million for the acquisition of Tridi and $2.7 million for the purchase of marketable securities.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Cash used in investing activities was $282.5 million during the three months ended March 31, 2022, primarily due to the purchase of marketable securities of $280.1 million and $2.5 million for purchases of property and equipment (which includes internal-use software development costs).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Financing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 the three months ended March 31, 2023, net cash provided by financing activities was $0.5 million, all relating to proceeds from the exercise of stock options.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Cash provided by financing activities was $279.5 million during the three months ended March 31, 2022, reflecting $287.5 million of proceeds from the issuance of the 2027 convertible senior notes. These inflows were offset by $9.3 million of convertible note costs incurred in connection with these notes.</w:t>
      </w:r>
      <w:r>
        <w:rPr>
          <w:rFonts w:ascii="Times New Roman" w:hAnsi="Times New Roman"/>
          <w:sz w:val="20"/>
        </w:rPr>
        <w:t xml:space="preserve"> </w:t>
      </w:r>
    </w:p>
    <w:p>
      <w:pPr>
        <w:pStyle w:val="TextBody"/>
        <w:spacing w:before="120" w:after="0"/>
        <w:jc w:val="center"/>
        <w:rPr>
          <w:rFonts w:ascii="Times New Roman;serif" w:hAnsi="Times New Roman;serif"/>
          <w:b/>
          <w:sz w:val="20"/>
        </w:rPr>
      </w:pPr>
      <w:r>
        <w:rPr>
          <w:rFonts w:ascii="Times New Roman;serif" w:hAnsi="Times New Roman;serif"/>
          <w:b/>
          <w:sz w:val="20"/>
        </w:rPr>
        <w:t>Critical Accounting Estimates</w:t>
      </w:r>
    </w:p>
    <w:p>
      <w:pPr>
        <w:pStyle w:val="TextBody"/>
        <w:spacing w:before="120" w:after="0"/>
        <w:jc w:val="left"/>
        <w:rPr/>
      </w:pPr>
      <w:r>
        <w:rPr>
          <w:rFonts w:ascii="Times New Roman;serif" w:hAnsi="Times New Roman;serif"/>
          <w:b w:val="false"/>
          <w:sz w:val="20"/>
        </w:rPr>
        <w:t xml:space="preserve">Our condensed consolidated financial statements and accompanying notes have been prepared in accordance with GAAP. The preparation of these condensed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 For additional information about our critical accounting policies and estimates, see the disclosure included in our </w:t>
      </w:r>
      <w:hyperlink r:id="rId5">
        <w:r>
          <w:rPr>
            <w:rStyle w:val="InternetLink"/>
            <w:rFonts w:ascii="Times New Roman;serif" w:hAnsi="Times New Roman;serif"/>
            <w:b w:val="false"/>
            <w:sz w:val="20"/>
            <w:u w:val="single"/>
          </w:rPr>
          <w:t>Annual Report on Form 10-K</w:t>
        </w:r>
      </w:hyperlink>
      <w:r>
        <w:rPr>
          <w:rFonts w:ascii="Times New Roman" w:hAnsi="Times New Roman"/>
          <w:sz w:val="20"/>
        </w:rPr>
        <w:t xml:space="preserve"> </w:t>
      </w:r>
      <w:r>
        <w:rPr>
          <w:rFonts w:ascii="Times New Roman;serif" w:hAnsi="Times New Roman;serif"/>
          <w:b w:val="false"/>
          <w:sz w:val="20"/>
        </w:rPr>
        <w:t>as well as Note 2 – Basis of Presentation and Summary of Significant Accounting Policies in the notes to the condensed consolidated financial statements included in Part I, Item 1, of this Quarterly Report on Form 10-Q.</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120" w:after="0"/>
        <w:jc w:val="center"/>
        <w:rPr>
          <w:rFonts w:ascii="Times New Roman" w:hAnsi="Times New Roman"/>
          <w:sz w:val="20"/>
        </w:rPr>
      </w:pPr>
      <w:r>
        <w:rPr>
          <w:rFonts w:ascii="Times New Roman;serif" w:hAnsi="Times New Roman;serif"/>
          <w:b/>
          <w:sz w:val="20"/>
        </w:rPr>
        <w:t>Recent Accounting Pronouncements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a description of our recently adopted accounting pronouncements and recently issued accounting standards not yet adopted, see Note 2 – Basis of Presentation and Summary of Significant Accounting Policies in the notes to the condensed consolidated financial statements included in Part I, Item 1, of this Quarterly Report on Form 10-Q.</w:t>
      </w:r>
    </w:p>
    <w:p>
      <w:pPr>
        <w:pStyle w:val="TextBody"/>
        <w:spacing w:before="240" w:after="0"/>
        <w:jc w:val="left"/>
        <w:rPr>
          <w:rFonts w:ascii="Times New Roman;serif" w:hAnsi="Times New Roman;serif"/>
          <w:b/>
          <w:sz w:val="20"/>
        </w:rPr>
      </w:pPr>
      <w:bookmarkStart w:id="15" w:name="i_item3"/>
      <w:bookmarkEnd w:id="15"/>
      <w:r>
        <w:rPr>
          <w:rFonts w:ascii="Times New Roman;serif" w:hAnsi="Times New Roman;serif"/>
          <w:b/>
          <w:sz w:val="20"/>
        </w:rPr>
        <w:t>Item 3. Quantitative and Qualitative Disclosures About Market Risk.</w:t>
      </w:r>
    </w:p>
    <w:p>
      <w:pPr>
        <w:pStyle w:val="TextBody"/>
        <w:spacing w:before="240" w:after="0"/>
        <w:jc w:val="left"/>
        <w:rPr>
          <w:rFonts w:ascii="Times New Roman" w:hAnsi="Times New Roman"/>
          <w:sz w:val="20"/>
        </w:rPr>
      </w:pPr>
      <w:r>
        <w:rPr>
          <w:rFonts w:ascii="Times New Roman;serif" w:hAnsi="Times New Roman;serif"/>
          <w:b w:val="false"/>
          <w:sz w:val="20"/>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Foreign Currency Exchange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are impacted by changes in exchange rates.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Inflation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do not believe that inflation has had a material effect on our business, results of operations, or financial condition. If our costs were to become subject to significant inflationary pressures such as those caused by the conflict in Ukraine, we may not be able to fully offset such higher costs through price increases. Our inability or failure to do so could harm our business, results of operations and financial condition.</w:t>
      </w:r>
      <w:r>
        <w:rPr>
          <w:rFonts w:ascii="Times New Roman" w:hAnsi="Times New Roman"/>
          <w:sz w:val="20"/>
        </w:rPr>
        <w:t xml:space="preserve"> </w:t>
      </w:r>
    </w:p>
    <w:p>
      <w:pPr>
        <w:pStyle w:val="TextBody"/>
        <w:spacing w:before="240" w:after="0"/>
        <w:jc w:val="left"/>
        <w:rPr>
          <w:rFonts w:ascii="Times New Roman;serif" w:hAnsi="Times New Roman;serif"/>
          <w:b/>
          <w:sz w:val="20"/>
        </w:rPr>
      </w:pPr>
      <w:bookmarkStart w:id="16" w:name="i_item4"/>
      <w:bookmarkEnd w:id="16"/>
      <w:r>
        <w:rPr>
          <w:rFonts w:ascii="Times New Roman;serif" w:hAnsi="Times New Roman;serif"/>
          <w:b/>
          <w:sz w:val="20"/>
        </w:rPr>
        <w:t>Item 4. Controls and Procedures.</w:t>
      </w:r>
    </w:p>
    <w:p>
      <w:pPr>
        <w:pStyle w:val="TextBody"/>
        <w:spacing w:before="12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spacing w:before="120" w:after="0"/>
        <w:jc w:val="left"/>
        <w:rPr>
          <w:rFonts w:ascii="Times New Roman" w:hAnsi="Times New Roman"/>
          <w:sz w:val="20"/>
        </w:rPr>
      </w:pPr>
      <w:r>
        <w:rPr>
          <w:rFonts w:ascii="Times New Roman;serif" w:hAnsi="Times New Roman;serif"/>
          <w:b w:val="false"/>
          <w:sz w:val="20"/>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Pursuant to Rules 13a-15(e) and 15d-15(e) under the Exchange Act, our management, with the participation of our principal executive officer and principal financial officer, performed an evaluation of the effectiveness of our disclosure controls and procedures as of March 31, 2023. Based on such evaluation, our principal executive officer and principal financial officer concluded that our disclosure controls and procedures were not effective at a reasonable assurance level as a result of a material weakness that existed in our internal control over financial reporting as described below. While the Company has implemented remediation steps, the material weakness cannot be considered fully remediated until the controls have been in place and operate for a sufficient period of time.</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Material Weakness in Internal Control Over Financial Reporting</w:t>
      </w:r>
    </w:p>
    <w:p>
      <w:pPr>
        <w:pStyle w:val="TextBody"/>
        <w:spacing w:before="120" w:after="0"/>
        <w:jc w:val="left"/>
        <w:rPr>
          <w:rFonts w:ascii="Times New Roman" w:hAnsi="Times New Roman"/>
          <w:sz w:val="20"/>
        </w:rPr>
      </w:pPr>
      <w:r>
        <w:rPr>
          <w:rFonts w:ascii="Times New Roman;serif" w:hAnsi="Times New Roman;serif"/>
          <w:b w:val="false"/>
          <w:sz w:val="20"/>
        </w:rPr>
        <w:t>In connection with the audit of our financial statements as of and for the fiscal year ended December 31, 2022, during our implementation of internal control over financial reporting (Sarbanes-Oxley Act of 2002, or “SOX”), we identified a material weakness in our internal control over financial reporting that existed as of December 31, 2022.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December 9, 2021, we completed our acquisition of Thomas Publishing, Inc. (“Thomas”). The additional workload on our resources to integrate Thomas contributed to our inability to timely perform an effective risk assessment related to the achievement of its control objectives in certain processes, primarily revenue and costs of revenue. As a result, we were unable to design and operate effective process-level controls as of December 31, 2022.</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Management’s Plan to Remediate the Material Weakness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During the first quarter of 2023, management has implemented remediation steps to address the material weakness and to improve our internal control over financial reporting. Specifically, now that Thomas has been fully integrated, we have improved our review processes over risk assessment, which also includes the documentation to support the operating effectiveness of our controls. While the Company has implemented remediation steps, the material weakness cannot be considered fully remediated until the</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improved controls have been in place and operate for a sufficient period of time. However, our management, including our principal executive officer and principal financial officer, has concluded that, notwithstanding the identified material weakness in our internal control over financial reporting, the financial statements in this filing fairly present, in all material respects, our financial condition, results of operations and cash flows for the periods presented in conformity with U.S. GAAP.</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remainder of fiscal year 2023, management will test and evaluate the related internal controls to ascertain whether they are designed and operating effectively to provide reasonable assurance that they will prevent or detect a material error in the financial statements.</w:t>
      </w:r>
    </w:p>
    <w:p>
      <w:pPr>
        <w:pStyle w:val="TextBody"/>
        <w:spacing w:before="12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than as discussed above under “Management’s Plan to Remediate the Material Weakness”, there were no changes to our internal control over financial reporting that occurred during the quarter ended March 31, 2023, that have materially affected, or are reasonably likely to materially affect, our internal control over financial reporting.</w:t>
      </w:r>
    </w:p>
    <w:p>
      <w:pPr>
        <w:pStyle w:val="TextBody"/>
        <w:spacing w:before="12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Inherent Limitations on Effectiveness of Controls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spacing w:before="120" w:after="0"/>
        <w:jc w:val="left"/>
        <w:rPr/>
      </w:pPr>
      <w:r>
        <w:rPr/>
        <w:t> </w:t>
      </w:r>
    </w:p>
    <w:p>
      <w:pPr>
        <w:pStyle w:val="TextBody"/>
        <w:spacing w:before="360" w:after="0"/>
        <w:jc w:val="center"/>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120" w:after="0"/>
        <w:jc w:val="center"/>
        <w:rPr>
          <w:rFonts w:ascii="Times New Roman;serif" w:hAnsi="Times New Roman;serif"/>
          <w:b/>
          <w:sz w:val="20"/>
        </w:rPr>
      </w:pPr>
      <w:bookmarkStart w:id="17" w:name="part_ii"/>
      <w:bookmarkEnd w:id="17"/>
      <w:r>
        <w:rPr>
          <w:rFonts w:ascii="Times New Roman;serif" w:hAnsi="Times New Roman;serif"/>
          <w:b/>
          <w:sz w:val="20"/>
        </w:rPr>
        <w:t>PART II—OTHER INFORMATION</w:t>
      </w:r>
    </w:p>
    <w:p>
      <w:pPr>
        <w:pStyle w:val="TextBody"/>
        <w:spacing w:before="120" w:after="0"/>
        <w:jc w:val="left"/>
        <w:rPr>
          <w:rFonts w:ascii="Times New Roman;serif" w:hAnsi="Times New Roman;serif"/>
          <w:b/>
          <w:sz w:val="20"/>
        </w:rPr>
      </w:pPr>
      <w:bookmarkStart w:id="18" w:name="ii_item1"/>
      <w:bookmarkEnd w:id="18"/>
      <w:r>
        <w:rPr>
          <w:rFonts w:ascii="Times New Roman;serif" w:hAnsi="Times New Roman;serif"/>
          <w:b/>
          <w:sz w:val="20"/>
        </w:rPr>
        <w:t>Item 1. Legal Proceedings.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For the period ending March 31, 2023, there were no material legal proceedings brought against the Company nor were there any material developments to any ongoing legal proceedings which constituted reportable events.</w:t>
      </w:r>
    </w:p>
    <w:p>
      <w:pPr>
        <w:pStyle w:val="TextBody"/>
        <w:spacing w:before="360" w:after="0"/>
        <w:jc w:val="left"/>
        <w:rPr>
          <w:rFonts w:ascii="Times New Roman;serif" w:hAnsi="Times New Roman;serif"/>
          <w:b/>
          <w:sz w:val="20"/>
        </w:rPr>
      </w:pPr>
      <w:bookmarkStart w:id="19" w:name="ii_item1a"/>
      <w:bookmarkEnd w:id="19"/>
      <w:r>
        <w:rPr>
          <w:rFonts w:ascii="Times New Roman;serif" w:hAnsi="Times New Roman;serif"/>
          <w:b/>
          <w:sz w:val="20"/>
        </w:rPr>
        <w:t>Item 1A. Risk Factors.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Investing in our Class A common stock involves a high degree of risk. You should carefully consider the risks and uncertainties described in our Annual Report on Form 10</w:t>
        <w:noBreakHyphen/>
        <w:t>K for the year ended December 31, 2022 under Part I, Item 1A, "Risk Factors,”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Class A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Class A common stock could decline, and you could lose part or all of your investment.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There have been no material changes to our risk factors as previously disclosed in Item 1A. contained in Part I of our Annual Report on Form 10</w:t>
        <w:noBreakHyphen/>
        <w:t>K for the year ended December 31, 2022.</w:t>
      </w:r>
    </w:p>
    <w:p>
      <w:pPr>
        <w:pStyle w:val="TextBody"/>
        <w:spacing w:before="360" w:after="0"/>
        <w:jc w:val="left"/>
        <w:rPr>
          <w:rFonts w:ascii="Times New Roman;serif" w:hAnsi="Times New Roman;serif"/>
          <w:b/>
          <w:sz w:val="20"/>
        </w:rPr>
      </w:pPr>
      <w:bookmarkStart w:id="20" w:name="ii_item2"/>
      <w:bookmarkEnd w:id="20"/>
      <w:r>
        <w:rPr>
          <w:rFonts w:ascii="Times New Roman;serif" w:hAnsi="Times New Roman;serif"/>
          <w:b/>
          <w:sz w:val="20"/>
        </w:rPr>
        <w:t>Item 2. Unregistered Sales of Equity Securities and Use of Proceeds.</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200" w:after="0"/>
        <w:jc w:val="left"/>
        <w:rPr/>
      </w:pPr>
      <w:r>
        <w:rPr/>
        <w:t> </w:t>
      </w:r>
    </w:p>
    <w:p>
      <w:pPr>
        <w:pStyle w:val="TextBody"/>
        <w:spacing w:before="200" w:after="0"/>
        <w:jc w:val="left"/>
        <w:rPr>
          <w:rFonts w:ascii="Times New Roman;serif" w:hAnsi="Times New Roman;serif"/>
          <w:b/>
          <w:sz w:val="20"/>
        </w:rPr>
      </w:pPr>
      <w:bookmarkStart w:id="21" w:name="ii_item3"/>
      <w:bookmarkEnd w:id="21"/>
      <w:r>
        <w:rPr>
          <w:rFonts w:ascii="Times New Roman;serif" w:hAnsi="Times New Roman;serif"/>
          <w:b/>
          <w:sz w:val="20"/>
        </w:rPr>
        <w:t>Item 3. Defaults Upon Senior Securities.</w:t>
      </w:r>
    </w:p>
    <w:p>
      <w:pPr>
        <w:pStyle w:val="TextBody"/>
        <w:spacing w:before="20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200" w:after="0"/>
        <w:jc w:val="left"/>
        <w:rPr>
          <w:rFonts w:ascii="Times New Roman;serif" w:hAnsi="Times New Roman;serif"/>
          <w:b/>
          <w:sz w:val="20"/>
        </w:rPr>
      </w:pPr>
      <w:bookmarkStart w:id="22" w:name="ii_item4"/>
      <w:bookmarkEnd w:id="22"/>
      <w:r>
        <w:rPr>
          <w:rFonts w:ascii="Times New Roman;serif" w:hAnsi="Times New Roman;serif"/>
          <w:b/>
          <w:sz w:val="20"/>
        </w:rPr>
        <w:t>Item 4. Mine Safety Disclosures.</w:t>
      </w:r>
    </w:p>
    <w:p>
      <w:pPr>
        <w:pStyle w:val="TextBody"/>
        <w:spacing w:before="20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200" w:after="0"/>
        <w:jc w:val="left"/>
        <w:rPr>
          <w:rFonts w:ascii="Times New Roman;serif" w:hAnsi="Times New Roman;serif"/>
          <w:b/>
          <w:sz w:val="20"/>
        </w:rPr>
      </w:pPr>
      <w:bookmarkStart w:id="23" w:name="ii_item5"/>
      <w:bookmarkEnd w:id="23"/>
      <w:r>
        <w:rPr>
          <w:rFonts w:ascii="Times New Roman;serif" w:hAnsi="Times New Roman;serif"/>
          <w:b/>
          <w:sz w:val="20"/>
        </w:rPr>
        <w:t>Item 5. Other Information.</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24" w:name="ii_item6"/>
      <w:bookmarkEnd w:id="24"/>
      <w:r>
        <w:rPr>
          <w:rFonts w:ascii="Times New Roman;serif" w:hAnsi="Times New Roman;serif"/>
          <w:b/>
          <w:sz w:val="20"/>
        </w:rPr>
        <w:t>Item 6. Exhibits.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documents listed in the Exhibit Index of this Quarterly Report on Form 10-Q are herein incorporated by reference or are filed with this Quarterly Report on Form 10-Q, in each case as indicated therein (numbered in accordance with Item 601 of Regulation S-K).</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83"/>
        <w:gridCol w:w="146"/>
        <w:gridCol w:w="9276"/>
      </w:tblGrid>
      <w:tr>
        <w:trPr/>
        <w:tc>
          <w:tcPr>
            <w:tcW w:w="78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76" w:type="dxa"/>
            <w:tcBorders/>
            <w:shd w:fill="auto" w:val="clear"/>
            <w:vAlign w:val="center"/>
          </w:tcPr>
          <w:p>
            <w:pPr>
              <w:pStyle w:val="TableContents"/>
              <w:spacing w:before="0" w:after="283"/>
              <w:rPr>
                <w:sz w:val="4"/>
                <w:szCs w:val="4"/>
              </w:rPr>
            </w:pPr>
            <w:r>
              <w:rPr>
                <w:sz w:val="4"/>
                <w:szCs w:val="4"/>
              </w:rPr>
            </w:r>
          </w:p>
        </w:tc>
      </w:tr>
      <w:tr>
        <w:trPr/>
        <w:tc>
          <w:tcPr>
            <w:tcW w:w="783"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27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783"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7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78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7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6">
              <w:r>
                <w:rPr>
                  <w:rStyle w:val="InternetLink"/>
                  <w:rFonts w:ascii="Times New Roman;serif" w:hAnsi="Times New Roman;serif"/>
                  <w:b w:val="false"/>
                  <w:sz w:val="20"/>
                  <w:u w:val="single"/>
                </w:rPr>
                <w:t>Amended and Restated Certificate of Incorporation of Xometry, Inc., (incorporated herein by reference to Exhibit 3.1 to the Company’s Current Report on Form 8-K (File No. 001-40546), filed with the SEC on July 2, 2021).</w:t>
              </w:r>
            </w:hyperlink>
          </w:p>
        </w:tc>
      </w:tr>
      <w:tr>
        <w:trPr/>
        <w:tc>
          <w:tcPr>
            <w:tcW w:w="78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7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7">
              <w:r>
                <w:rPr>
                  <w:rStyle w:val="InternetLink"/>
                  <w:rFonts w:ascii="Times New Roman;serif" w:hAnsi="Times New Roman;serif"/>
                  <w:b w:val="false"/>
                  <w:sz w:val="20"/>
                  <w:u w:val="single"/>
                </w:rPr>
                <w:t>Amended and Restated Bylaws of Xometry, Inc., (incorporated herein by reference to Exhibit 3.2 to the Company’s Current Report on Form 8-K (File No. 001-40546), filed with the SEC on July 2, 2021).</w:t>
              </w:r>
            </w:hyperlink>
          </w:p>
        </w:tc>
      </w:tr>
      <w:tr>
        <w:trPr/>
        <w:tc>
          <w:tcPr>
            <w:tcW w:w="78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7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xmtr-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7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xmtr-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7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xmtr-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r>
      <w:tr>
        <w:trPr/>
        <w:tc>
          <w:tcPr>
            <w:tcW w:w="78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7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xmtr-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r>
      <w:tr>
        <w:trPr/>
        <w:tc>
          <w:tcPr>
            <w:tcW w:w="78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78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8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8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8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8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8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pBdr>
          <w:bottom w:val="single" w:sz="4" w:space="1" w:color="000000"/>
        </w:pBdr>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Filed herewith.</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5" w:name="signatures"/>
      <w:bookmarkEnd w:id="25"/>
      <w:r>
        <w:rPr>
          <w:rFonts w:ascii="Times New Roman;serif" w:hAnsi="Times New Roman;serif"/>
          <w:b/>
          <w:sz w:val="20"/>
        </w:rPr>
        <w:t>SIGNATURES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its behalf by the undersigned thereunto duly authorized.</w:t>
      </w:r>
    </w:p>
    <w:p>
      <w:pPr>
        <w:pStyle w:val="TextBody"/>
        <w:spacing w:before="0" w:after="0"/>
        <w:jc w:val="left"/>
        <w:rPr/>
      </w:pPr>
      <w:r>
        <w:rPr/>
        <w:t> </w:t>
      </w:r>
    </w:p>
    <w:tbl>
      <w:tblPr>
        <w:tblW w:w="5512" w:type="dxa"/>
        <w:jc w:val="left"/>
        <w:tblInd w:w="0" w:type="dxa"/>
        <w:tblCellMar>
          <w:top w:w="28" w:type="dxa"/>
          <w:left w:w="28" w:type="dxa"/>
          <w:bottom w:w="28" w:type="dxa"/>
          <w:right w:w="28" w:type="dxa"/>
        </w:tblCellMar>
      </w:tblPr>
      <w:tblGrid>
        <w:gridCol w:w="1741"/>
        <w:gridCol w:w="109"/>
        <w:gridCol w:w="406"/>
        <w:gridCol w:w="3256"/>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25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6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XOMETRY, INC.</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Randolph Altschuler</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Randolph Altschuler</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Executive Officer and Director</w:t>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James Rallo</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James Rallo</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r>
        <w:br w:type="page"/>
      </w:r>
    </w:p>
    <w:p>
      <w:pPr>
        <w:pStyle w:val="TextBody"/>
        <w:spacing w:before="0" w:after="0"/>
        <w:jc w:val="left"/>
        <w:rPr/>
      </w:pPr>
      <w:bookmarkStart w:id="26" w:name="xmtr-ex31_1.htm"/>
      <w:bookmarkStart w:id="27" w:name="ksxmtrex31_1"/>
      <w:bookmarkEnd w:id="26"/>
      <w:bookmarkEnd w:id="27"/>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Randolph Altschuler, certify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Xometry, Inc.;</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5512" w:type="dxa"/>
        <w:jc w:val="left"/>
        <w:tblInd w:w="0" w:type="dxa"/>
        <w:tblCellMar>
          <w:top w:w="28" w:type="dxa"/>
          <w:left w:w="28" w:type="dxa"/>
          <w:bottom w:w="28" w:type="dxa"/>
          <w:right w:w="28" w:type="dxa"/>
        </w:tblCellMar>
      </w:tblPr>
      <w:tblGrid>
        <w:gridCol w:w="1741"/>
        <w:gridCol w:w="109"/>
        <w:gridCol w:w="406"/>
        <w:gridCol w:w="3256"/>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25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Randolph Altschuler</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Randolph Altschuler</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Executive Officer and Director</w:t>
            </w:r>
          </w:p>
        </w:tc>
      </w:tr>
    </w:tbl>
    <w:p>
      <w:pPr>
        <w:pStyle w:val="TextBody"/>
        <w:spacing w:before="24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8" w:name="xmtr-ex31_2.htm"/>
      <w:bookmarkStart w:id="29" w:name="ksxmtrex31_2"/>
      <w:bookmarkEnd w:id="28"/>
      <w:bookmarkEnd w:id="29"/>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James Rallo, certify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Xometry, Inc.;</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357" w:type="dxa"/>
        <w:jc w:val="left"/>
        <w:tblInd w:w="0" w:type="dxa"/>
        <w:tblCellMar>
          <w:top w:w="28" w:type="dxa"/>
          <w:left w:w="28" w:type="dxa"/>
          <w:bottom w:w="28" w:type="dxa"/>
          <w:right w:w="28" w:type="dxa"/>
        </w:tblCellMar>
      </w:tblPr>
      <w:tblGrid>
        <w:gridCol w:w="1741"/>
        <w:gridCol w:w="109"/>
        <w:gridCol w:w="406"/>
        <w:gridCol w:w="2101"/>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0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0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James Rallo</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James Rallo</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30" w:name="xmtr-ex32_1.htm"/>
      <w:bookmarkStart w:id="31" w:name="ksxmtrex32_1"/>
      <w:bookmarkEnd w:id="30"/>
      <w:bookmarkEnd w:id="31"/>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Xometry, Inc. (the “Company”) on Form 10-Q for the period ending March 31, 2023 as filed with the Securities and Exchange Commission on the date hereof (the “Report”), I certify, pursuant to 18 U.S.C. § 1350, as adopted pursuant to § 906 of the Sarbanes-Oxley Act of 2002, that: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 of operations of the Company.</w:t>
      </w:r>
    </w:p>
    <w:p>
      <w:pPr>
        <w:pStyle w:val="TextBody"/>
        <w:spacing w:before="0" w:after="0"/>
        <w:jc w:val="left"/>
        <w:rPr/>
      </w:pPr>
      <w:r>
        <w:rPr/>
        <w:t> </w:t>
      </w:r>
    </w:p>
    <w:tbl>
      <w:tblPr>
        <w:tblW w:w="5512" w:type="dxa"/>
        <w:jc w:val="left"/>
        <w:tblInd w:w="0" w:type="dxa"/>
        <w:tblCellMar>
          <w:top w:w="28" w:type="dxa"/>
          <w:left w:w="28" w:type="dxa"/>
          <w:bottom w:w="28" w:type="dxa"/>
          <w:right w:w="28" w:type="dxa"/>
        </w:tblCellMar>
      </w:tblPr>
      <w:tblGrid>
        <w:gridCol w:w="1741"/>
        <w:gridCol w:w="109"/>
        <w:gridCol w:w="406"/>
        <w:gridCol w:w="3256"/>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25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Randolph Altschuler</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Randolph Altschuler</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Executive Officer and Director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32" w:name="xmtr-ex32_2.htm"/>
      <w:bookmarkStart w:id="33" w:name="ksxmtrex32_2"/>
      <w:bookmarkEnd w:id="32"/>
      <w:bookmarkEnd w:id="33"/>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32.2</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Xometry, Inc. (the “Company”) on Form 10-Q for the period ending March 31, 2023 as filed with the Securities and Exchange Commission on the date hereof (the “Report”), I certify, pursuant to 18 U.S.C. § 1350, as adopted pursuant to § 906 of the Sarbanes-Oxley Act of 2002, that: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 of operations of the Company.</w:t>
      </w:r>
    </w:p>
    <w:p>
      <w:pPr>
        <w:pStyle w:val="TextBody"/>
        <w:spacing w:before="0" w:after="0"/>
        <w:jc w:val="left"/>
        <w:rPr/>
      </w:pPr>
      <w:r>
        <w:rPr/>
        <w:t> </w:t>
      </w:r>
    </w:p>
    <w:tbl>
      <w:tblPr>
        <w:tblW w:w="4357" w:type="dxa"/>
        <w:jc w:val="left"/>
        <w:tblInd w:w="0" w:type="dxa"/>
        <w:tblCellMar>
          <w:top w:w="28" w:type="dxa"/>
          <w:left w:w="28" w:type="dxa"/>
          <w:bottom w:w="28" w:type="dxa"/>
          <w:right w:w="28" w:type="dxa"/>
        </w:tblCellMar>
      </w:tblPr>
      <w:tblGrid>
        <w:gridCol w:w="1741"/>
        <w:gridCol w:w="109"/>
        <w:gridCol w:w="406"/>
        <w:gridCol w:w="2101"/>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0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0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James Rallo</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James Rallo</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bl>
    <w:p>
      <w:pPr>
        <w:pStyle w:val="TextBody"/>
        <w:spacing w:before="24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ix?doc=/Archives/edgar/data/1657573/000095017023008494/xmtr-20221231.htm" TargetMode="External"/><Relationship Id="rId6" Type="http://schemas.openxmlformats.org/officeDocument/2006/relationships/hyperlink" Target="https://www.sec.gov/Archives/edgar/data/0001657573/000119312521207643/d184650dex31.htm" TargetMode="External"/><Relationship Id="rId7" Type="http://schemas.openxmlformats.org/officeDocument/2006/relationships/hyperlink" Target="https://www.sec.gov/Archives/edgar/data/0001657573/000119312521207643/d184650dex3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20822</Words>
  <CharactersWithSpaces>137113</CharactersWithSpaces>
  <Paragraphs>5420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