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mtr-20260331.htm"/>
        <w:bookmarkStart w:id="1" w:name="ksxmtr20260331"/>
        <w:bookmarkEnd w:id="0"/>
        <w:bookmarkEnd w:id="1"/>
        <w:r>
          <w:rPr>
            <w:rStyle w:val="InternetLink"/>
            <w:rFonts w:ascii="Times New Roman" w:hAnsi="Times New Roman"/>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 to 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001-40546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32-0415449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6116 Executive Blvd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18"/>
              </w:rPr>
              <w:t>Suite 800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8"/>
              </w:rPr>
              <w:t>North Bethesda, MD</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(240) 335-7914</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XMTR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April 27, 2026, the registrant had 51,123,487</w:t>
      </w:r>
      <w:r>
        <w:rPr>
          <w:rFonts w:ascii="Times New Roman" w:hAnsi="Times New Roman"/>
          <w:color w:val="000000"/>
          <w:sz w:val="20"/>
        </w:rPr>
        <w:t xml:space="preserve"> </w:t>
      </w:r>
      <w:r>
        <w:rPr>
          <w:rFonts w:ascii="Times New Roman" w:hAnsi="Times New Roman"/>
          <w:color w:val="000000"/>
          <w:sz w:val="18"/>
        </w:rPr>
        <w:t>shares of Class A common stock, $0.000001 par value per share, and 1,475,311</w:t>
      </w:r>
      <w:r>
        <w:rPr>
          <w:rFonts w:ascii="Times New Roman" w:hAnsi="Times New Roman"/>
          <w:color w:val="000000"/>
          <w:sz w:val="20"/>
        </w:rPr>
        <w:t xml:space="preserve"> </w:t>
      </w:r>
      <w:r>
        <w:rPr>
          <w:rFonts w:ascii="Times New Roman" w:hAnsi="Times New Roman"/>
          <w:color w:val="000000"/>
          <w:sz w:val="18"/>
        </w:rPr>
        <w:t>shares of Class B common stock, $0.000001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center"/>
        <w:rPr/>
      </w:pPr>
      <w:r>
        <w:rPr/>
        <w:t>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f_ope">
              <w:r>
                <w:rPr>
                  <w:rStyle w:val="InternetLink"/>
                  <w:rFonts w:ascii="Times New Roman" w:hAnsi="Times New Roman"/>
                  <w:color w:val="0000FF"/>
                  <w:sz w:val="20"/>
                  <w:u w:val="single"/>
                </w:rPr>
                <w:t>Condensed Consolidated Statements of Operations and Comprehensive Loss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equity_statement_new">
              <w:r>
                <w:rPr>
                  <w:rStyle w:val="InternetLink"/>
                  <w:rFonts w:ascii="Times New Roman" w:hAnsi="Times New Roman"/>
                  <w:color w:val="0000FF"/>
                  <w:sz w:val="20"/>
                  <w:u w:val="single"/>
                </w:rPr>
                <w:t>Condensed Consolidated Statements of Changes in Stockholders’ Equity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r>
              <w:rPr>
                <w:rFonts w:ascii="Times New Roman" w:hAnsi="Times New Roman"/>
                <w:color w:val="000000"/>
                <w:sz w:val="20"/>
              </w:rPr>
              <w:t xml:space="preserve"> </w:t>
            </w:r>
            <w:r>
              <w:rPr>
                <w:rFonts w:ascii="Times New Roman" w:hAnsi="Times New Roman"/>
                <w:color w:val="0000FF"/>
                <w:sz w:val="20"/>
                <w:u w:val="single"/>
              </w:rPr>
              <w:t>(Unaudited)</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anticipated growth of our business, including our ability to effectively manage or sustain our growth and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inflation, interest rates, recessionary factors, foreign exchange rate volatility, tariffs and other trade barriers, domestic and global geopolitical uncertainties, public health crises, supply-chain disruptions or other macroeconomic factors, which may lead to periods of global economic uncertainty;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new buyers and suppliers and successfully engage new and existing buyers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success of our sales and marketing efforts, and our ability to promote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maintain, protect and enforce our intellectual property or other proprietary rights and any costs associated therewith;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effectively manage our costs and expenses, which may be impacted by changes in tariff policies and inflationary pressures;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rates of the markets in which we compete.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5" w:name="condensed_consolidated_balance_sheets"/>
      <w:bookmarkEnd w:id="5"/>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05"/>
        <w:gridCol w:w="146"/>
        <w:gridCol w:w="196"/>
        <w:gridCol w:w="751"/>
        <w:gridCol w:w="166"/>
        <w:gridCol w:w="146"/>
        <w:gridCol w:w="223"/>
        <w:gridCol w:w="859"/>
        <w:gridCol w:w="213"/>
      </w:tblGrid>
      <w:tr>
        <w:trPr/>
        <w:tc>
          <w:tcPr>
            <w:tcW w:w="7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Accounts receivable, less allowance for credit losses of $7.1</w:t>
            </w:r>
            <w:r>
              <w:rPr>
                <w:rFonts w:ascii="Times New Roman" w:hAnsi="Times New Roman"/>
                <w:color w:val="000000"/>
                <w:sz w:val="20"/>
              </w:rPr>
              <w:t> </w:t>
            </w:r>
            <w:r>
              <w:rPr>
                <w:rFonts w:ascii="Times New Roman" w:hAnsi="Times New Roman"/>
                <w:color w:val="000000"/>
                <w:sz w:val="16"/>
              </w:rPr>
              <w:t>million and $8.0</w:t>
            </w:r>
            <w:r>
              <w:rPr>
                <w:rFonts w:ascii="Times New Roman" w:hAnsi="Times New Roman"/>
                <w:color w:val="000000"/>
                <w:sz w:val="20"/>
              </w:rPr>
              <w:t> </w:t>
            </w:r>
            <w:r>
              <w:rPr>
                <w:rFonts w:ascii="Times New Roman" w:hAnsi="Times New Roman"/>
                <w:color w:val="000000"/>
                <w:sz w:val="16"/>
              </w:rPr>
              <w:t>million as of March 31, 2026</w:t>
              <w:br/>
              <w:t>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97,370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Software development and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60,631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Investment in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263,801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703,720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payable and accrued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Convertible notes,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88,936</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Convertible notes,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426,983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Commitments and contingencies</w:t>
            </w:r>
            <w:r>
              <w:rPr>
                <w:rFonts w:ascii="Times New Roman" w:hAnsi="Times New Roman"/>
                <w:color w:val="000000"/>
                <w:sz w:val="20"/>
              </w:rPr>
              <w:t> </w:t>
            </w:r>
            <w:r>
              <w:rPr>
                <w:rFonts w:ascii="Times New Roman" w:hAnsi="Times New Roman"/>
                <w:b/>
                <w:color w:val="000000"/>
                <w:sz w:val="16"/>
              </w:rPr>
              <w:t>(Note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Preferred stock, $0.000001</w:t>
            </w:r>
            <w:r>
              <w:rPr>
                <w:rFonts w:ascii="Times New Roman" w:hAnsi="Times New Roman"/>
                <w:color w:val="000000"/>
                <w:sz w:val="20"/>
              </w:rPr>
              <w:t> </w:t>
            </w:r>
            <w:r>
              <w:rPr>
                <w:rFonts w:ascii="Times New Roman" w:hAnsi="Times New Roman"/>
                <w:color w:val="000000"/>
                <w:sz w:val="16"/>
              </w:rPr>
              <w:t>par value. Authorized; 50,000,000</w:t>
            </w:r>
            <w:r>
              <w:rPr>
                <w:rFonts w:ascii="Times New Roman" w:hAnsi="Times New Roman"/>
                <w:color w:val="000000"/>
                <w:sz w:val="20"/>
              </w:rPr>
              <w:t> </w:t>
            </w:r>
            <w:r>
              <w:rPr>
                <w:rFonts w:ascii="Times New Roman" w:hAnsi="Times New Roman"/>
                <w:color w:val="000000"/>
                <w:sz w:val="16"/>
              </w:rPr>
              <w:t>shares; zero</w:t>
            </w:r>
            <w:r>
              <w:rPr>
                <w:rFonts w:ascii="Times New Roman" w:hAnsi="Times New Roman"/>
                <w:color w:val="000000"/>
                <w:sz w:val="20"/>
              </w:rPr>
              <w:t> </w:t>
            </w:r>
            <w:r>
              <w:rPr>
                <w:rFonts w:ascii="Times New Roman" w:hAnsi="Times New Roman"/>
                <w:color w:val="000000"/>
                <w:sz w:val="16"/>
              </w:rPr>
              <w:t xml:space="preserve">shares issued and outstanding as of </w:t>
              <w:br/>
              <w: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Class A Common stock, $0.000001</w:t>
            </w:r>
            <w:r>
              <w:rPr>
                <w:rFonts w:ascii="Times New Roman" w:hAnsi="Times New Roman"/>
                <w:color w:val="000000"/>
                <w:sz w:val="20"/>
              </w:rPr>
              <w:t> </w:t>
            </w:r>
            <w:r>
              <w:rPr>
                <w:rFonts w:ascii="Times New Roman" w:hAnsi="Times New Roman"/>
                <w:color w:val="000000"/>
                <w:sz w:val="16"/>
              </w:rPr>
              <w:t>par value. Authorized; 750,000,000</w:t>
            </w:r>
            <w:r>
              <w:rPr>
                <w:rFonts w:ascii="Times New Roman" w:hAnsi="Times New Roman"/>
                <w:color w:val="000000"/>
                <w:sz w:val="20"/>
              </w:rPr>
              <w:t> </w:t>
            </w:r>
            <w:r>
              <w:rPr>
                <w:rFonts w:ascii="Times New Roman" w:hAnsi="Times New Roman"/>
                <w:color w:val="000000"/>
                <w:sz w:val="16"/>
              </w:rPr>
              <w:t>shares; 50,765,219</w:t>
            </w:r>
            <w:r>
              <w:rPr>
                <w:rFonts w:ascii="Times New Roman" w:hAnsi="Times New Roman"/>
                <w:color w:val="000000"/>
                <w:sz w:val="20"/>
              </w:rPr>
              <w:t> </w:t>
            </w:r>
            <w:r>
              <w:rPr>
                <w:rFonts w:ascii="Times New Roman" w:hAnsi="Times New Roman"/>
                <w:color w:val="000000"/>
                <w:sz w:val="16"/>
              </w:rPr>
              <w:t xml:space="preserve">shares and </w:t>
              <w:br/>
              <w:t>   49,842,220</w:t>
            </w:r>
            <w:r>
              <w:rPr>
                <w:rFonts w:ascii="Times New Roman" w:hAnsi="Times New Roman"/>
                <w:color w:val="000000"/>
                <w:sz w:val="20"/>
              </w:rPr>
              <w:t> </w:t>
            </w:r>
            <w:r>
              <w:rPr>
                <w:rFonts w:ascii="Times New Roman" w:hAnsi="Times New Roman"/>
                <w:color w:val="000000"/>
                <w:sz w:val="16"/>
              </w:rPr>
              <w:t>shares issued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Class B Common stock, $0.000001</w:t>
            </w:r>
            <w:r>
              <w:rPr>
                <w:rFonts w:ascii="Times New Roman" w:hAnsi="Times New Roman"/>
                <w:color w:val="000000"/>
                <w:sz w:val="20"/>
              </w:rPr>
              <w:t> </w:t>
            </w:r>
            <w:r>
              <w:rPr>
                <w:rFonts w:ascii="Times New Roman" w:hAnsi="Times New Roman"/>
                <w:color w:val="000000"/>
                <w:sz w:val="16"/>
              </w:rPr>
              <w:t>par value. Authorized; 5,000,000</w:t>
            </w:r>
            <w:r>
              <w:rPr>
                <w:rFonts w:ascii="Times New Roman" w:hAnsi="Times New Roman"/>
                <w:color w:val="000000"/>
                <w:sz w:val="20"/>
              </w:rPr>
              <w:t> </w:t>
            </w:r>
            <w:r>
              <w:rPr>
                <w:rFonts w:ascii="Times New Roman" w:hAnsi="Times New Roman"/>
                <w:color w:val="000000"/>
                <w:sz w:val="16"/>
              </w:rPr>
              <w:t>shares; 1,475,311</w:t>
            </w:r>
            <w:r>
              <w:rPr>
                <w:rFonts w:ascii="Times New Roman" w:hAnsi="Times New Roman"/>
                <w:color w:val="000000"/>
                <w:sz w:val="20"/>
              </w:rPr>
              <w:t> </w:t>
            </w:r>
            <w:r>
              <w:rPr>
                <w:rFonts w:ascii="Times New Roman" w:hAnsi="Times New Roman"/>
                <w:color w:val="000000"/>
                <w:sz w:val="16"/>
              </w:rPr>
              <w:t xml:space="preserve">shares issued and </w:t>
              <w:br/>
              <w:t>   outstanding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Treasury stock, at cost, 220,994</w:t>
            </w:r>
            <w:r>
              <w:rPr>
                <w:rFonts w:ascii="Times New Roman" w:hAnsi="Times New Roman"/>
                <w:color w:val="000000"/>
                <w:sz w:val="20"/>
              </w:rPr>
              <w:t> </w:t>
            </w:r>
            <w:r>
              <w:rPr>
                <w:rFonts w:ascii="Times New Roman" w:hAnsi="Times New Roman"/>
                <w:color w:val="000000"/>
                <w:sz w:val="16"/>
              </w:rPr>
              <w:t>shares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276,737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703,720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6" w:name="condensed_consolidated_statements_of_ope"/>
      <w:bookmarkEnd w:id="6"/>
      <w:r>
        <w:rPr>
          <w:rFonts w:ascii="Times New Roman" w:hAnsi="Times New Roman"/>
          <w:color w:val="000000"/>
          <w:sz w:val="20"/>
        </w:rPr>
        <w:t xml:space="preserve">Condensed Consolidated Statements of Operations and Comprehensive Loss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7312"/>
        <w:gridCol w:w="146"/>
        <w:gridCol w:w="196"/>
        <w:gridCol w:w="916"/>
        <w:gridCol w:w="166"/>
        <w:gridCol w:w="146"/>
        <w:gridCol w:w="196"/>
        <w:gridCol w:w="916"/>
        <w:gridCol w:w="211"/>
      </w:tblGrid>
      <w:tr>
        <w:trPr/>
        <w:tc>
          <w:tcPr>
            <w:tcW w:w="7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71,722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outstanding used to compute net loss per share,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51,912,516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50,335,053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0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bookmarkStart w:id="7" w:name="equity_statement_new"/>
      <w:bookmarkEnd w:id="7"/>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Three months ended March 31, 2026 and 2025</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14416" w:type="dxa"/>
        <w:jc w:val="left"/>
        <w:tblInd w:w="0" w:type="dxa"/>
        <w:tblLayout w:type="fixed"/>
        <w:tblCellMar>
          <w:top w:w="28" w:type="dxa"/>
          <w:left w:w="28" w:type="dxa"/>
          <w:bottom w:w="28" w:type="dxa"/>
          <w:right w:w="28" w:type="dxa"/>
        </w:tblCellMar>
      </w:tblPr>
      <w:tblGrid>
        <w:gridCol w:w="1201"/>
        <w:gridCol w:w="146"/>
        <w:gridCol w:w="916"/>
        <w:gridCol w:w="146"/>
        <w:gridCol w:w="249"/>
        <w:gridCol w:w="442"/>
        <w:gridCol w:w="146"/>
        <w:gridCol w:w="146"/>
        <w:gridCol w:w="826"/>
        <w:gridCol w:w="146"/>
        <w:gridCol w:w="249"/>
        <w:gridCol w:w="442"/>
        <w:gridCol w:w="146"/>
        <w:gridCol w:w="196"/>
        <w:gridCol w:w="691"/>
        <w:gridCol w:w="146"/>
        <w:gridCol w:w="146"/>
        <w:gridCol w:w="691"/>
        <w:gridCol w:w="146"/>
        <w:gridCol w:w="196"/>
        <w:gridCol w:w="571"/>
        <w:gridCol w:w="166"/>
        <w:gridCol w:w="337"/>
        <w:gridCol w:w="879"/>
        <w:gridCol w:w="166"/>
        <w:gridCol w:w="217"/>
        <w:gridCol w:w="834"/>
        <w:gridCol w:w="166"/>
        <w:gridCol w:w="228"/>
        <w:gridCol w:w="808"/>
        <w:gridCol w:w="166"/>
        <w:gridCol w:w="332"/>
        <w:gridCol w:w="869"/>
        <w:gridCol w:w="166"/>
        <w:gridCol w:w="196"/>
        <w:gridCol w:w="691"/>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49,842,220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50,765,219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283,169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48,289,274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48,992,113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8" w:name="fin120843_4"/>
      <w:bookmarkEnd w:id="8"/>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fin120843_5"/>
      <w:bookmarkEnd w:id="9"/>
      <w:r>
        <w:rPr>
          <w:rFonts w:ascii="Times New Roman" w:hAnsi="Times New Roman"/>
          <w:color w:val="000000"/>
          <w:sz w:val="20"/>
        </w:rPr>
        <w:t xml:space="preserve">Condensed Consolidated Statements of </w:t>
      </w:r>
      <w:bookmarkStart w:id="10" w:name="cash_flows"/>
      <w:bookmarkEnd w:id="10"/>
      <w:r>
        <w:rPr>
          <w:rFonts w:ascii="Times New Roman" w:hAnsi="Times New Roman"/>
          <w:color w:val="000000"/>
          <w:sz w:val="20"/>
        </w:rPr>
        <w:t xml:space="preserve">Cash Flows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8712" w:type="dxa"/>
        <w:jc w:val="left"/>
        <w:tblInd w:w="0" w:type="dxa"/>
        <w:tblLayout w:type="fixed"/>
        <w:tblCellMar>
          <w:top w:w="28" w:type="dxa"/>
          <w:left w:w="28" w:type="dxa"/>
          <w:bottom w:w="28" w:type="dxa"/>
          <w:right w:w="28" w:type="dxa"/>
        </w:tblCellMar>
      </w:tblPr>
      <w:tblGrid>
        <w:gridCol w:w="5956"/>
        <w:gridCol w:w="146"/>
        <w:gridCol w:w="232"/>
        <w:gridCol w:w="783"/>
        <w:gridCol w:w="196"/>
        <w:gridCol w:w="173"/>
        <w:gridCol w:w="232"/>
        <w:gridCol w:w="783"/>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Reduction in carrying amount of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Donation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deferred costs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payable and accrued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Capitalization of software development and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Distributions in excess of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(9,321</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foreign currency translation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included in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consideration in connection with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1" w:name="notes_to_financial_statements"/>
      <w:bookmarkEnd w:id="11"/>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12" w:name="consolidated_financial_statements_unaudi"/>
      <w:bookmarkEnd w:id="12"/>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Organization and Description of Business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Xometry, Inc. (“Xometry”, the “Company”, “we”, or “our”) was incorporated in the State of Delaware in May 2013 and our corporate headquarters is located in North Bethesda, Maryland. Xometry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pStyle w:val="TextBody"/>
        <w:bidi w:val="0"/>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24,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Condensed Consolidated Balance Sheet as of December 31, 2025,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2026 or any future period. The Company has two reportable segments which are referred to as: (1) the United States (“U.S.”) and (2) International.</w:t>
      </w:r>
    </w:p>
    <w:p>
      <w:pPr>
        <w:pStyle w:val="TextBody"/>
        <w:bidi w:val="0"/>
        <w:spacing w:before="0" w:after="200"/>
        <w:jc w:val="both"/>
        <w:rPr>
          <w:rFonts w:ascii="Times New Roman" w:hAnsi="Times New Roman"/>
          <w:sz w:val="20"/>
        </w:rPr>
      </w:pPr>
      <w:r>
        <w:rPr>
          <w:rFonts w:ascii="Times New Roman" w:hAnsi="Times New Roman"/>
          <w:i/>
          <w:color w:val="000000"/>
          <w:sz w:val="20"/>
        </w:rPr>
        <w:t>Foreign Operations and Comprehensive Loss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U.S. dollar (“USD”) is the functional currency for Xometry’s consolidated subsidiary operating in the U.S. The primary functional currency for the Company’s consolidated subsidiaries operating in Germany, United Kingdom, Turkey, China, Japan and India is the Euro, British Pound Sterling, Turkish Lira, Yuan, Yen and Indian Rupee,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Foreign currency remeasurement and transaction gains and losses are recorded in other expenses, in the Condensed Consolidated Statements of Operations and Comprehensive Loss. Gains and losses resulting from translation are included in accumulated other comprehensive income (loss), as a separate component of equity. </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Noncontrolling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income attributable to the noncontrolling interest in Net loss in our Condensed Consolidated Statements of Operations and Comprehensive Loss.</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(b)</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Use of Estimates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 and Financial Instruments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1 - Observable inputs that reflect quoted prices (unadjusted) for identical assets or liabilities in active markets.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3 - Unobservable inputs reflecting the Company’s own assumptions incorporated in valuation techniques used to determine fair value. These assumptions are required to be consistent with market participant assumptions that are reasonably available.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 As of December 31, 2025 and March 31, 2026, we have no assets or liabilities that we measure on a recurring basis using Level 2 or Level 3 inputs.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Cash and cash equivalents consist of cash held in checking accounts. These investments are stated at cost, which approximates fair value.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(e)</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Marketable Securities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measures its marketable securities at fair value. The Company’s marketable securities represent our investments in a short-term money market fund. These marketable securities have maturities of three months or less. As of March 31, 2026 and December 31, 2025, the Company’s marketable securities of $202.9 million and $204.1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w:t>
      </w:r>
    </w:p>
    <w:p>
      <w:pPr>
        <w:pStyle w:val="TextBody"/>
        <w:bidi w:val="0"/>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and current market conditions.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 </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credit losses related to accounts receivable and changes were as follows (in thousands):</w:t>
      </w:r>
    </w:p>
    <w:tbl>
      <w:tblPr>
        <w:tblW w:w="7649" w:type="dxa"/>
        <w:jc w:val="left"/>
        <w:tblInd w:w="0" w:type="dxa"/>
        <w:tblLayout w:type="fixed"/>
        <w:tblCellMar>
          <w:top w:w="28" w:type="dxa"/>
          <w:left w:w="28" w:type="dxa"/>
          <w:bottom w:w="28" w:type="dxa"/>
          <w:right w:w="28" w:type="dxa"/>
        </w:tblCellMar>
      </w:tblPr>
      <w:tblGrid>
        <w:gridCol w:w="5296"/>
        <w:gridCol w:w="146"/>
        <w:gridCol w:w="211"/>
        <w:gridCol w:w="631"/>
        <w:gridCol w:w="166"/>
        <w:gridCol w:w="146"/>
        <w:gridCol w:w="211"/>
        <w:gridCol w:w="631"/>
        <w:gridCol w:w="2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to provision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or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period end, March 31 and December 31,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0" w:after="200"/>
        <w:jc w:val="left"/>
        <w:rPr>
          <w:rFonts w:ascii="Times New Roman" w:hAnsi="Times New Roman"/>
          <w:sz w:val="20"/>
        </w:rPr>
      </w:pPr>
      <w:r>
        <w:rPr>
          <w:rFonts w:ascii="Times New Roman" w:hAnsi="Times New Roman"/>
          <w:b/>
          <w:i/>
          <w:color w:val="000000"/>
          <w:sz w:val="20"/>
        </w:rPr>
        <w:t>Software Development, Property and Equipment and Long-Lived Assets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Software development and 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Software development, 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Eligible internal-use software development costs are capitalized subsequent to the completion of the preliminary project stage. Such costs include internal and external direct development costs totaling $12.6 million for the three months ended March 31, 2026 and $28.5 million for the year ended December 31, 2025.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(h)</w:t>
      </w:r>
    </w:p>
    <w:p>
      <w:pPr>
        <w:pStyle w:val="TextBody"/>
        <w:bidi w:val="0"/>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200" w:after="200"/>
        <w:jc w:val="both"/>
        <w:rPr>
          <w:rFonts w:ascii="Times New Roman" w:hAnsi="Times New Roman"/>
          <w:sz w:val="20"/>
        </w:rPr>
      </w:pPr>
      <w:r>
        <w:rPr>
          <w:rFonts w:ascii="Times New Roman" w:hAnsi="Times New Roman"/>
          <w:color w:val="000000"/>
          <w:sz w:val="20"/>
        </w:rPr>
        <w:t>Goodwill represents the excess purchase price over the estimated fair value of net assets acquired in a business combination. As of March 31, 2026 and December 31, 2025,</w:t>
      </w:r>
      <w:r>
        <w:rPr>
          <w:rFonts w:ascii="Times New Roman" w:hAnsi="Times New Roman"/>
          <w:color w:val="CC0000"/>
          <w:sz w:val="20"/>
        </w:rPr>
        <w:t xml:space="preserve"> </w:t>
      </w:r>
      <w:r>
        <w:rPr>
          <w:rFonts w:ascii="Times New Roman" w:hAnsi="Times New Roman"/>
          <w:color w:val="000000"/>
          <w:sz w:val="20"/>
        </w:rPr>
        <w:t xml:space="preserve">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Revenue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The Company derives the majority of its U.S. and International marketplace revenue from the sale of parts and assemblies fulfilled using a vast network of suppliers. The Company recognizes revenue from the sales to our customers pursuant to the Financial Accounting Standard Board’s (“FASB”) Accounting Standards Codification (“ASC”) </w:t>
      </w:r>
      <w:r>
        <w:rPr>
          <w:rFonts w:ascii="Times New Roman" w:hAnsi="Times New Roman"/>
          <w:i/>
          <w:color w:val="000000"/>
          <w:sz w:val="20"/>
        </w:rPr>
        <w:t>Topic 606, Revenue from Contracts with Customers</w:t>
      </w:r>
      <w:r>
        <w:rPr>
          <w:rFonts w:ascii="Times New Roman" w:hAnsi="Times New Roman"/>
          <w:color w:val="000000"/>
          <w:sz w:val="20"/>
        </w:rPr>
        <w:t xml:space="preserve"> (“ASC 606”).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determines that a contract exists between the Company and the customer when the customer accepts a quote and places an order. The process is governed by the Company’s standard terms and conditions or other agreed upon terms with Xometry’s buyers. Upon receiving an order through Xometry’s platform, the Company identifies the underlying performance obligation(s) necessary for revenue recognition. Using Xometry’s in-house technology, the Company determines the transaction price for the manufactured part(s) or assembly on a stand-alone basis at order initiation. The Company recognizes revenue as control is transferred to the customer, either at a point in time or over time.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Marketplace revenue is primarily recognized from sales to Xometry’s customers upon shipment, at which point control over the part(s) or assembly has transferred. The Company has elected to treat shipping and handling as a fulfillment activity and not as a separate performance obligation.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certain contracts, when we create or enhance an asset that the customer controls, marketplace revenue is recognized over time. Marketplace revenue is recognized over time using the cost-to-cost input method as this measure most accurately depicts the progress of our work and transfer of control to our customers. Changes in estimates affecting sales, costs and profits are recognized in the period in which the change becomes known using the cumulative catch-up method of accounting, resulting in the cumulative effect of changes reflected in the current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has concluded that it is the principal in the sale of part(s) and assemblies that use the Xometry marketplace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margin risk from the price the Company pays the suppliers, (iii) the Company has discretion in determining how to fulfill each order, including selecting the supplier and (iv) Xometry bears certain risk for product quality to the extent the customer is not satisfied with the final product.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also derives revenue from its services (previously referred to as “supplier services”) which includes the sale of marketing and advertising services and financial service products.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as applicable. Consideration is typically determined based on a fixed unit price for the service or product provided. For purchase orders involving multiple performance obligations, the transaction price is allocated to each performance obligation based on the relative standalone selling price, and recognized as revenue when each individual product or service is transferred to the customer.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has certain contracts with variable consideration in form of returns, refunds and allowances, which may affect the transaction price used as the basis for revenue recognition. At March 31, 2026 and December 31, 2025, the Company has a provision for estimated returns, refunds or allowances of approximately $0.4 million and $0.2 million, respectively.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Sales tax collected from customers and remitted to governmental authorities is excluded from revenue. </w:t>
      </w:r>
    </w:p>
    <w:p>
      <w:pPr>
        <w:pStyle w:val="TextBody"/>
        <w:bidi w:val="0"/>
        <w:spacing w:before="0" w:after="200"/>
        <w:jc w:val="both"/>
        <w:rPr>
          <w:rFonts w:ascii="Times New Roman" w:hAnsi="Times New Roman"/>
          <w:sz w:val="20"/>
        </w:rPr>
      </w:pPr>
      <w:r>
        <w:rPr>
          <w:rFonts w:ascii="Times New Roman" w:hAnsi="Times New Roman"/>
          <w:i/>
          <w:color w:val="000000"/>
          <w:sz w:val="20"/>
        </w:rPr>
        <w:t>Contract Liabilities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presents contract liabilities as of December 31, 2025 and March 31, 2026 (in thousands): </w:t>
      </w:r>
    </w:p>
    <w:tbl>
      <w:tblPr>
        <w:tblW w:w="4770" w:type="dxa"/>
        <w:jc w:val="left"/>
        <w:tblInd w:w="0" w:type="dxa"/>
        <w:tblLayout w:type="fixed"/>
        <w:tblCellMar>
          <w:top w:w="28" w:type="dxa"/>
          <w:left w:w="28" w:type="dxa"/>
          <w:bottom w:w="28" w:type="dxa"/>
          <w:right w:w="28" w:type="dxa"/>
        </w:tblCellMar>
      </w:tblPr>
      <w:tblGrid>
        <w:gridCol w:w="34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Rollforward of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 in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the three months ended March 31, 2026, the Company recognized approximately $9.2 million of revenue related to its contract liabilities as of December 31, 2025.</w:t>
      </w:r>
    </w:p>
    <w:p>
      <w:pPr>
        <w:pStyle w:val="TextBody"/>
        <w:bidi w:val="0"/>
        <w:spacing w:before="0" w:after="200"/>
        <w:jc w:val="both"/>
        <w:rPr>
          <w:rFonts w:ascii="Times New Roman" w:hAnsi="Times New Roman"/>
          <w:sz w:val="20"/>
        </w:rPr>
      </w:pPr>
      <w:r>
        <w:rPr>
          <w:rFonts w:ascii="Times New Roman" w:hAnsi="Times New Roman"/>
          <w:i/>
          <w:color w:val="000000"/>
          <w:sz w:val="20"/>
        </w:rPr>
        <w:t>Sales Contract Acquisition Costs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incremental costs to obtain a contract may include a sales commission which is generally determined on a per-order basis. For marketplace contracts, sales commissions are generally expensed as incurred. When applicable,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months ended March 31, 2026, the Company recognized approximately $0.7 million of amortization related to deferred sales commissions. For the three months ended March 31, 2025, the Company recognized approximately $0.7 million of amortization related to deferred sales commissions. As of March 31, 2026 and December 31, 2025, the Company had deferred sales contract acquisition costs of $0.4 million and $0.4 million, respectively. Deferred sales contract acquisition costs are classified in Other current assets on the Condensed 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revenue for supplier services primarily consists of internal and external production costs and website hosting.</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(k)</w:t>
      </w:r>
    </w:p>
    <w:p>
      <w:pPr>
        <w:pStyle w:val="TextBody"/>
        <w:bidi w:val="0"/>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Lease expense is recognized on a straight-line basis over the term of the lease.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Sales and Marketing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months ended March 31, 2026 and 2025, the Company’s advertising costs were $8.8 million and $6.8 million, respectively.</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(m)</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Operations and Support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services.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w:t>
      </w:r>
    </w:p>
    <w:p>
      <w:pPr>
        <w:pStyle w:val="TextBody"/>
        <w:bidi w:val="0"/>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Product development costs which are not eligible for capitalization are expensed as incurred. These costs primarily consist of compensation expenses, including stock-based compensation to the Company’s employees performing routine improvements and maintenance on our platforms not related to a specific capitalizable project, software costs and certain depreciation and amortization expense.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w:t>
      </w:r>
    </w:p>
    <w:p>
      <w:pPr>
        <w:pStyle w:val="TextBody"/>
        <w:bidi w:val="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w:t>
      </w:r>
    </w:p>
    <w:p>
      <w:pPr>
        <w:pStyle w:val="TextBody"/>
        <w:bidi w:val="0"/>
        <w:jc w:val="left"/>
        <w:rPr/>
      </w:pPr>
      <w:r>
        <w:rPr>
          <w:rFonts w:ascii="Times New Roman" w:hAnsi="Times New Roman"/>
          <w:b/>
          <w:i/>
          <w:color w:val="000000"/>
          <w:sz w:val="20"/>
        </w:rPr>
        <w:t>Stock-Based Compensation</w:t>
      </w:r>
      <w:r>
        <w:rPr>
          <w:color w:val="00000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All stock-based compensation, including stock options, restricted stock units ("RSUs")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RSUs and PRSUs are recognized as compensation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expense on a straight-line basis over the requisite service period, which is typically three to four years. Forfeitures are recorded in the period in which they occur.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Black-Scholes model considers several variables and assumptions in estimating the fair value of stock-based awards.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These variables include: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expected annual dividend yield;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expected volatility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free interest rate;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 share value of the underlying common stock;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exercise price.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(q)</w:t>
      </w:r>
    </w:p>
    <w:p>
      <w:pPr>
        <w:pStyle w:val="TextBody"/>
        <w:bidi w:val="0"/>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Recently Adopted Accounting Standards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November 2024, the FASB issued ASU No. 2024-04, Debt with Conversion and Other Options (Subtopic 470-20): Induced Conversions of Convertible Debt Instruments (“ASU 2024-04”), which clarifies the assessment of whether certain settlements of convertible debt instruments should be accounted for as an inducement conversion or extinguishment of convertible debt. The Company adopted this new standard in January 2026. The adoption of this new standard did not impact our results of operations, cash flows, and financial condition.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July 2025, the FASB issued ASU No. 2025-05, Financial Instruments—Credit Losses (Topic 326): Measurement of Credit Losses for Accounts Receivable and Contract Assets, which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Company adopted this new standard in January 2026. The adoption of this new standard did not impact our results of operations, cash flows,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Recently Issued Accounting Standards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 adoption to any or all prior periods presented in the financial statements. The Company is currently assessing the impact of ASU 2024-03 on our consolidated financial statements and related disclosures.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2025, the FASB issued ASU No. 2025-03, Business Combinations (Topic 805) and Consolidation (Topic 810): Determining the Accounting Acquirer in the Acquisition of a Variable Interest Entity (“ASU 2025-03”), which requires that in a business combination involving a variable interest entity (“VIE”) where equity interests are issued as consideration, the determination of the accounting acquirer should follow the general guidance under ASC 805-10-25 rather than default to the conclusion that the acquirer is primary beneficiary of the VIE. The amendments are intended to improve consistency in applying the acquisition method to business combinations. The new guidance is effective for annual reporting periods beginning after December 15, 2026, and interim periods within those annual periods. The Company is currently assessing the impact of ASU 2025-03 on our consolidated financial statements and related disclosures, including the potential impact on the accounting for any future business combinations involving VIEs.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September 2025, the FASB issued ASU No. 2025-06, Intangibles—Goodwill and Other—Internal-Use Software (Subtopic 350-40): Targeted Improvements to the Accounting for Internal-Use Software, which improves the operability of the guidance by removing all references to software development project stages so that the guidance is neutral to different software development methods. The new guidance is effective for annual periods beginning after December 15, 2027, and interim periods within those annual periods. The Company is currently assessing the impact of ASU 2025-06 on our consolidated financial statements and related disclosures.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There are currently no other accounting standards that have been issued, but not yet adopted, that are expected to have a significant impact on the Company’s consolidated financial position, results of operations or statement of cash flows upon adoption. </w:t>
      </w:r>
    </w:p>
    <w:p>
      <w:pPr>
        <w:pStyle w:val="TextBody"/>
        <w:bidi w:val="0"/>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Software Development, Property and Equipment and Long-Lived Assets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Software development and property and equipment consist of the following as of March 31, 2026 and December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8"/>
        <w:gridCol w:w="146"/>
        <w:gridCol w:w="2767"/>
        <w:gridCol w:w="146"/>
        <w:gridCol w:w="211"/>
        <w:gridCol w:w="781"/>
        <w:gridCol w:w="166"/>
        <w:gridCol w:w="146"/>
        <w:gridCol w:w="232"/>
        <w:gridCol w:w="859"/>
        <w:gridCol w:w="213"/>
      </w:tblGrid>
      <w:tr>
        <w:trPr/>
        <w:tc>
          <w:tcPr>
            <w:tcW w:w="4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hardware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 life or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development and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Depreciation and amortization expense for the three months ended March 31, 2026 and 2025 was as follows (in thousands): </w:t>
      </w:r>
    </w:p>
    <w:p>
      <w:pPr>
        <w:pStyle w:val="TextBody"/>
        <w:bidi w:val="0"/>
        <w:jc w:val="left"/>
        <w:rPr/>
      </w:pPr>
      <w:r>
        <w:rPr/>
        <w:t> </w:t>
      </w:r>
    </w:p>
    <w:tbl>
      <w:tblPr>
        <w:tblW w:w="6338" w:type="dxa"/>
        <w:jc w:val="left"/>
        <w:tblInd w:w="0" w:type="dxa"/>
        <w:tblLayout w:type="fixed"/>
        <w:tblCellMar>
          <w:top w:w="28" w:type="dxa"/>
          <w:left w:w="28" w:type="dxa"/>
          <w:bottom w:w="28" w:type="dxa"/>
          <w:right w:w="28" w:type="dxa"/>
        </w:tblCellMar>
      </w:tblPr>
      <w:tblGrid>
        <w:gridCol w:w="3751"/>
        <w:gridCol w:w="272"/>
        <w:gridCol w:w="738"/>
        <w:gridCol w:w="188"/>
        <w:gridCol w:w="188"/>
        <w:gridCol w:w="272"/>
        <w:gridCol w:w="738"/>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and amortization expense</w:t>
            </w:r>
          </w:p>
        </w:tc>
        <w:tc>
          <w:tcPr>
            <w:tcW w:w="2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1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Disaggregated Revenue and Cost of Revenue Information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our revenues disaggregated by line of business. Revenue from our marketplace primarily reflects the sales of parts and assemblies on our platform. Revenue from services includes the sale of digital advertising and marketing services and financial service products.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and cost of revenue is presented in the following tables for the three months ended March 31, 2026 and 2025, respectively (in thousands):</w:t>
      </w:r>
    </w:p>
    <w:tbl>
      <w:tblPr>
        <w:tblW w:w="4131" w:type="dxa"/>
        <w:jc w:val="left"/>
        <w:tblInd w:w="0" w:type="dxa"/>
        <w:tblLayout w:type="fixed"/>
        <w:tblCellMar>
          <w:top w:w="28" w:type="dxa"/>
          <w:left w:w="28" w:type="dxa"/>
          <w:bottom w:w="28" w:type="dxa"/>
          <w:right w:w="28" w:type="dxa"/>
        </w:tblCellMar>
      </w:tblPr>
      <w:tblGrid>
        <w:gridCol w:w="1396"/>
        <w:gridCol w:w="146"/>
        <w:gridCol w:w="222"/>
        <w:gridCol w:w="823"/>
        <w:gridCol w:w="154"/>
        <w:gridCol w:w="154"/>
        <w:gridCol w:w="222"/>
        <w:gridCol w:w="823"/>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124,873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66,445</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Xometry is organized in two segments referred to as: (1) U.S. and (2) International. Xometry’s operating segments are also the Company’s reportable segments. Xometry’s reportable segments are managed separately based on geography. The Company’s U.S. revenues primarily result from the sale of parts and assemblies and the sale of advertising and marketing services. The Company’s International revenues primarily result from the sale of parts and assemblies. Xometry’s two segments are defined based on the reporting and review process used by the CODM, the Chief Executive Officer.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Segment Adjusted EBITDA excludes interest expense, interest and dividend income, other expenses,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charitable contributions of common stock, income from an unconsolidated joint venture, restructuring charges and acquisition and other adjustments not reflective of our ongoing business, such as adjustments related to purchase accounting, the revaluation of contingent consideration, transaction costs and executive severance.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CODM monitors assets of the consolidated Company, but does not use assets, by operating segment when assessing performance or making operating segment resource decisions.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reflect certain segment information for the three months ended March 31, 2026 and 2025 (in thousands): </w:t>
      </w:r>
    </w:p>
    <w:p>
      <w:pPr>
        <w:pStyle w:val="TextBody"/>
        <w:bidi w:val="0"/>
        <w:jc w:val="left"/>
        <w:rPr/>
      </w:pPr>
      <w:r>
        <w:rPr/>
        <w:t> </w:t>
      </w:r>
    </w:p>
    <w:tbl>
      <w:tblPr>
        <w:tblW w:w="8230" w:type="dxa"/>
        <w:jc w:val="left"/>
        <w:tblInd w:w="0" w:type="dxa"/>
        <w:tblLayout w:type="fixed"/>
        <w:tblCellMar>
          <w:top w:w="28" w:type="dxa"/>
          <w:left w:w="28" w:type="dxa"/>
          <w:bottom w:w="28" w:type="dxa"/>
          <w:right w:w="28" w:type="dxa"/>
        </w:tblCellMar>
      </w:tblPr>
      <w:tblGrid>
        <w:gridCol w:w="5476"/>
        <w:gridCol w:w="146"/>
        <w:gridCol w:w="220"/>
        <w:gridCol w:w="816"/>
        <w:gridCol w:w="173"/>
        <w:gridCol w:w="152"/>
        <w:gridCol w:w="220"/>
        <w:gridCol w:w="816"/>
        <w:gridCol w:w="21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205,138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106,062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Adjusted Operating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interest and dividend income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6"/>
        </w:rPr>
      </w:pPr>
      <w:r>
        <w:rPr>
          <w:rFonts w:ascii="Times New Roman" w:hAnsi="Times New Roman"/>
          <w:color w:val="000000"/>
          <w:sz w:val="16"/>
        </w:rPr>
        <w:t>(1) Amount excludes stock-based compensation and the related payroll taxes, depreciation and amortization, restructuring charges, acquisition and other costs, amortization of lease intangible, lease termination and charitable contributions of common stock.</w:t>
      </w:r>
    </w:p>
    <w:p>
      <w:pPr>
        <w:pStyle w:val="TextBody"/>
        <w:bidi w:val="0"/>
        <w:jc w:val="left"/>
        <w:rPr>
          <w:rFonts w:ascii="Times New Roman" w:hAnsi="Times New Roman"/>
          <w:color w:val="000000"/>
          <w:sz w:val="16"/>
        </w:rPr>
      </w:pPr>
      <w:r>
        <w:rPr>
          <w:rFonts w:ascii="Times New Roman" w:hAnsi="Times New Roman"/>
          <w:color w:val="000000"/>
          <w:sz w:val="16"/>
        </w:rPr>
        <w:t>(2) Addback to Segment Cost of Revenue to calculate Segment Adjusted EBITDA.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reflect long-lived asset information as of March 31, 2026 and December 31, 2025 (in thousands):</w:t>
      </w:r>
    </w:p>
    <w:tbl>
      <w:tblPr>
        <w:tblW w:w="7982" w:type="dxa"/>
        <w:jc w:val="left"/>
        <w:tblInd w:w="0" w:type="dxa"/>
        <w:tblLayout w:type="fixed"/>
        <w:tblCellMar>
          <w:top w:w="28" w:type="dxa"/>
          <w:left w:w="28" w:type="dxa"/>
          <w:bottom w:w="28" w:type="dxa"/>
          <w:right w:w="28" w:type="dxa"/>
        </w:tblCellMar>
      </w:tblPr>
      <w:tblGrid>
        <w:gridCol w:w="5371"/>
        <w:gridCol w:w="146"/>
        <w:gridCol w:w="211"/>
        <w:gridCol w:w="676"/>
        <w:gridCol w:w="146"/>
        <w:gridCol w:w="146"/>
        <w:gridCol w:w="260"/>
        <w:gridCol w:w="835"/>
        <w:gridCol w:w="1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Software development and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of March 31, 2026, there were 8,735,774 shares available for the Company to grant under the 2021 Equity Incentive Plan.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 summary of the status of the Company’s stock option activity and the changes during the three months ended March 31, 2026, are as follows (in millions, except share and per share amounts): </w:t>
      </w:r>
    </w:p>
    <w:tbl>
      <w:tblPr>
        <w:tblW w:w="8358" w:type="dxa"/>
        <w:jc w:val="left"/>
        <w:tblInd w:w="0" w:type="dxa"/>
        <w:tblLayout w:type="fixed"/>
        <w:tblCellMar>
          <w:top w:w="28" w:type="dxa"/>
          <w:left w:w="28" w:type="dxa"/>
          <w:bottom w:w="28" w:type="dxa"/>
          <w:right w:w="28" w:type="dxa"/>
        </w:tblCellMar>
      </w:tblPr>
      <w:tblGrid>
        <w:gridCol w:w="3061"/>
        <w:gridCol w:w="146"/>
        <w:gridCol w:w="146"/>
        <w:gridCol w:w="931"/>
        <w:gridCol w:w="166"/>
        <w:gridCol w:w="146"/>
        <w:gridCol w:w="302"/>
        <w:gridCol w:w="823"/>
        <w:gridCol w:w="146"/>
        <w:gridCol w:w="146"/>
        <w:gridCol w:w="285"/>
        <w:gridCol w:w="706"/>
        <w:gridCol w:w="146"/>
        <w:gridCol w:w="146"/>
        <w:gridCol w:w="271"/>
        <w:gridCol w:w="600"/>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No options were granted during the three months ended March 31,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At March 31, 2026, there was approximately $0.6 million of total unrecognized compensation cost related to unvested stock options. That cost is expected to be recognized over a weighted average period of approximately six months as of March 31, 2026.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currently uses authorized and unissued shares to satisfy share award exercises.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RSUs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 summary of the status of the Company’s RSU activity and the changes during the three months ended March 31, 2026 are as follows (in millions, except share and per share amounts): </w:t>
      </w:r>
    </w:p>
    <w:tbl>
      <w:tblPr>
        <w:tblW w:w="8845" w:type="dxa"/>
        <w:jc w:val="left"/>
        <w:tblInd w:w="0" w:type="dxa"/>
        <w:tblLayout w:type="fixed"/>
        <w:tblCellMar>
          <w:top w:w="28" w:type="dxa"/>
          <w:left w:w="28" w:type="dxa"/>
          <w:bottom w:w="28" w:type="dxa"/>
          <w:right w:w="28" w:type="dxa"/>
        </w:tblCellMar>
      </w:tblPr>
      <w:tblGrid>
        <w:gridCol w:w="3421"/>
        <w:gridCol w:w="146"/>
        <w:gridCol w:w="146"/>
        <w:gridCol w:w="931"/>
        <w:gridCol w:w="166"/>
        <w:gridCol w:w="146"/>
        <w:gridCol w:w="681"/>
        <w:gridCol w:w="1854"/>
        <w:gridCol w:w="146"/>
        <w:gridCol w:w="146"/>
        <w:gridCol w:w="235"/>
        <w:gridCol w:w="63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At March 31, 2026, there was approximately $92.0 million of total unrecognized compensation cost related to unvested restricted stock units granted under the 2021 Equity Incentive Plan. That cost is expected to be recognized over a weighted average period of approximately three years as of March 31, 2026.</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PRSUs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summary of the status of the Company’s PRSU activity and the changes during the three months ended March 31, 2026 are as follows (in millions, except share and per share amounts):</w:t>
      </w:r>
    </w:p>
    <w:tbl>
      <w:tblPr>
        <w:tblW w:w="8860" w:type="dxa"/>
        <w:jc w:val="left"/>
        <w:tblInd w:w="0" w:type="dxa"/>
        <w:tblLayout w:type="fixed"/>
        <w:tblCellMar>
          <w:top w:w="28" w:type="dxa"/>
          <w:left w:w="28" w:type="dxa"/>
          <w:bottom w:w="28" w:type="dxa"/>
          <w:right w:w="28" w:type="dxa"/>
        </w:tblCellMar>
      </w:tblPr>
      <w:tblGrid>
        <w:gridCol w:w="3526"/>
        <w:gridCol w:w="146"/>
        <w:gridCol w:w="146"/>
        <w:gridCol w:w="841"/>
        <w:gridCol w:w="166"/>
        <w:gridCol w:w="146"/>
        <w:gridCol w:w="681"/>
        <w:gridCol w:w="1854"/>
        <w:gridCol w:w="146"/>
        <w:gridCol w:w="146"/>
        <w:gridCol w:w="271"/>
        <w:gridCol w:w="600"/>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At March 31, 2026, there was approximately $19.4 million of total unrecognized compensation cost related to unvested performance restricted stock units granted under the 2021 Equity Incentive Plan. That cost is expected to be recognized over a weighted average period of approximately two years as of March 31, 2026.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Total stock-based compensation cost for the three months ended March 31, 2026 and 2025 were as follows (in thousands): </w:t>
      </w:r>
    </w:p>
    <w:tbl>
      <w:tblPr>
        <w:tblW w:w="5659" w:type="dxa"/>
        <w:jc w:val="left"/>
        <w:tblInd w:w="0" w:type="dxa"/>
        <w:tblLayout w:type="fixed"/>
        <w:tblCellMar>
          <w:top w:w="28" w:type="dxa"/>
          <w:left w:w="28" w:type="dxa"/>
          <w:bottom w:w="28" w:type="dxa"/>
          <w:right w:w="28" w:type="dxa"/>
        </w:tblCellMar>
      </w:tblPr>
      <w:tblGrid>
        <w:gridCol w:w="2926"/>
        <w:gridCol w:w="146"/>
        <w:gridCol w:w="272"/>
        <w:gridCol w:w="738"/>
        <w:gridCol w:w="188"/>
        <w:gridCol w:w="188"/>
        <w:gridCol w:w="272"/>
        <w:gridCol w:w="738"/>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full valuation allowance has been established against our net U.S. federal and state deferred tax assets and foreign deferred tax assets, including net operating loss carryforwards.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had $0.2 million of income tax provision for the three months ended March 31, 2026 as compared to less than $0.1 million of benefit for the same period in 2025. This estimated annual effective tax rate of less than (4.5)% differs from the U.S. federal statutory rate primarily due to the effects of certain permanent items, foreign tax rate differences, and increases in the valuation allowance against deferred tax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computes net loss per share of Class A common stock, Class B common stock and participating securities using the two-class method. Basic and diluted net loss per share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used to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51,912,516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50,335,053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tbl>
      <w:tblPr>
        <w:tblW w:w="6549" w:type="dxa"/>
        <w:jc w:val="left"/>
        <w:tblInd w:w="0" w:type="dxa"/>
        <w:tblLayout w:type="fixed"/>
        <w:tblCellMar>
          <w:top w:w="28" w:type="dxa"/>
          <w:left w:w="28" w:type="dxa"/>
          <w:bottom w:w="28" w:type="dxa"/>
          <w:right w:w="28" w:type="dxa"/>
        </w:tblCellMar>
      </w:tblPr>
      <w:tblGrid>
        <w:gridCol w:w="3556"/>
        <w:gridCol w:w="146"/>
        <w:gridCol w:w="146"/>
        <w:gridCol w:w="1036"/>
        <w:gridCol w:w="146"/>
        <w:gridCol w:w="146"/>
        <w:gridCol w:w="146"/>
        <w:gridCol w:w="1036"/>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3,095,922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charitable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10,669,646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2030 Convertible Notes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 June 2025, we issued $250.0 million aggregate principal amount of 0.75% convertible senior notes due in 2030 (the “2030 Notes”), including the exercise in full of the initial purchasers’ option to purchase up to an additional $25.0 million principal amount of the 2030 Notes, pursuant to an indenture dated June 12, 2025.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2030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embedded features require bifurcation and recognition as derivatives.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February 2022, we issued $287.5 million aggregate principal amount of 1.00% convertible senior notes due in 2027 (the “2027 Notes” and collectively with the 2030 Notes, the “Convertible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2027 Notes, at our option,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or after November 1, 2026, the 2027 Notes are convertible at any time until the close of business on the second scheduled trading day immediately preceding the maturity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embedded features require bifurcation and recognition as derivatives.</w:t>
      </w:r>
    </w:p>
    <w:p>
      <w:pPr>
        <w:pStyle w:val="TextBody"/>
        <w:bidi w:val="0"/>
        <w:jc w:val="left"/>
        <w:rPr>
          <w:rFonts w:ascii="Times New Roman" w:hAnsi="Times New Roman"/>
          <w:sz w:val="20"/>
        </w:rPr>
      </w:pPr>
      <w:r>
        <w:rPr>
          <w:rFonts w:ascii="Times New Roman" w:hAnsi="Times New Roman"/>
          <w:i/>
          <w:color w:val="000000"/>
          <w:sz w:val="20"/>
        </w:rPr>
        <w:t>Partial Repurchase of 2027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Condensed Consolidated Balance Sheet. The original terms and conditions continue to apply to the remaining 2027 Notes, and the unamortized debt discount and issuance costs related to these notes will continue to accrete to 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outstanding principal amount and carrying value of the Convertible Notes as of the dates indicated (in thousands):</w:t>
      </w:r>
    </w:p>
    <w:tbl>
      <w:tblPr>
        <w:tblW w:w="9176" w:type="dxa"/>
        <w:jc w:val="left"/>
        <w:tblInd w:w="0" w:type="dxa"/>
        <w:tblLayout w:type="fixed"/>
        <w:tblCellMar>
          <w:top w:w="28" w:type="dxa"/>
          <w:left w:w="28" w:type="dxa"/>
          <w:bottom w:w="28" w:type="dxa"/>
          <w:right w:w="28" w:type="dxa"/>
        </w:tblCellMar>
      </w:tblPr>
      <w:tblGrid>
        <w:gridCol w:w="1051"/>
        <w:gridCol w:w="146"/>
        <w:gridCol w:w="211"/>
        <w:gridCol w:w="781"/>
        <w:gridCol w:w="146"/>
        <w:gridCol w:w="146"/>
        <w:gridCol w:w="529"/>
        <w:gridCol w:w="1586"/>
        <w:gridCol w:w="166"/>
        <w:gridCol w:w="146"/>
        <w:gridCol w:w="630"/>
        <w:gridCol w:w="1890"/>
        <w:gridCol w:w="166"/>
        <w:gridCol w:w="146"/>
        <w:gridCol w:w="265"/>
        <w:gridCol w:w="980"/>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annual effective interest rate for the 2027 Notes and the 2030 Notes were approximately 1.6% and 1.4%, respectively. Interest expense related to the Convertible Notes for the periods presented below was as follows (in thousands):</w:t>
      </w:r>
    </w:p>
    <w:tbl>
      <w:tblPr>
        <w:tblW w:w="4999" w:type="dxa"/>
        <w:jc w:val="left"/>
        <w:tblInd w:w="0" w:type="dxa"/>
        <w:tblLayout w:type="fixed"/>
        <w:tblCellMar>
          <w:top w:w="28" w:type="dxa"/>
          <w:left w:w="28" w:type="dxa"/>
          <w:bottom w:w="28" w:type="dxa"/>
          <w:right w:w="28" w:type="dxa"/>
        </w:tblCellMar>
      </w:tblPr>
      <w:tblGrid>
        <w:gridCol w:w="2806"/>
        <w:gridCol w:w="146"/>
        <w:gridCol w:w="211"/>
        <w:gridCol w:w="571"/>
        <w:gridCol w:w="146"/>
        <w:gridCol w:w="146"/>
        <w:gridCol w:w="211"/>
        <w:gridCol w:w="57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Coupon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estimates the fair value of the Convertible Notes based on quoted market prices in less active markets and is classified as Level 2 in the fair value hierarchy. The following table presents the carrying value and estimated fair value of the Convertible Notes as of the date indicated (in thousands):</w:t>
      </w:r>
    </w:p>
    <w:tbl>
      <w:tblPr>
        <w:tblW w:w="7773" w:type="dxa"/>
        <w:jc w:val="left"/>
        <w:tblInd w:w="0" w:type="dxa"/>
        <w:tblLayout w:type="fixed"/>
        <w:tblCellMar>
          <w:top w:w="28" w:type="dxa"/>
          <w:left w:w="28" w:type="dxa"/>
          <w:bottom w:w="28" w:type="dxa"/>
          <w:right w:w="28" w:type="dxa"/>
        </w:tblCellMar>
      </w:tblPr>
      <w:tblGrid>
        <w:gridCol w:w="2086"/>
        <w:gridCol w:w="146"/>
        <w:gridCol w:w="265"/>
        <w:gridCol w:w="980"/>
        <w:gridCol w:w="146"/>
        <w:gridCol w:w="146"/>
        <w:gridCol w:w="211"/>
        <w:gridCol w:w="781"/>
        <w:gridCol w:w="146"/>
        <w:gridCol w:w="146"/>
        <w:gridCol w:w="265"/>
        <w:gridCol w:w="980"/>
        <w:gridCol w:w="146"/>
        <w:gridCol w:w="146"/>
        <w:gridCol w:w="211"/>
        <w:gridCol w:w="78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2027 Notes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2030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6"/>
        </w:rPr>
        <w:t>(1) As of March 31, 2026 and December 31, 2025, the fair value of the Convertible Notes, as applicable, were measured using Level 2 inputs based on the frequency of trading on our debt at the end of the period.</w:t>
      </w:r>
      <w:r>
        <w:rPr>
          <w:rFonts w:ascii="Times New Roman" w:hAnsi="Times New Roman"/>
          <w:color w:val="000000"/>
          <w:sz w:val="20"/>
        </w:rPr>
        <w:t xml:space="preserve"> </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connection with the issuance of the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Calls are not accounted for as derivatives and will not be remeasured; they will remain in stockholder’s equity until expiration or settlement.</w:t>
      </w:r>
    </w:p>
    <w:p>
      <w:pPr>
        <w:pStyle w:val="TextBody"/>
        <w:bidi w:val="0"/>
        <w:spacing w:before="0" w:after="200"/>
        <w:jc w:val="both"/>
        <w:rPr>
          <w:rFonts w:ascii="Times New Roman" w:hAnsi="Times New Roman"/>
          <w:sz w:val="20"/>
        </w:rPr>
      </w:pPr>
      <w:r>
        <w:rPr>
          <w:rFonts w:ascii="Times New Roman" w:hAnsi="Times New Roman"/>
          <w:i/>
          <w:color w:val="000000"/>
          <w:sz w:val="20"/>
        </w:rPr>
        <w:t>Purchase of Treasury Stock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pStyle w:val="TextBody"/>
        <w:bidi w:val="0"/>
        <w:spacing w:before="0" w:after="200"/>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Restructuring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first quarter of 2025, the Company initiated a restructuring action to help manage its operating expenses, improve its efficiency and align resources by reducing its workforce. During the three months ended March 31, 2025, the Company incurred approximately $1.5 million for employee termination costs related to the restructuring.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shows the total restructuring costs incurred during the three months ended March 31, 2026 and 2025 (in thousands):</w:t>
      </w:r>
    </w:p>
    <w:tbl>
      <w:tblPr>
        <w:tblW w:w="5045" w:type="dxa"/>
        <w:jc w:val="left"/>
        <w:tblInd w:w="0" w:type="dxa"/>
        <w:tblLayout w:type="fixed"/>
        <w:tblCellMar>
          <w:top w:w="28" w:type="dxa"/>
          <w:left w:w="28" w:type="dxa"/>
          <w:bottom w:w="28" w:type="dxa"/>
          <w:right w:w="28" w:type="dxa"/>
        </w:tblCellMar>
      </w:tblPr>
      <w:tblGrid>
        <w:gridCol w:w="2311"/>
        <w:gridCol w:w="146"/>
        <w:gridCol w:w="310"/>
        <w:gridCol w:w="509"/>
        <w:gridCol w:w="214"/>
        <w:gridCol w:w="214"/>
        <w:gridCol w:w="310"/>
        <w:gridCol w:w="84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$0.8 million and $0.7 million for the three months ended March 31, 2026 and 2025, respectively.</w:t>
      </w:r>
    </w:p>
    <w:p>
      <w:pPr>
        <w:pStyle w:val="TextBody"/>
        <w:bidi w:val="0"/>
        <w:jc w:val="left"/>
        <w:rPr>
          <w:rFonts w:ascii="Times New Roman" w:hAnsi="Times New Roman"/>
          <w:sz w:val="20"/>
        </w:rPr>
      </w:pPr>
      <w:r>
        <w:rPr>
          <w:rFonts w:ascii="Times New Roman" w:hAnsi="Times New Roman"/>
          <w:b/>
          <w:color w:val="000000"/>
          <w:sz w:val="20"/>
        </w:rPr>
        <w:t>(10) Goodwill and Intangible Assets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summarize the Company’s intangible assets (dollars in thousands): </w:t>
      </w:r>
    </w:p>
    <w:tbl>
      <w:tblPr>
        <w:tblW w:w="7160" w:type="dxa"/>
        <w:jc w:val="left"/>
        <w:tblInd w:w="0" w:type="dxa"/>
        <w:tblLayout w:type="fixed"/>
        <w:tblCellMar>
          <w:top w:w="28" w:type="dxa"/>
          <w:left w:w="28" w:type="dxa"/>
          <w:bottom w:w="28" w:type="dxa"/>
          <w:right w:w="28" w:type="dxa"/>
        </w:tblCellMar>
      </w:tblPr>
      <w:tblGrid>
        <w:gridCol w:w="2071"/>
        <w:gridCol w:w="146"/>
        <w:gridCol w:w="332"/>
        <w:gridCol w:w="719"/>
        <w:gridCol w:w="146"/>
        <w:gridCol w:w="146"/>
        <w:gridCol w:w="211"/>
        <w:gridCol w:w="676"/>
        <w:gridCol w:w="146"/>
        <w:gridCol w:w="146"/>
        <w:gridCol w:w="250"/>
        <w:gridCol w:w="801"/>
        <w:gridCol w:w="146"/>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2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50"/>
        <w:gridCol w:w="801"/>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Amortization expense for the three months ended March 31, 2026 and 2025 was as follows (in thousands):</w:t>
      </w:r>
    </w:p>
    <w:tbl>
      <w:tblPr>
        <w:tblW w:w="5256" w:type="dxa"/>
        <w:jc w:val="left"/>
        <w:tblInd w:w="0" w:type="dxa"/>
        <w:tblLayout w:type="fixed"/>
        <w:tblCellMar>
          <w:top w:w="28" w:type="dxa"/>
          <w:left w:w="28" w:type="dxa"/>
          <w:bottom w:w="28" w:type="dxa"/>
          <w:right w:w="28" w:type="dxa"/>
        </w:tblCellMar>
      </w:tblPr>
      <w:tblGrid>
        <w:gridCol w:w="2521"/>
        <w:gridCol w:w="146"/>
        <w:gridCol w:w="325"/>
        <w:gridCol w:w="649"/>
        <w:gridCol w:w="225"/>
        <w:gridCol w:w="225"/>
        <w:gridCol w:w="325"/>
        <w:gridCol w:w="649"/>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Amortization of the lease-related intangible assets is recorded as operating lease expense in general and administrative.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March 31, 2026, estimated amortization expense for intangible assets for the remainder of 2026 and the next five years is: $2.4 million in 2026, $2.6 million in 2027, $2.6 million in 2028, $2.6 million in 2029, $2.6 million in 2030, $2.6 million in 2031 and $12.3 million thereafter.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provides a roll forward of the carrying amount of goodwill (in thousands):</w:t>
      </w:r>
    </w:p>
    <w:tbl>
      <w:tblPr>
        <w:tblW w:w="7619" w:type="dxa"/>
        <w:jc w:val="left"/>
        <w:tblInd w:w="0" w:type="dxa"/>
        <w:tblLayout w:type="fixed"/>
        <w:tblCellMar>
          <w:top w:w="28" w:type="dxa"/>
          <w:left w:w="28" w:type="dxa"/>
          <w:bottom w:w="28" w:type="dxa"/>
          <w:right w:w="28" w:type="dxa"/>
        </w:tblCellMar>
      </w:tblPr>
      <w:tblGrid>
        <w:gridCol w:w="4966"/>
        <w:gridCol w:w="146"/>
        <w:gridCol w:w="211"/>
        <w:gridCol w:w="781"/>
        <w:gridCol w:w="166"/>
        <w:gridCol w:w="146"/>
        <w:gridCol w:w="211"/>
        <w:gridCol w:w="78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impairments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March 31, 2026 and December 31, 2025, Xometry had $263.6 million and $263.8 million, respectively of goodwill. As of March 31, 2026, $258.0 million was part of the Company's U.S. operating segment and $5.6 million was part of its International operating segment. As of December 31, 2025, $258.0 million was part of the Company's U.S. operating segment and $5.8 million was part of its International operating segment.</w:t>
      </w:r>
    </w:p>
    <w:p>
      <w:pPr>
        <w:pStyle w:val="TextBody"/>
        <w:bidi w:val="0"/>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May 6, 2026, in connection with its entry into a Collaboration Agreement, the Company entered into a stock purchase agreement (the “Purchase Agreement”) with Siemens Beteiligungen Inland GmbH (“Siemens GmbH”), an affiliate of Siemens Industry Software Inc. (“Siemens”), pursuant to which the Company agreed to issue and sell 1,049,759 shares (the “Shares”) of the Company’s Class A common stock, par value $0.000001 per share, to Siemens GmbH for an aggregate purchase price of approximately $50,000,000 in a private placement. The number of Shares of Class A common stock to be issued and sold to Siemens GmbH pursuant to the Purchase Agreement was based on the 20-day volume-weighted average price of the Common Stock for the period ending May 5, 2026. The issuance of the Shares is expected to occur on or about May 8, 2026, subject to customary closing conditions.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rFonts w:ascii="Times New Roman" w:hAnsi="Times New Roman"/>
          <w:b/>
          <w:color w:val="000000"/>
          <w:sz w:val="20"/>
        </w:rPr>
      </w:pPr>
      <w:bookmarkStart w:id="13" w:name="item_2"/>
      <w:bookmarkEnd w:id="13"/>
      <w:r>
        <w:rPr>
          <w:rFonts w:ascii="Times New Roman" w:hAnsi="Times New Roman"/>
          <w:b/>
          <w:color w:val="000000"/>
          <w:sz w:val="20"/>
        </w:rPr>
        <w:t>Item 2. Management’s Discussion and Analysis of Financial Condition and Results of Operations.</w:t>
      </w:r>
    </w:p>
    <w:p>
      <w:pPr>
        <w:pStyle w:val="TextBody"/>
        <w:bidi w:val="0"/>
        <w:spacing w:before="200" w:after="200"/>
        <w:jc w:val="both"/>
        <w:rPr>
          <w:rFonts w:ascii="Times New Roman" w:hAnsi="Times New Roman"/>
          <w:sz w:val="20"/>
        </w:rPr>
      </w:pPr>
      <w:r>
        <w:rPr>
          <w:rFonts w:ascii="Times New Roman" w:hAnsi="Times New Roman"/>
          <w:i/>
          <w:color w:val="000000"/>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2025.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Inc. (“Xometry”, the “Company”, “our”, or “we”)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operates an AI-native online marketplace that connects buyers with suppliers of manufacturing services, driving the digital transformation of one of the largest industries in the world. The platform is designed to digitize and modernize the sourcing, pricing, and execution of manufacturing work across a broad range of processes, materials and industries, enabling more efficient matching of manufacturing demand with available production capacity. We facilitate innovation by providing real-time access to global manufacturing demand and capacity. We believe these capabilities position Xometry as a preferred digital collaboration, sourcing and transaction platform for custom manufacturing, and lead to Xometry becoming an integral part of our buyer’s supply chains.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 proprietary technology to enable product designers, engineers, buyers, and supply chain professionals to instantly access the capacity of a global network of manufacturing facilities. The Company’s marketplace makes it possible for buyers to quickly receive pricing, expected lead times, and manufacturability feedback and place orders on the marketplace. The network allows us to provide high volumes of unique parts, including custom components and assemblies for our buyers, as well as larger production orders of single parts. Teamspace is a cloud-based solution within the Xometry platform that enables customers to collaborate with other users on projects and custom part orders. Workcenter, our partner operating system, gives suppliers a one-stop view into all of their Xometry and non-Xometry work. A cloud-based manufacturing execution system, Workcenter brings the job board and financial services into one, easy-to-use platform which helps our suppliers digitize their operations so they can work smarter and faster. With Workcenter, shop owners can build and manage workflows for all their projects, including those from non-Xometry customers. These technology solutions help drive our land and expand efforts by embedding Xometry further into enterprise workflows.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benefits from a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services, including our financial services or the purchase of tools and materials.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empower suppliers to grow their manufacturing businesses and improve machine utilization by providing access to an extensive, diverse base of buyers. We also offer suppliers supporting services to meet their unique needs. The Thomasnet digital platform connects industrial buyers with over 500,000 North American suppliers. Operating at the intersection of digital marketing, industrial sourcing, and supply chain management, Thomasnet supports manufacturers, distributors, and service providers with tools and resources to enhance visibility, drive qualified leads, and streamline procurement processes. Thomasnet offers a suite of digital marketing services including SEO, content creation, data-driven advertising, analytics and insights. These solutions help industrial companies increase online visibility and drive business growth. In addition, our services include financial service products to facilitate faster payments.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Unfavorable conditions in the economy both in the United States and abroad may negatively affect the growth of our business and our results of operations. For example, macroeconomic events, fluctuations in inflation and interest rates, volatile market conditions, impacts from tariffs,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2025.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Restructuring</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During 2025, we initiated restructuring actions to help improve efficiency and align resources by reducing our workforce by approximately 5%. The workforce reduction focused on realigning our staffing levels to help us meet the current and future objectives of our business. For the three months ended March 31, 2025, we incurred $1.5 million for employee termination costs related to our restructuring. Refer to Note 9, </w:t>
      </w:r>
      <w:r>
        <w:rPr>
          <w:rFonts w:ascii="Times New Roman" w:hAnsi="Times New Roman"/>
          <w:i/>
          <w:color w:val="000000"/>
          <w:sz w:val="20"/>
        </w:rPr>
        <w:t xml:space="preserve">Commitments and Contingencies—Restructuring </w:t>
      </w:r>
      <w:r>
        <w:rPr>
          <w:rFonts w:ascii="Times New Roman" w:hAnsi="Times New Roman"/>
          <w:color w:val="000000"/>
          <w:sz w:val="20"/>
        </w:rPr>
        <w:t>for our condensed consolidated financial statements included elsewhere in this Quarterly Report on Form 10-Q.</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May 6, 2026, in connection with its entry into a Collaboration Agreement, the Company entered into a stock purchase agreement (the “Purchase Agreement”) with Siemens Beteiligungen Inland GmbH (“Siemens GmbH”), an affiliate of Siemens Industry Software Inc. (“Siemens”), pursuant to which the Company agreed to issue and sell 1,049,759 shares (the “Shares”) of the Company’s Class A common stock, par value $0.000001 per share, to Siemens GmbH for an aggregate purchase price of approximately $50,000,000 in a private placement. The number of Shares of Class A common stock to be issued and sold to Siemens GmbH pursuant to the Purchase Agreement was based on the 20-day volume-weighted average price of the Common Stock for the period ending May 5, 2026. The issuance of the Shares is expected to occur on or about May 8, 2026, subject to customary closing conditions.</w:t>
      </w:r>
    </w:p>
    <w:p>
      <w:pPr>
        <w:pStyle w:val="TextBody"/>
        <w:bidi w:val="0"/>
        <w:jc w:val="left"/>
        <w:rPr/>
      </w:pPr>
      <w:r>
        <w:rPr/>
        <w:t> </w:t>
      </w:r>
    </w:p>
    <w:p>
      <w:pPr>
        <w:pStyle w:val="TextBody"/>
        <w:bidi w:val="0"/>
        <w:spacing w:before="20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0"/>
        </w:rPr>
        <w:t>Key Marketplace Operational and Business Metrics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sz w:val="20"/>
        </w:rPr>
      </w:pPr>
      <w:r>
        <w:rPr>
          <w:rFonts w:ascii="Times New Roman" w:hAnsi="Times New Roman"/>
          <w:b/>
          <w:i/>
          <w:color w:val="000000"/>
          <w:sz w:val="20"/>
        </w:rPr>
        <w:t>Active Buyers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define Active Buyers as the number of buyers who have made at least one purchase on our marketplace during the last twelve months. An increase or decrease in the number of Active Buyers is a key indicator of our ability to attract, retain and engage buyers on our platform.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Active Buyers has consistently grown over time. The number of Active Buyers on our platform reached 85,581 as of March 31, 2026, up 20% from 71,454 as of March 31, 2025. The key drivers of Active Buyer growth are continued account and buyer engagement and the success of our strategy to attract new buyers. </w:t>
      </w:r>
    </w:p>
    <w:p>
      <w:pPr>
        <w:pStyle w:val="TextBody"/>
        <w:bidi w:val="0"/>
        <w:jc w:val="center"/>
        <w:rPr/>
      </w:pPr>
      <w:r>
        <w:rPr/>
        <w:drawing>
          <wp:inline distT="0" distB="0" distL="0" distR="0">
            <wp:extent cx="3333750" cy="419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419100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sz w:val="20"/>
        </w:rPr>
      </w:pPr>
      <w:r>
        <w:rPr>
          <w:rFonts w:ascii="Times New Roman" w:hAnsi="Times New Roman"/>
          <w:b/>
          <w:i/>
          <w:color w:val="000000"/>
          <w:sz w:val="20"/>
        </w:rPr>
        <w:t>Percentage of Revenue from Existing Accounts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the quarter ended March 31, 2026, 98% of our revenue was generated from existing accounts. We believe the repeat purchase activity from existing accounts reflects the underlying strength of our business and provides us with substantial revenue visibility and predictability. </w:t>
      </w:r>
    </w:p>
    <w:p>
      <w:pPr>
        <w:pStyle w:val="TextBody"/>
        <w:bidi w:val="0"/>
        <w:jc w:val="center"/>
        <w:rPr/>
      </w:pPr>
      <w:r>
        <w:rPr/>
        <w:drawing>
          <wp:inline distT="0" distB="0" distL="0" distR="0">
            <wp:extent cx="3333750" cy="419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3750" cy="419100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Accounts with Last Twelve-Month Spend of at Least $50,000</w:t>
      </w:r>
      <w:r>
        <w:rPr>
          <w:rFonts w:ascii="Times New Roman" w:hAnsi="Times New Roman"/>
          <w:color w:val="000000"/>
          <w:sz w:val="20"/>
        </w:rPr>
        <w:t xml:space="preserve"> </w:t>
      </w:r>
    </w:p>
    <w:p>
      <w:pPr>
        <w:pStyle w:val="TextBody"/>
        <w:bidi w:val="0"/>
        <w:spacing w:before="200" w:after="200"/>
        <w:jc w:val="both"/>
        <w:rPr>
          <w:rFonts w:ascii="Times New Roman" w:hAnsi="Times New Roman"/>
          <w:sz w:val="20"/>
        </w:rPr>
      </w:pPr>
      <w:r>
        <w:rPr>
          <w:rFonts w:ascii="Times New Roman" w:hAnsi="Times New Roman"/>
          <w:color w:val="000000"/>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1,864 as of March 31, 2026, up 21%</w:t>
      </w:r>
      <w:r>
        <w:rPr>
          <w:rFonts w:ascii="Times New Roman" w:hAnsi="Times New Roman"/>
          <w:color w:val="FF0000"/>
          <w:sz w:val="20"/>
        </w:rPr>
        <w:t xml:space="preserve"> </w:t>
      </w:r>
      <w:r>
        <w:rPr>
          <w:rFonts w:ascii="Times New Roman" w:hAnsi="Times New Roman"/>
          <w:color w:val="000000"/>
          <w:sz w:val="20"/>
        </w:rPr>
        <w:t>from 1,545 as of March 31, 2025.</w:t>
      </w:r>
    </w:p>
    <w:p>
      <w:pPr>
        <w:pStyle w:val="TextBody"/>
        <w:bidi w:val="0"/>
        <w:jc w:val="center"/>
        <w:rPr/>
      </w:pPr>
      <w:r>
        <w:rPr/>
        <w:drawing>
          <wp:inline distT="0" distB="0" distL="0" distR="0">
            <wp:extent cx="331470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14700" cy="5086350"/>
                    </a:xfrm>
                    <a:prstGeom prst="rect">
                      <a:avLst/>
                    </a:prstGeom>
                  </pic:spPr>
                </pic:pic>
              </a:graphicData>
            </a:graphic>
          </wp:inline>
        </w:drawing>
      </w:r>
    </w:p>
    <w:p>
      <w:pPr>
        <w:pStyle w:val="TextBody"/>
        <w:bidi w:val="0"/>
        <w:spacing w:before="20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and Non-GAAP Net Income (Loss) are non-GAAP financial measures that we use, in addition to our GAAP financial measures, to evaluate our business. We have included Adjusted EBITDA and Non-GAAP Net Income (Loss) in this filing because they are key measures used by our management to evaluate our operating performance. Accordingly, we believe that Adjusted EBITDA and Non-GAAP Net Income (Loss) provide useful information to investors and others in understanding and evaluating our operating results in the same manner as our management team and board of directors. Our calculation of Adjusted EBITDA and Non-GAAP Net Income (Loss) may differ from similarly titled non-GAAP measures, if any, reported by our peer companies and therefore may not serve as an accurate basis of comparison among companies. Adjusted EBITDA and Non-GAAP Net Income (Loss) should not be considered in isolation from, or as a substitute for, financial information prepared in accordance with GAAP. </w:t>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define Adjusted EBITDA as net loss, adjusted for interest expense, interest and dividend income, other expenses, and certain other non-cash or non-recurring items impacting net loss from time to time, principally comprised of depreciation and amortization, amortization of lease intangible, provision for income taxes, stock-based compensation, payroll tax expense related to stock-based compensation, charitable contributions of common stock, income from unconsolidated joint venture, restructuring charges,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 </w:t>
      </w:r>
    </w:p>
    <w:tbl>
      <w:tblPr>
        <w:tblW w:w="7979" w:type="dxa"/>
        <w:jc w:val="left"/>
        <w:tblInd w:w="0" w:type="dxa"/>
        <w:tblLayout w:type="fixed"/>
        <w:tblCellMar>
          <w:top w:w="28" w:type="dxa"/>
          <w:left w:w="28" w:type="dxa"/>
          <w:bottom w:w="28" w:type="dxa"/>
          <w:right w:w="28" w:type="dxa"/>
        </w:tblCellMar>
      </w:tblPr>
      <w:tblGrid>
        <w:gridCol w:w="5476"/>
        <w:gridCol w:w="146"/>
        <w:gridCol w:w="211"/>
        <w:gridCol w:w="676"/>
        <w:gridCol w:w="166"/>
        <w:gridCol w:w="146"/>
        <w:gridCol w:w="211"/>
        <w:gridCol w:w="736"/>
        <w:gridCol w:w="21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interest and dividend income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the three months ended March 31, 2026, Adjusted EBITDA was $10.5 million, as compared to Adjusted EBITDA of $0.1 million for the same quarter in 2025. For the three months ended March 31, 2026, Adjusted EBITDA Margin was 5.1% of revenue, as compared to 0.1% of revenue for the same quarter in 2025.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Non-GAAP Net Income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define Non-GAAP Net Income (Loss), as net loss adjusted for stock-based compensation, payroll tax expense related to stock-based compensation, amortization of lease intangible, amortization of deferred costs on convertible notes, charitable contributions of common stock, lease termination, restructuring charges, amortization of acquired intangible assets &amp; patents, other amortization and acquisition and other adjustments not reflective of our ongoing business, such as adjustments related to purchase accounting, the revaluation of contingent consideration, transaction costs and executive severance.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Effective January 1, 2026, we revised our definition of Non-GAAP Net Income (Loss) to exclude depreciation expense which had previously been included as an adjustment. Management believes this revised definition provides a more representative view of our core operating performance. All prior-period amounts have been recast to conform to this new definition.</w:t>
      </w:r>
    </w:p>
    <w:tbl>
      <w:tblPr>
        <w:tblW w:w="7169" w:type="dxa"/>
        <w:jc w:val="left"/>
        <w:tblInd w:w="0" w:type="dxa"/>
        <w:tblLayout w:type="fixed"/>
        <w:tblCellMar>
          <w:top w:w="28" w:type="dxa"/>
          <w:left w:w="28" w:type="dxa"/>
          <w:bottom w:w="28" w:type="dxa"/>
          <w:right w:w="28" w:type="dxa"/>
        </w:tblCellMar>
      </w:tblPr>
      <w:tblGrid>
        <w:gridCol w:w="4711"/>
        <w:gridCol w:w="146"/>
        <w:gridCol w:w="211"/>
        <w:gridCol w:w="631"/>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costs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 &amp;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three months ended March 31, 2026, Non-GAAP net income was $6.9 million, as compared to Non-GAAP net loss of $(2.5) million for the same quarter in 2025. For the quarter ended March 31, 2026, Non-GAAP net income was 3.4% of revenue, as compared to Non-GAAP net loss was (1.7)% of revenue for the same quarter in 2025.</w:t>
      </w:r>
    </w:p>
    <w:p>
      <w:pPr>
        <w:pStyle w:val="TextBody"/>
        <w:bidi w:val="0"/>
        <w:spacing w:before="0" w:after="200"/>
        <w:jc w:val="center"/>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marketplace revenue is primarily comprised of sales of parts and assemblies to customers through our platform. Buyers purchase specialized CNC manufacturing, sheet metal manufacturing, 3D printing, injection molding, urethane casting, stamping, extrusions, tube cutting, tube bending and finishing services. Customer purchases range from rapid prototyping of single parts to high-volume production on our marketplace. These products are primarily manufactured by our network of suppliers.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Services revenue includes the sale of marketing and advertising services and financial service products. </w:t>
      </w:r>
    </w:p>
    <w:p>
      <w:pPr>
        <w:pStyle w:val="TextBody"/>
        <w:bidi w:val="0"/>
        <w:spacing w:before="0" w:after="20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Marketplace cost of revenue primarily consists of the cost to us of the products that are manufactured or produced by us or our suppliers for delivery to buyers on our platform, internal and external production costs, shipping costs and certain internal depreciation. We expect the cost of revenue to increase in absolute dollars to the extent our revenue increases and transaction volume increases. As we grow and add suppliers to our platform, we are able to improve our pricing efficiency and we expect cost of revenue to decline as a percentage of revenue over time.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Services cost of revenue primarily consists of internal and external production costs and website hosting.</w:t>
      </w:r>
    </w:p>
    <w:p>
      <w:pPr>
        <w:pStyle w:val="TextBody"/>
        <w:bidi w:val="0"/>
        <w:spacing w:before="0" w:after="200"/>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Gross profit, or revenue less cost of revenue, is primarily affected by the growth of our revenue and the mix of our business between marketplace and services. Marketplace gross margin is our economic value driven by the spread between the price to the buyer and the cost to the supplier. The price to the buyer is primarily driven by AI through our instant quoting engine which utilizes machine learning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and our proprietary data to make price predictions. The cost to the supplier is driven by an AI powered matching algorithm which finds the optimal supplier match in our network.</w:t>
      </w:r>
    </w:p>
    <w:p>
      <w:pPr>
        <w:pStyle w:val="TextBody"/>
        <w:bidi w:val="0"/>
        <w:spacing w:before="200" w:after="20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operating expenses consist of sales and marketing, operations and support, product development, general and administrative functions and impairment of assets.</w:t>
      </w:r>
    </w:p>
    <w:p>
      <w:pPr>
        <w:pStyle w:val="TextBody"/>
        <w:bidi w:val="0"/>
        <w:spacing w:before="0" w:after="200"/>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Sales and marketing expenses are expensed as incurred and include the costs of our digital marketing strategies, branding costs and other advertising costs, restructuring charges, certain depreciation and amortization expense, contract acquisition costs and compensation expenses, including stock-based compensation for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but decrease over time as a percentage of revenue. Sales and marketing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Operations and Support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restructuring charges, certain depreciation and amortization expense and software costs used in delivering buyer and suppliers services. We expect operations and support expenses to increase in absolute dollars in the future as we grow our business but decrease over time as a percentage of revenue. Operations and support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Product development costs that are not eligible for capitalization are expensed as incurred. These costs primarily consist of compensation expenses, including stock-based compensation expenses to our employees performing these functions, restructuring charges and certain depreciation and amortization expense. We expect product development expense to increase in absolute dollars in the future as we grow our business but decrease as a percentage of revenue. Product development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General and administrative expenses primarily consist of compensation expenses, including stock-based compensation expenses, for executive, finance, legal and other administrative personnel, provision for bad debt, professional service fees, facilities cost, restructuring charges and certain depreciation and amortization expense. We expect general and administrative expenses to increase in absolute dollars in the future as we grow our business but decrease as a percentage of revenue. General and administrative expenses may fluctuate from period to period due to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expense consists of interest incurred on our outstanding borrowings under our outstanding convertible notes or other borrowings.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and dividend income consists of interest and dividends on our cash, cash equivalents and marketable securities.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Other Expenses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Other expenses consist primarily of realized foreign exchange gains and/or losses, non-income based taxes and other expenses. </w:t>
      </w:r>
    </w:p>
    <w:p>
      <w:pPr>
        <w:pStyle w:val="TextBody"/>
        <w:bidi w:val="0"/>
        <w:spacing w:before="0" w:after="20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Income from unconsolidated joint venture consists of our share of the joint venture’s income.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Provision for Income Taxes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Provision for income taxes primarily consists of income based taxes primarily from international operations.</w:t>
      </w:r>
    </w:p>
    <w:p>
      <w:pPr>
        <w:pStyle w:val="TextBody"/>
        <w:bidi w:val="0"/>
        <w:spacing w:before="0" w:after="20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Times New Roman" w:hAnsi="Times New Roman"/>
          <w:b/>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for the periods indicated: </w:t>
      </w:r>
    </w:p>
    <w:tbl>
      <w:tblPr>
        <w:tblW w:w="6824" w:type="dxa"/>
        <w:jc w:val="left"/>
        <w:tblInd w:w="0" w:type="dxa"/>
        <w:tblLayout w:type="fixed"/>
        <w:tblCellMar>
          <w:top w:w="28" w:type="dxa"/>
          <w:left w:w="28" w:type="dxa"/>
          <w:bottom w:w="28" w:type="dxa"/>
          <w:right w:w="28" w:type="dxa"/>
        </w:tblCellMar>
      </w:tblPr>
      <w:tblGrid>
        <w:gridCol w:w="4171"/>
        <w:gridCol w:w="146"/>
        <w:gridCol w:w="211"/>
        <w:gridCol w:w="781"/>
        <w:gridCol w:w="166"/>
        <w:gridCol w:w="146"/>
        <w:gridCol w:w="211"/>
        <w:gridCol w:w="781"/>
        <w:gridCol w:w="2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sets forth our unaudited statements of operations data expressed as a percentage of total revenue for the periods indicated:</w:t>
      </w:r>
    </w:p>
    <w:tbl>
      <w:tblPr>
        <w:tblW w:w="6604" w:type="dxa"/>
        <w:jc w:val="left"/>
        <w:tblInd w:w="0" w:type="dxa"/>
        <w:tblLayout w:type="fixed"/>
        <w:tblCellMar>
          <w:top w:w="28" w:type="dxa"/>
          <w:left w:w="28" w:type="dxa"/>
          <w:bottom w:w="28" w:type="dxa"/>
          <w:right w:w="28" w:type="dxa"/>
        </w:tblCellMar>
      </w:tblPr>
      <w:tblGrid>
        <w:gridCol w:w="4171"/>
        <w:gridCol w:w="146"/>
        <w:gridCol w:w="146"/>
        <w:gridCol w:w="571"/>
        <w:gridCol w:w="331"/>
        <w:gridCol w:w="146"/>
        <w:gridCol w:w="146"/>
        <w:gridCol w:w="571"/>
        <w:gridCol w:w="37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services includes the sale of advertising and financial service products.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and cost of revenue is presented in the following tables for the three months ended March 31, 2026 and 2025 (in thousands):</w:t>
      </w:r>
    </w:p>
    <w:tbl>
      <w:tblPr>
        <w:tblW w:w="4259" w:type="dxa"/>
        <w:jc w:val="left"/>
        <w:tblInd w:w="0" w:type="dxa"/>
        <w:tblLayout w:type="fixed"/>
        <w:tblCellMar>
          <w:top w:w="28" w:type="dxa"/>
          <w:left w:w="28" w:type="dxa"/>
          <w:bottom w:w="28" w:type="dxa"/>
          <w:right w:w="28" w:type="dxa"/>
        </w:tblCellMar>
      </w:tblPr>
      <w:tblGrid>
        <w:gridCol w:w="1396"/>
        <w:gridCol w:w="146"/>
        <w:gridCol w:w="211"/>
        <w:gridCol w:w="781"/>
        <w:gridCol w:w="271"/>
        <w:gridCol w:w="146"/>
        <w:gridCol w:w="211"/>
        <w:gridCol w:w="781"/>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124,873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revenue increased $54.2 million, or 36%, from $151.0 million for the three months ended March 31, 2025 to $205.1 million for the three months ended March 31, 2026. This growth was a result of an increase in marketplace revenue, partially offset by a decrease in services revenue. Marketplace revenue increased $55.0 million, or 40%, from $136.4 million for the three months ended March 31, 2025 to $191.3 million for the three months ended March 31, 2026. The increase in marketplace revenue was primarily due to increased buyer activity on the platform, particularly with respect to enterprise customers, for the three months ended March 31, 2026 as compared to the prior year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Services revenue decreased $0.8 million, or 5% from $14.6 million for the three months ended March 31, 2025 to $13.8 million for the three months ended March 31, 2026. The decrease in revenue was due to reductions in Thomas advertising and marketing services, partly offset by growth in financial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revenue for the three months ended March 31, 2026 and 2025 was $172.2 million and $127.8 million, respectively, for the U.S. reportable segment and $32.9 million and $23.2 million, respectively, for the International reportable segment.</w:t>
      </w:r>
    </w:p>
    <w:p>
      <w:pPr>
        <w:pStyle w:val="TextBody"/>
        <w:bidi w:val="0"/>
        <w:spacing w:before="0" w:after="20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cost of revenue increased $32.0 million, or 34%, from $94.6 million for the three months ended March 31, 2025 to $126.7 million for the three months ended March 31, 2026. This increase was primarily the result of an increase in marketplace cost of revenue. Total cost of revenue from marketplace and supplier services for the three months ended March 31, 2026 was $124.9 million and $1.8 million, respectively, as compared to $93.0 million and $1.6 million, respectively, for the three months ended March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Marketplace cost of revenue was driven by order growth and increased activity on our marketplace.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cost of revenue for the three months ended March 31, 2026 and 2025 was $106.1 million and $79.9 million, respectively for the U.S. reportable segment, and $20.6 million and $14.7 million, respectively, for the International reportable segment.</w:t>
      </w:r>
    </w:p>
    <w:p>
      <w:pPr>
        <w:pStyle w:val="TextBody"/>
        <w:bidi w:val="0"/>
        <w:spacing w:before="0" w:after="200"/>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profit increased $22.2 million, or 39%, from $56.3 million for the three months ended March 31, 2025 to $78.5 million for the three months ended March 31, 2026. The increase in gross profit was primarily due to increases in revenue from marketplace and improved marketplace gross margins as compared to the prior year period.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gross margin was 38.3% for the three months ended March 31, 2026 as compared to 37.3% for the three months ended March 31, 2025. The increase was primarily driven by higher marketplace gross margin as compared to the prior period.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margin for marketplace was 34.7% for the three months ended March 31, 2026, as compared to 31.8% for the three months ended March 31, 2025. The improvement was due largely to our AI-driven platform and expanding network of active suppliers which optimizes pricing to buyers and suppliers.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margin for our supplier services was 87.1% for the three months ended March 31, 2026, as compared to 89.1% for the three months ended March 31, 2025. </w:t>
      </w:r>
    </w:p>
    <w:p>
      <w:pPr>
        <w:pStyle w:val="TextBody"/>
        <w:bidi w:val="0"/>
        <w:spacing w:before="0" w:after="20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Sales and marketing expense increased $5.5 million, or 21%, from $26.4 million for the three months ended March 31, 2025 to $32.0 million for the three months ended March 31, 2026, primarily due to increases in marketing and advertising spend, consulting expenses, commission expense and employee compensation and benefit costs due to increased headcount. As a percent of total revenue, sales and marketing expenses decreased to 15.6% for the three months ended March 31, 2026 from 17.5% for the three months ended March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Advertising expense increased $2.0 million, from $6.8 million for the three months ended March 31, 2025 to $8.8 million for the three months ended March 31, 2026 primarily due to increased marketplace advertising.</w:t>
      </w:r>
    </w:p>
    <w:p>
      <w:pPr>
        <w:pStyle w:val="TextBody"/>
        <w:bidi w:val="0"/>
        <w:spacing w:before="0" w:after="200"/>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Operations and support expense increased $2.6 million, or 15%, from $17.1 million for the three months ended March 31, 2025 to $19.7 million for the three months ended March 31, 2026, primarily due to increases in consulting expenses and employee compensation and benefit costs due to increased headcount. These increases were offset by a reduction in restructuring costs. As a percent of total revenue, operations and support expenses decreased to 9.6% for the three months ended March 31, 2026 from 11.3% for the three months ended March 31, 2025. </w:t>
      </w:r>
    </w:p>
    <w:p>
      <w:pPr>
        <w:pStyle w:val="TextBody"/>
        <w:bidi w:val="0"/>
        <w:spacing w:before="0" w:after="200"/>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Product development expense increased $0.3 million, or 2%, from $11.2 million for the three months ended March 31, 2025 to $11.4 million for the three months ended March 31, 2026, primarily as a result of an increase in software costs, offset by increases in the amount of compensation and benefits cost and stock-based compensation capitalized to software development. As a percent of total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revenue, product development expenses decreased to 5.6% for the three months ended March 31, 2026 as compared to 7.4% for the three months ended March 31, 2025. </w:t>
      </w:r>
    </w:p>
    <w:p>
      <w:pPr>
        <w:pStyle w:val="TextBody"/>
        <w:bidi w:val="0"/>
        <w:spacing w:before="0" w:after="20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General and administrative expense increased $3.6 million, or 21%, from $17.0 million for the three months ended March 31, 2025 to $20.7 million for the three months ended March 31, 2026, primarily driven by increases in stock-based compensation and higher employee compensation and benefit costs due to increased headcount. As a percent of total revenue, general and administrative expenses decreased to 10.1% for the three months ended March 31, 2026 from 11.3% for the three months ended March 31, 2025. </w:t>
      </w:r>
    </w:p>
    <w:p>
      <w:pPr>
        <w:pStyle w:val="TextBody"/>
        <w:bidi w:val="0"/>
        <w:spacing w:before="0" w:after="200"/>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expense remained flat at $1.2 million for the three months ended March 31, 2026 and 2025.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and dividend income decreased $0.5 million, or 22%, from $2.3 million for the three months ended March 31, 2025 to $1.8 million for the three months ended March 31, 2026. The decrease was primarily due to lower investment in the money market account as the Company funds ongoing operations.</w:t>
      </w:r>
    </w:p>
    <w:p>
      <w:pPr>
        <w:pStyle w:val="TextBody"/>
        <w:bidi w:val="0"/>
        <w:spacing w:before="0" w:after="200"/>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expenses decreased by $0.4 million, from $0.9 million for the three months ended March 31, 2025 to $0.5 million for the three months ended March 31, 2026. The decrease was primarily due to decreases in foreign exchange losses.</w:t>
      </w:r>
    </w:p>
    <w:p>
      <w:pPr>
        <w:pStyle w:val="TextBody"/>
        <w:bidi w:val="0"/>
        <w:spacing w:before="0" w:after="20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Income from unconsolidated joint venture remained flat at $0.1 million for the three months ended March 31, 2026 and 2025. </w:t>
      </w:r>
    </w:p>
    <w:p>
      <w:pPr>
        <w:pStyle w:val="TextBody"/>
        <w:bidi w:val="0"/>
        <w:spacing w:before="0" w:after="200"/>
        <w:jc w:val="left"/>
        <w:rPr>
          <w:rFonts w:ascii="Times New Roman" w:hAnsi="Times New Roman"/>
          <w:sz w:val="20"/>
        </w:rPr>
      </w:pPr>
      <w:r>
        <w:rPr>
          <w:rFonts w:ascii="Times New Roman" w:hAnsi="Times New Roman"/>
          <w:i/>
          <w:color w:val="000000"/>
          <w:sz w:val="20"/>
        </w:rPr>
        <w:t>Additional Segment Considerations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Segment Adjusted EBITDA from our U.S. reportable segment for the three months ended March 31, 2026 and 2025 was $13.3 million and $3.0 million, respectively. Segment Adjusted EBITDA from our International reportable segment for the three months ended March 31, 2026 and 2025 was $(2.8) million and $(2.9) million,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financed our operations primarily through sales of our equity securities and borrowings under our convertible notes. As of March 31, 2026, our cash and cash equivalents and marketable securities totaled $224.0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capital expenditures consist primarily of internal-use software costs, manufacturing equipment, computers and peripheral equipment, furniture and fixtures and leasehold improvements and patents.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Convertible Notes due 2030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June 2025, we issued $250.0 million aggregate principal amount of 2030 Notes pursuant to an indenture dated June 12, 2025, including the exercise in full of the initial purchasers’ option to purchase up to an additional $25.0 million principal amount of the 2030 Notes.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embedded features require bifurcation and recognition as derivatives.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March 31, 2026, the 2030 Notes have a carrying value of approximately $242.7 million with an effective annual interest rate of 1.4%.</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Convertible Notes due 2027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2027 Notes, at our option,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embedded features require bifurcation and recognition as derivatives.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March 31, 2026, the 2027 Notes have a carrying value of approximately $85.3 million with an effective annual interest rate of 1.6%.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from time to time, repurchase our convertible senior notes using cash on hand, either on the open market or in privately negotiated transactions.</w:t>
      </w:r>
    </w:p>
    <w:p>
      <w:pPr>
        <w:pStyle w:val="TextBody"/>
        <w:bidi w:val="0"/>
        <w:jc w:val="both"/>
        <w:rPr>
          <w:rFonts w:ascii="Times New Roman" w:hAnsi="Times New Roman"/>
          <w:sz w:val="20"/>
        </w:rPr>
      </w:pPr>
      <w:r>
        <w:rPr>
          <w:rFonts w:ascii="Times New Roman" w:hAnsi="Times New Roman"/>
          <w:b/>
          <w:i/>
          <w:color w:val="000000"/>
          <w:sz w:val="20"/>
        </w:rPr>
        <w:t>Partial Repurchase of 2027 Notes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Condensed Consolidated Balance Sheet. The original terms and conditions continue to apply to the remaining notes, and the unamortized debt discount and issuance costs related to these notes will continue to be deferred and accreted.</w:t>
      </w:r>
    </w:p>
    <w:p>
      <w:pPr>
        <w:pStyle w:val="TextBody"/>
        <w:bidi w:val="0"/>
        <w:jc w:val="both"/>
        <w:rPr>
          <w:rFonts w:ascii="Times New Roman" w:hAnsi="Times New Roman"/>
          <w:b/>
          <w:i/>
          <w:color w:val="000000"/>
          <w:sz w:val="20"/>
        </w:rPr>
      </w:pPr>
      <w:r>
        <w:rPr>
          <w:rFonts w:ascii="Times New Roman" w:hAnsi="Times New Roman"/>
          <w:b/>
          <w:i/>
          <w:color w:val="000000"/>
          <w:sz w:val="20"/>
        </w:rPr>
        <w:t>Capped Call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issuance of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 are not accounted for as derivatives and will not be remeasured; they will remain in stockholders’ equity until expiration or settlement.</w:t>
      </w:r>
    </w:p>
    <w:p>
      <w:pPr>
        <w:pStyle w:val="TextBody"/>
        <w:bidi w:val="0"/>
        <w:spacing w:before="120" w:after="283"/>
        <w:jc w:val="both"/>
        <w:rPr>
          <w:rFonts w:ascii="Times New Roman" w:hAnsi="Times New Roman"/>
          <w:sz w:val="20"/>
        </w:rPr>
      </w:pPr>
      <w:r>
        <w:rPr>
          <w:rFonts w:ascii="Times New Roman" w:hAnsi="Times New Roman"/>
          <w:b/>
          <w:i/>
          <w:color w:val="000000"/>
          <w:sz w:val="20"/>
        </w:rPr>
        <w:t>Purchase of Treasury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pStyle w:val="TextBody"/>
        <w:bidi w:val="0"/>
        <w:spacing w:before="200" w:after="20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following table presents a summary of our cash flows from operating, investing, and financing activities for the three months ended March 31, 2026 and 2025. </w:t>
      </w:r>
    </w:p>
    <w:tbl>
      <w:tblPr>
        <w:tblW w:w="6972" w:type="dxa"/>
        <w:jc w:val="left"/>
        <w:tblInd w:w="0" w:type="dxa"/>
        <w:tblLayout w:type="fixed"/>
        <w:tblCellMar>
          <w:top w:w="28" w:type="dxa"/>
          <w:left w:w="28" w:type="dxa"/>
          <w:bottom w:w="28" w:type="dxa"/>
          <w:right w:w="28" w:type="dxa"/>
        </w:tblCellMar>
      </w:tblPr>
      <w:tblGrid>
        <w:gridCol w:w="4216"/>
        <w:gridCol w:w="146"/>
        <w:gridCol w:w="248"/>
        <w:gridCol w:w="795"/>
        <w:gridCol w:w="195"/>
        <w:gridCol w:w="171"/>
        <w:gridCol w:w="248"/>
        <w:gridCol w:w="742"/>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March 31, 2026, net cash provided by operating activities was $14.6 million, primarily due to a net loss of $(5.3) million adjusted for non-cash charges of $15.1 million and a net $4.8 million adjustment from changes in operating assets and liabilities. The non-cash charges primarily relate to stock-based compensation of $8.3 million, and depreciation and amortization of $4.9 million. The net decrease in operating assets and liabilities is primarily driven by the changes in accounts receivable of $22.7 million due to increased sales, offset by changes in accounts payable and accrued cost of revenue of $17.7 million due to the timing of payments and sales growth, and changes in other accrued expenses of $11.0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three months ended March 31, 2025, net cash used in operating activities was $3.7 million, primarily due to a net loss of $(15.1) million adjusted for non-cash charges of $13.6 million and a net decrease in our operating assets and liabilities of $(2.2) million. The non-cash adjustments primarily relate to stock-based compensation of $7.3 million, depreciation and amortization of $4.2 million and a $1.1 million of reduction to our right of use lease assets. The net decrease in operating assets and liabilities is primarily driven by the changes in accounts receivable of $13.4 million due to increased sales, changes in other assets of $2.0 million, changes in lease liabilities of $1.5 million and changes in prepaid expenses of $1.5 million offset by changes in accounts payable of $15.0 million due to timing of payments and changes in contract liabilities of $1.9 million.</w:t>
      </w:r>
    </w:p>
    <w:p>
      <w:pPr>
        <w:pStyle w:val="TextBody"/>
        <w:bidi w:val="0"/>
        <w:spacing w:before="0" w:after="200"/>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the three months ended March 31, 2026, net cash used in investing activities was $9.3 million, primarily due to the purchase of marketable securities of $12.3 million and capitalization of internal-use software development costs and the purchase of property and equipment of $10.6 million offset by the sale of marketable securities of $13.5 million.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March 31, 2025, net cash used in investing activities was $3.7 million, primarily due to capitalization of internal-use software development costs and the purchase of property and equipment of $5.5 million and the purchase of marketable securities of $2.3 million offset by the sale of marketable securities of $4.0 million.</w:t>
      </w:r>
    </w:p>
    <w:p>
      <w:pPr>
        <w:pStyle w:val="TextBody"/>
        <w:bidi w:val="0"/>
        <w:spacing w:before="0" w:after="200"/>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March 31, 2026, net cash provided by financing activities was $0.8 million, relating to proceeds from the exercise of 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March 31, 2025, net cash provided by financing activities was $0.5 million, relating to proceeds from the exercise of stock options.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 2025 as well as Note 2, Basis of Presentation and Summary of Significant Accounting Policies in the notes to the condensed consolidated financial statements included in Part I, Item 1, of this Quarterly Report on Form 10-Q. There have been no material changes to our critical accounting policies and accounting estimates as compared to those disclosed in our Annual Report on Form 10-K for the year ended December 31, 2025.</w:t>
      </w:r>
    </w:p>
    <w:p>
      <w:pPr>
        <w:pStyle w:val="TextBody"/>
        <w:bidi w:val="0"/>
        <w:spacing w:before="0" w:after="200"/>
        <w:jc w:val="center"/>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For a description of our recently adopted accounting pronouncements and recently issued accounting standards not yet adopted, see Note 2,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in the notes to the condensed consolidated financial statements included in Part I, Item 1, of this Quarterly Report on Form 10-Q.</w:t>
      </w:r>
    </w:p>
    <w:p>
      <w:pPr>
        <w:pStyle w:val="TextBody"/>
        <w:bidi w:val="0"/>
        <w:spacing w:before="0" w:after="200"/>
        <w:jc w:val="left"/>
        <w:rPr>
          <w:rFonts w:ascii="Times New Roman" w:hAnsi="Times New Roman"/>
          <w:b/>
          <w:color w:val="000000"/>
          <w:sz w:val="20"/>
        </w:rPr>
      </w:pPr>
      <w:bookmarkStart w:id="14" w:name="i_item3"/>
      <w:bookmarkEnd w:id="14"/>
      <w:r>
        <w:rPr>
          <w:rFonts w:ascii="Times New Roman" w:hAnsi="Times New Roman"/>
          <w:b/>
          <w:color w:val="000000"/>
          <w:sz w:val="20"/>
        </w:rPr>
        <w:t>Item 3. Quantitative and Qualitative Disclosures About Market Risk.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 </w:t>
      </w:r>
    </w:p>
    <w:p>
      <w:pPr>
        <w:pStyle w:val="TextBody"/>
        <w:bidi w:val="0"/>
        <w:spacing w:before="0" w:after="200"/>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generated approximately 16% of our revenues for the three months ended March 31, 2026, of which the majority was generated in Euros. If the average exchange rate of Euros changed unfavorably by 10%, our revenues for the three months ended March 31, 2026 would have decreased by 1.2%. During the three months ended March 31, 2026, our revenues were impacted as the average exchange rate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experienced fluctuations of 11% during the three-month periods ending March 31, 2026 and March 31, 2025. This fluctuation caused a 1.2% increase in International revenue. </w:t>
      </w:r>
    </w:p>
    <w:p>
      <w:pPr>
        <w:pStyle w:val="TextBody"/>
        <w:bidi w:val="0"/>
        <w:spacing w:before="0" w:after="200"/>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 </w:t>
      </w:r>
    </w:p>
    <w:p>
      <w:pPr>
        <w:pStyle w:val="TextBody"/>
        <w:bidi w:val="0"/>
        <w:spacing w:before="0" w:after="200"/>
        <w:jc w:val="left"/>
        <w:rPr>
          <w:rFonts w:ascii="Times New Roman" w:hAnsi="Times New Roman"/>
          <w:b/>
          <w:color w:val="000000"/>
          <w:sz w:val="20"/>
        </w:rPr>
      </w:pPr>
      <w:bookmarkStart w:id="15" w:name="i_item4"/>
      <w:bookmarkEnd w:id="15"/>
      <w:r>
        <w:rPr>
          <w:rFonts w:ascii="Times New Roman" w:hAnsi="Times New Roman"/>
          <w:b/>
          <w:color w:val="000000"/>
          <w:sz w:val="20"/>
        </w:rPr>
        <w:t>Item 4. Controls and Procedures.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Pursuant to Rules 13a-15(e) and 15d-15(e) under the Exchange Act, our management, with the participation of our Chief Executive Officer and Chief Financial Officer, performed an evaluation of the effectiveness of our disclosure controls and procedures as of March 31, 2026. Based on such evaluation, our Chief Executive Officer and Chief Financial Officer concluded that our disclosure controls and procedures were effective at a reasonable assurance level as of March 31, 2026.</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There were no changes to our internal control over financial reporting identified in connection with the evaluation required by Rule 13a-15(d) and 15d-15(d) of the Exchange Act that occurred during the quarter ended March 31, 2026, that have materially affected, or are reasonably likely to materially affect, our internal control over financial reporting.</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16" w:name="part_ii"/>
      <w:bookmarkEnd w:id="16"/>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7" w:name="ii_item1"/>
      <w:bookmarkEnd w:id="17"/>
      <w:r>
        <w:rPr>
          <w:rFonts w:ascii="Times New Roman" w:hAnsi="Times New Roman"/>
          <w:b/>
          <w:color w:val="000000"/>
          <w:sz w:val="20"/>
        </w:rPr>
        <w:t>Item 1. Legal Proceedings.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period ended March 31, 2026, there were no material legal proceedings brought against us nor were there any material developments to any ongoing legal proceedings which constituted reportable events.</w:t>
      </w:r>
    </w:p>
    <w:p>
      <w:pPr>
        <w:pStyle w:val="TextBody"/>
        <w:bidi w:val="0"/>
        <w:jc w:val="left"/>
        <w:rPr>
          <w:rFonts w:ascii="Times New Roman" w:hAnsi="Times New Roman"/>
          <w:b/>
          <w:color w:val="000000"/>
          <w:sz w:val="20"/>
        </w:rPr>
      </w:pPr>
      <w:bookmarkStart w:id="18" w:name="ii_item1a"/>
      <w:bookmarkEnd w:id="18"/>
      <w:r>
        <w:rPr>
          <w:rFonts w:ascii="Times New Roman" w:hAnsi="Times New Roman"/>
          <w:b/>
          <w:color w:val="000000"/>
          <w:sz w:val="20"/>
        </w:rPr>
        <w:t>Item 1A. Risk Factors.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Investing in our Class A common stock involves a high degree of risk. You should carefully consider the risks and uncertainties described in our Annual Report on Form 10</w:t>
        <w:noBreakHyphen/>
        <w:t>K for the year ended December 31, 2025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There have been no material changes to our risk factors as previously disclosed in Item 1A. contained in Part I of our Annual Report on Form 10-K for the year ended December 31, 2025.</w:t>
      </w:r>
    </w:p>
    <w:p>
      <w:pPr>
        <w:pStyle w:val="TextBody"/>
        <w:bidi w:val="0"/>
        <w:jc w:val="left"/>
        <w:rPr>
          <w:rFonts w:ascii="Times New Roman" w:hAnsi="Times New Roman"/>
          <w:b/>
          <w:color w:val="000000"/>
          <w:sz w:val="20"/>
        </w:rPr>
      </w:pPr>
      <w:bookmarkStart w:id="19" w:name="ii_item2"/>
      <w:bookmarkEnd w:id="19"/>
      <w:r>
        <w:rPr>
          <w:rFonts w:ascii="Times New Roman" w:hAnsi="Times New Roman"/>
          <w:b/>
          <w:color w:val="000000"/>
          <w:sz w:val="20"/>
        </w:rPr>
        <w:t>Item 2. Unregistered Sales of Equity Securities and Use of Proceeds.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rFonts w:ascii="Times New Roman" w:hAnsi="Times New Roman"/>
          <w:b/>
          <w:color w:val="000000"/>
          <w:sz w:val="20"/>
        </w:rPr>
      </w:pPr>
      <w:bookmarkStart w:id="20" w:name="ii_item3"/>
      <w:bookmarkEnd w:id="20"/>
      <w:r>
        <w:rPr>
          <w:rFonts w:ascii="Times New Roman" w:hAnsi="Times New Roman"/>
          <w:b/>
          <w:color w:val="000000"/>
          <w:sz w:val="20"/>
        </w:rPr>
        <w:t>Item 3. Defaults Upon Senior Securities.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rFonts w:ascii="Times New Roman" w:hAnsi="Times New Roman"/>
          <w:b/>
          <w:color w:val="000000"/>
          <w:sz w:val="20"/>
        </w:rPr>
      </w:pPr>
      <w:bookmarkStart w:id="21" w:name="ii_item4"/>
      <w:bookmarkEnd w:id="21"/>
      <w:r>
        <w:rPr>
          <w:rFonts w:ascii="Times New Roman" w:hAnsi="Times New Roman"/>
          <w:b/>
          <w:color w:val="000000"/>
          <w:sz w:val="20"/>
        </w:rPr>
        <w:t>Item 4. Mine Safety Disclosures.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rFonts w:ascii="Times New Roman" w:hAnsi="Times New Roman"/>
          <w:b/>
          <w:color w:val="000000"/>
          <w:sz w:val="20"/>
        </w:rPr>
      </w:pPr>
      <w:bookmarkStart w:id="22" w:name="ii_item5"/>
      <w:bookmarkEnd w:id="22"/>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During the three months ended March 31, 2026, none of our directors and officers (as defined in Rule 16a-1(f) under the Securities Exchange Act of 1934, as amended) adopted or terminated a "Rule 10b5-1 trading arrangement" or "non-Rule 10b5-1 trading arrangement" (as defined in Item 408 of Regulation S-K).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3" w:name="ii_item6"/>
      <w:bookmarkEnd w:id="23"/>
      <w:r>
        <w:rPr>
          <w:rFonts w:ascii="Times New Roman" w:hAnsi="Times New Roman"/>
          <w:b/>
          <w:color w:val="000000"/>
          <w:sz w:val="20"/>
        </w:rPr>
        <w:t>Item 6. Exhibits.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documents listed in the Exhibit Index of this Quarterly Report on Form 10-Q are herein incorporated by reference or are filed with this Quarterly Report on Form 10-Q, in each case as indicated therein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r>
      <w:tr>
        <w:trPr/>
        <w:tc>
          <w:tcPr>
            <w:tcW w:w="77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Xometry, Inc., (incorporated herein by reference to Exhibit 3.2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082" w:type="dxa"/>
        <w:jc w:val="left"/>
        <w:tblInd w:w="0" w:type="dxa"/>
        <w:tblLayout w:type="fixed"/>
        <w:tblCellMar>
          <w:top w:w="28" w:type="dxa"/>
          <w:left w:w="28" w:type="dxa"/>
          <w:bottom w:w="28" w:type="dxa"/>
          <w:right w:w="28" w:type="dxa"/>
        </w:tblCellMar>
      </w:tblPr>
      <w:tblGrid>
        <w:gridCol w:w="1636"/>
        <w:gridCol w:w="109"/>
        <w:gridCol w:w="40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XOMETRY,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bookmarkStart w:id="25" w:name="xmtr-ex31_1.htm"/>
      <w:bookmarkStart w:id="26" w:name="ksxmtr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Randolph Altschuler,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44" w:type="dxa"/>
        <w:jc w:val="left"/>
        <w:tblInd w:w="0" w:type="dxa"/>
        <w:tblLayout w:type="fixed"/>
        <w:tblCellMar>
          <w:top w:w="28" w:type="dxa"/>
          <w:left w:w="28" w:type="dxa"/>
          <w:bottom w:w="28" w:type="dxa"/>
          <w:right w:w="28" w:type="dxa"/>
        </w:tblCellMar>
      </w:tblPr>
      <w:tblGrid>
        <w:gridCol w:w="1636"/>
        <w:gridCol w:w="146"/>
        <w:gridCol w:w="40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xmtr-ex31_2.htm"/>
      <w:bookmarkStart w:id="28" w:name="ksxmtr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Miln,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636"/>
        <w:gridCol w:w="146"/>
        <w:gridCol w:w="40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xmtr-ex32_1.htm"/>
      <w:bookmarkStart w:id="30" w:name="ksxmtr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w:t>
      </w:r>
    </w:p>
    <w:p>
      <w:pPr>
        <w:pStyle w:val="TextBody"/>
        <w:bidi w:val="0"/>
        <w:jc w:val="left"/>
        <w:rPr>
          <w:rFonts w:ascii="Times New Roman" w:hAnsi="Times New Roman"/>
          <w:color w:val="000000"/>
          <w:sz w:val="20"/>
        </w:rPr>
      </w:pPr>
      <w:r>
        <w:rPr>
          <w:rFonts w:ascii="Times New Roman" w:hAnsi="Times New Roman"/>
          <w:color w:val="000000"/>
          <w:sz w:val="20"/>
        </w:rPr>
        <w:t>operations of the Company.</w:t>
      </w:r>
    </w:p>
    <w:p>
      <w:pPr>
        <w:pStyle w:val="TextBody"/>
        <w:bidi w:val="0"/>
        <w:jc w:val="left"/>
        <w:rPr/>
      </w:pPr>
      <w:r>
        <w:rPr/>
        <w:t> </w:t>
      </w:r>
    </w:p>
    <w:tbl>
      <w:tblPr>
        <w:tblW w:w="5444" w:type="dxa"/>
        <w:jc w:val="left"/>
        <w:tblInd w:w="0" w:type="dxa"/>
        <w:tblLayout w:type="fixed"/>
        <w:tblCellMar>
          <w:top w:w="28" w:type="dxa"/>
          <w:left w:w="28" w:type="dxa"/>
          <w:bottom w:w="28" w:type="dxa"/>
          <w:right w:w="28" w:type="dxa"/>
        </w:tblCellMar>
      </w:tblPr>
      <w:tblGrid>
        <w:gridCol w:w="1636"/>
        <w:gridCol w:w="146"/>
        <w:gridCol w:w="40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xmtr-ex32_2.htm"/>
      <w:bookmarkStart w:id="32" w:name="ksxmtr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636"/>
        <w:gridCol w:w="146"/>
        <w:gridCol w:w="40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0001657573/000119312521207643/d184650dex31.htm" TargetMode="External"/><Relationship Id="rId6" Type="http://schemas.openxmlformats.org/officeDocument/2006/relationships/hyperlink" Target="https://www.sec.gov/Archives/edgar/data/0001657573/000119312521207643/d184650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23267</Words>
  <Characters>127184</Characters>
  <CharactersWithSpaces>151473</CharactersWithSpaces>
  <Paragraphs>5534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