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26,672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201,154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January 1, 2025 and the remainder of the shares underlying the RSUs vest quarterly for the 3 years thereafter, subject to the Reporting Person's continuous service.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2024-03-18T18:36:38Z</dcterms:created>
  <dcterms:modified xsi:type="dcterms:W3CDTF">2024-03-18T18:36:38Z</dcterms:modified>
</cp:coreProperties>
</file>