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Xometry,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98423F109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8"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98423F109</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Randolph Altschuler</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1,765,005 shares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1,646,666 shares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1,765,005 shares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500,000 shares</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3,411,671 shares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7.84%</w:t>
            </w:r>
            <w:r>
              <w:rPr>
                <w:rFonts w:ascii="Arial" w:cs="Arial" w:eastAsia="Arial" w:hAnsi="Arial"/>
                <w:sz w:val="15"/>
                <w:szCs w:val="15"/>
                <w:color w:val="auto"/>
              </w:rPr>
              <w:t>(4)</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424" w:hanging="424"/>
        <w:spacing w:after="0" w:line="28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1,475,311 shares of Class B Common Stock of the Issuer that are held by Mr. Altschuler, which shares are convertible at any time into Class A Common Stock on a one-to-one basis, and 289,694 shares of Class A Common Stock underlying outstanding options held by</w:t>
      </w:r>
    </w:p>
    <w:p>
      <w:pPr>
        <w:spacing w:after="0" w:line="1"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Mr. Altschuler that are vested or will vest prior to March 1, 2022.</w:t>
      </w:r>
    </w:p>
    <w:p>
      <w:pPr>
        <w:spacing w:after="0" w:line="9" w:lineRule="exact"/>
        <w:rPr>
          <w:rFonts w:ascii="Arial" w:cs="Arial" w:eastAsia="Arial" w:hAnsi="Arial"/>
          <w:sz w:val="16"/>
          <w:szCs w:val="16"/>
          <w:color w:val="auto"/>
        </w:rPr>
      </w:pPr>
    </w:p>
    <w:p>
      <w:pPr>
        <w:ind w:left="424" w:right="18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105,000 shares of Class A Common Stock held by the 2021 Tigers Trust; (ii) 347,222 shares of Class A Common Stock held by the Matthew Sladkin Altschuler 2012 Trust; (iii) 347,222 shares of Class A Common Stock held by the Noah Sladkin Altschuler 2012 Trust; (iv) 347,222 shares of Class A Common Stock held by the Sasha Sladkin Altschuler 2012 Trust; and (v) 500,000 shares of Class A Common Stock held by The Altschuler Family Trust (2020).</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500,000 shares of Class A Common Stock held by The Altschuler Family Trust (2020).</w:t>
      </w:r>
    </w:p>
    <w:p>
      <w:pPr>
        <w:spacing w:after="0" w:line="9" w:lineRule="exact"/>
        <w:rPr>
          <w:rFonts w:ascii="Arial" w:cs="Arial" w:eastAsia="Arial" w:hAnsi="Arial"/>
          <w:sz w:val="18"/>
          <w:szCs w:val="18"/>
          <w:color w:val="auto"/>
        </w:rPr>
      </w:pPr>
    </w:p>
    <w:p>
      <w:pPr>
        <w:ind w:left="424" w:right="40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by the Issuer in its Form 10-Q for the quarter ended September 30, 2021, filed with the United States Securities and Exchange Commission on November 10, 2021 (the “Form 10-Q”).</w:t>
      </w:r>
    </w:p>
    <w:p>
      <w:pPr>
        <w:sectPr>
          <w:pgSz w:w="11900" w:h="16838" w:orient="portrait"/>
          <w:cols w:equalWidth="0" w:num="1">
            <w:col w:w="10944"/>
          </w:cols>
          <w:pgMar w:left="436" w:top="274" w:right="5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of Issuer: Xometry,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-201295</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240"/>
            <w:col w:w="9360"/>
          </w:cols>
          <w:pgMar w:left="440" w:top="270" w:right="111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 7529 Standish Place, Suite 200, Derwood, MD 20855</w:t>
      </w:r>
    </w:p>
    <w:p>
      <w:pPr>
        <w:spacing w:after="0" w:line="207" w:lineRule="exact"/>
        <w:rPr>
          <w:sz w:val="20"/>
          <w:szCs w:val="20"/>
          <w:color w:val="auto"/>
        </w:rPr>
      </w:pPr>
    </w:p>
    <w:p>
      <w:pPr>
        <w:sectPr>
          <w:pgSz w:w="11900" w:h="16838" w:orient="portrait"/>
          <w:cols w:equalWidth="0" w:num="2">
            <w:col w:w="760" w:space="220"/>
            <w:col w:w="9360"/>
          </w:cols>
          <w:pgMar w:left="440" w:top="270" w:right="111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Name of Person Filing: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Randolph Altschuler</w:t>
      </w:r>
    </w:p>
    <w:p>
      <w:pPr>
        <w:spacing w:after="0" w:line="200" w:lineRule="exact"/>
        <w:rPr>
          <w:sz w:val="20"/>
          <w:szCs w:val="20"/>
          <w:color w:val="auto"/>
        </w:rPr>
      </w:pPr>
    </w:p>
    <w:p>
      <w:pPr>
        <w:sectPr>
          <w:pgSz w:w="11900" w:h="16838" w:orient="portrait"/>
          <w:cols w:equalWidth="0" w:num="2">
            <w:col w:w="740" w:space="240"/>
            <w:col w:w="9360"/>
          </w:cols>
          <w:pgMar w:left="440" w:top="270" w:right="111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 The address and principal business office of the Reporting Person 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 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200" w:lineRule="exact"/>
        <w:rPr>
          <w:sz w:val="20"/>
          <w:szCs w:val="20"/>
          <w:color w:val="auto"/>
        </w:rPr>
      </w:pPr>
    </w:p>
    <w:p>
      <w:pPr>
        <w:sectPr>
          <w:pgSz w:w="11900" w:h="16838" w:orient="portrait"/>
          <w:cols w:equalWidth="0" w:num="2">
            <w:col w:w="760" w:space="220"/>
            <w:col w:w="9360"/>
          </w:cols>
          <w:pgMar w:left="440" w:top="270" w:right="111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Citizenship: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U.S. citizen</w:t>
      </w:r>
    </w:p>
    <w:p>
      <w:pPr>
        <w:spacing w:after="0" w:line="200" w:lineRule="exact"/>
        <w:rPr>
          <w:sz w:val="20"/>
          <w:szCs w:val="20"/>
          <w:color w:val="auto"/>
        </w:rPr>
      </w:pPr>
    </w:p>
    <w:p>
      <w:pPr>
        <w:sectPr>
          <w:pgSz w:w="11900" w:h="16838" w:orient="portrait"/>
          <w:cols w:equalWidth="0" w:num="2">
            <w:col w:w="740" w:space="240"/>
            <w:col w:w="9360"/>
          </w:cols>
          <w:pgMar w:left="440" w:top="270" w:right="11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 Class A Common Stock</w:t>
      </w:r>
    </w:p>
    <w:p>
      <w:pPr>
        <w:spacing w:after="0" w:line="207" w:lineRule="exact"/>
        <w:rPr>
          <w:sz w:val="20"/>
          <w:szCs w:val="20"/>
          <w:color w:val="auto"/>
        </w:rPr>
      </w:pPr>
    </w:p>
    <w:p>
      <w:pPr>
        <w:sectPr>
          <w:pgSz w:w="11900" w:h="16838" w:orient="portrait"/>
          <w:cols w:equalWidth="0" w:num="2">
            <w:col w:w="760" w:space="220"/>
            <w:col w:w="9360"/>
          </w:cols>
          <w:pgMar w:left="440" w:top="270" w:right="111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CUSIP Number: 98423F109</w:t>
      </w:r>
    </w:p>
    <w:p>
      <w:pPr>
        <w:spacing w:after="0" w:line="200" w:lineRule="exact"/>
        <w:rPr>
          <w:sz w:val="20"/>
          <w:szCs w:val="20"/>
          <w:color w:val="auto"/>
        </w:rPr>
      </w:pPr>
    </w:p>
    <w:p>
      <w:pPr>
        <w:sectPr>
          <w:pgSz w:w="11900" w:h="16838" w:orient="portrait"/>
          <w:cols w:equalWidth="0" w:num="2">
            <w:col w:w="740" w:space="240"/>
            <w:col w:w="9360"/>
          </w:cols>
          <w:pgMar w:left="440" w:top="270" w:right="111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7" w:lineRule="exact"/>
        <w:rPr>
          <w:sz w:val="20"/>
          <w:szCs w:val="20"/>
          <w:color w:val="auto"/>
        </w:rPr>
      </w:pPr>
    </w:p>
    <w:p>
      <w:pPr>
        <w:sectPr>
          <w:pgSz w:w="11900" w:h="16838" w:orient="portrait"/>
          <w:cols w:equalWidth="0" w:num="2">
            <w:col w:w="540" w:space="440"/>
            <w:col w:w="9360"/>
          </w:cols>
          <w:pgMar w:left="440" w:top="270" w:right="1119" w:bottom="1440" w:gutter="0" w:footer="0" w:header="0"/>
          <w:type w:val="continuous"/>
        </w:sectPr>
      </w:pPr>
    </w:p>
    <w:p>
      <w:pPr>
        <w:spacing w:after="0" w:line="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color w:val="auto"/>
        </w:rPr>
        <w:t>Ownership</w:t>
      </w:r>
    </w:p>
    <w:p>
      <w:pPr>
        <w:sectPr>
          <w:pgSz w:w="11900" w:h="16838" w:orient="portrait"/>
          <w:cols w:equalWidth="0" w:num="1">
            <w:col w:w="10340"/>
          </w:cols>
          <w:pgMar w:left="440" w:top="270" w:right="111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7" w:lineRule="exact"/>
        <w:rPr>
          <w:sz w:val="20"/>
          <w:szCs w:val="20"/>
          <w:color w:val="auto"/>
        </w:rPr>
      </w:pPr>
    </w:p>
    <w:p>
      <w:pPr>
        <w:ind w:left="420" w:right="2340"/>
        <w:spacing w:after="0" w:line="39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Amount Beneficially Owned:</w:t>
      </w:r>
      <w:r>
        <w:rPr>
          <w:rFonts w:ascii="Arial" w:cs="Arial" w:eastAsia="Arial" w:hAnsi="Arial"/>
          <w:sz w:val="18"/>
          <w:szCs w:val="18"/>
          <w:b w:val="1"/>
          <w:bCs w:val="1"/>
          <w:color w:val="auto"/>
        </w:rPr>
        <w:t xml:space="preserve"> See Row 9 of cover page for the Reporting Person. (b) </w:t>
      </w:r>
      <w:r>
        <w:rPr>
          <w:rFonts w:ascii="Arial" w:cs="Arial" w:eastAsia="Arial" w:hAnsi="Arial"/>
          <w:sz w:val="18"/>
          <w:szCs w:val="18"/>
          <w:color w:val="auto"/>
        </w:rPr>
        <w:t>Percent of Class:</w:t>
      </w:r>
      <w:r>
        <w:rPr>
          <w:rFonts w:ascii="Arial" w:cs="Arial" w:eastAsia="Arial" w:hAnsi="Arial"/>
          <w:sz w:val="18"/>
          <w:szCs w:val="18"/>
          <w:b w:val="1"/>
          <w:bCs w:val="1"/>
          <w:color w:val="auto"/>
        </w:rPr>
        <w:t xml:space="preserve"> See Row 11 of cover page for the Reporting Person. (c) </w:t>
      </w:r>
      <w:r>
        <w:rPr>
          <w:rFonts w:ascii="Arial" w:cs="Arial" w:eastAsia="Arial" w:hAnsi="Arial"/>
          <w:sz w:val="18"/>
          <w:szCs w:val="18"/>
          <w:color w:val="auto"/>
        </w:rPr>
        <w:t>Number of shares as to which the person has:</w:t>
      </w:r>
    </w:p>
    <w:p>
      <w:pPr>
        <w:spacing w:after="0" w:line="5" w:lineRule="exact"/>
        <w:rPr>
          <w:sz w:val="20"/>
          <w:szCs w:val="20"/>
          <w:color w:val="auto"/>
        </w:rPr>
      </w:pPr>
    </w:p>
    <w:p>
      <w:pPr>
        <w:ind w:left="1960" w:hanging="533"/>
        <w:spacing w:after="0"/>
        <w:tabs>
          <w:tab w:leader="none" w:pos="19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Sole power to vote or to direct the vote: See Row 5 of cover page for the Reporting Person.</w:t>
      </w:r>
    </w:p>
    <w:p>
      <w:pPr>
        <w:spacing w:after="0" w:line="126" w:lineRule="exact"/>
        <w:rPr>
          <w:rFonts w:ascii="Arial" w:cs="Arial" w:eastAsia="Arial" w:hAnsi="Arial"/>
          <w:sz w:val="18"/>
          <w:szCs w:val="18"/>
          <w:b w:val="1"/>
          <w:bCs w:val="1"/>
          <w:color w:val="auto"/>
        </w:rPr>
      </w:pPr>
    </w:p>
    <w:p>
      <w:pPr>
        <w:ind w:left="1960" w:hanging="533"/>
        <w:spacing w:after="0"/>
        <w:tabs>
          <w:tab w:leader="none" w:pos="19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See Row 6 of cover page for the Reporting Person.</w:t>
      </w:r>
    </w:p>
    <w:p>
      <w:pPr>
        <w:spacing w:after="0" w:line="130" w:lineRule="exact"/>
        <w:rPr>
          <w:rFonts w:ascii="Arial" w:cs="Arial" w:eastAsia="Arial" w:hAnsi="Arial"/>
          <w:sz w:val="18"/>
          <w:szCs w:val="18"/>
          <w:b w:val="1"/>
          <w:bCs w:val="1"/>
          <w:color w:val="auto"/>
        </w:rPr>
      </w:pPr>
    </w:p>
    <w:p>
      <w:pPr>
        <w:ind w:left="1960" w:hanging="533"/>
        <w:spacing w:after="0"/>
        <w:tabs>
          <w:tab w:leader="none" w:pos="19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 xml:space="preserve">Sole power to dispose or to direct the disposition of: </w:t>
      </w:r>
      <w:r>
        <w:rPr>
          <w:rFonts w:ascii="Arial" w:cs="Arial" w:eastAsia="Arial" w:hAnsi="Arial"/>
          <w:sz w:val="17"/>
          <w:szCs w:val="17"/>
          <w:b w:val="1"/>
          <w:bCs w:val="1"/>
          <w:color w:val="auto"/>
        </w:rPr>
        <w:t>See Row 7 of cover page for the Reporting Person.</w:t>
      </w:r>
    </w:p>
    <w:p>
      <w:pPr>
        <w:spacing w:after="0" w:line="142" w:lineRule="exact"/>
        <w:rPr>
          <w:rFonts w:ascii="Arial" w:cs="Arial" w:eastAsia="Arial" w:hAnsi="Arial"/>
          <w:sz w:val="17"/>
          <w:szCs w:val="17"/>
          <w:b w:val="1"/>
          <w:bCs w:val="1"/>
          <w:color w:val="auto"/>
        </w:rPr>
      </w:pPr>
    </w:p>
    <w:p>
      <w:pPr>
        <w:ind w:left="1960" w:hanging="533"/>
        <w:spacing w:after="0"/>
        <w:tabs>
          <w:tab w:leader="none" w:pos="19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 xml:space="preserve">Shared power to dispose or to direct the disposition of: </w:t>
      </w:r>
      <w:r>
        <w:rPr>
          <w:rFonts w:ascii="Arial" w:cs="Arial" w:eastAsia="Arial" w:hAnsi="Arial"/>
          <w:sz w:val="17"/>
          <w:szCs w:val="17"/>
          <w:b w:val="1"/>
          <w:bCs w:val="1"/>
          <w:color w:val="auto"/>
        </w:rPr>
        <w:t>See Row 8 of cover page for the Reporting Person.</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40"/>
          </w:cols>
          <w:pgMar w:left="440" w:top="270" w:right="1119" w:bottom="1440" w:gutter="0" w:footer="0" w:header="0"/>
          <w:type w:val="continuous"/>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Randolph Altschuler</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2022-02-14T16:54:29Z</dcterms:created>
  <dcterms:modified xsi:type="dcterms:W3CDTF">2022-02-14T16:54:29Z</dcterms:modified>
</cp:coreProperties>
</file>