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033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3313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27"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Driscoll Craig</w:t>
              </w:r>
            </w:hyperlink>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Xometry,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XMTR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5"/>
                <w:szCs w:val="15"/>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7529 STANDISH PLACE</w:t>
            </w:r>
          </w:p>
        </w:tc>
        <w:tc>
          <w:tcPr>
            <w:tcW w:w="1340" w:type="dxa"/>
            <w:vAlign w:val="bottom"/>
          </w:tcPr>
          <w:p>
            <w:pPr>
              <w:spacing w:after="0"/>
              <w:rPr>
                <w:sz w:val="19"/>
                <w:szCs w:val="19"/>
                <w:color w:val="auto"/>
              </w:rPr>
            </w:pPr>
          </w:p>
        </w:tc>
        <w:tc>
          <w:tcPr>
            <w:tcW w:w="13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06/01/2022</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200</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DERWOOD</w:t>
            </w:r>
          </w:p>
        </w:tc>
        <w:tc>
          <w:tcPr>
            <w:tcW w:w="1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20855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gridSpan w:val="8"/>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240"/>
              <w:spacing w:after="0" w:line="146"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5"/>
          </w:tcPr>
          <w:p>
            <w:pPr>
              <w:jc w:val="center"/>
              <w:ind w:left="5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5"/>
            <w:vMerge w:val="restart"/>
          </w:tcPr>
          <w:p>
            <w:pPr>
              <w:jc w:val="center"/>
              <w:ind w:left="546"/>
              <w:spacing w:after="0"/>
              <w:rPr>
                <w:sz w:val="20"/>
                <w:szCs w:val="20"/>
                <w:color w:val="auto"/>
              </w:rPr>
            </w:pPr>
            <w:r>
              <w:rPr>
                <w:rFonts w:ascii="Times New Roman" w:cs="Times New Roman" w:eastAsia="Times New Roman" w:hAnsi="Times New Roman"/>
                <w:sz w:val="17"/>
                <w:szCs w:val="17"/>
                <w:color w:val="0000FF"/>
              </w:rPr>
              <w:t>06/01/2022</w:t>
            </w: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vMerge w:val="restart"/>
          </w:tcPr>
          <w:p>
            <w:pPr>
              <w:jc w:val="center"/>
              <w:ind w:right="302"/>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120,784</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360,644</w:t>
            </w:r>
          </w:p>
        </w:tc>
        <w:tc>
          <w:tcPr>
            <w:tcW w:w="300" w:type="dxa"/>
            <w:vAlign w:val="bottom"/>
          </w:tcPr>
          <w:p>
            <w:pPr>
              <w:spacing w:after="0"/>
              <w:rPr>
                <w:sz w:val="21"/>
                <w:szCs w:val="21"/>
                <w:color w:val="auto"/>
              </w:rPr>
            </w:pPr>
          </w:p>
        </w:tc>
        <w:tc>
          <w:tcPr>
            <w:tcW w:w="5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5"/>
            <w:vMerge w:val="restart"/>
          </w:tcPr>
          <w:p>
            <w:pPr>
              <w:jc w:val="center"/>
              <w:ind w:left="546"/>
              <w:spacing w:after="0"/>
              <w:rPr>
                <w:sz w:val="20"/>
                <w:szCs w:val="20"/>
                <w:color w:val="auto"/>
              </w:rPr>
            </w:pPr>
            <w:r>
              <w:rPr>
                <w:rFonts w:ascii="Times New Roman" w:cs="Times New Roman" w:eastAsia="Times New Roman" w:hAnsi="Times New Roman"/>
                <w:sz w:val="17"/>
                <w:szCs w:val="17"/>
                <w:color w:val="0000FF"/>
              </w:rPr>
              <w:t>06/01/2022</w:t>
            </w: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vMerge w:val="restart"/>
          </w:tcPr>
          <w:p>
            <w:pPr>
              <w:jc w:val="center"/>
              <w:ind w:right="302"/>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3,624</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3,624</w:t>
            </w:r>
          </w:p>
        </w:tc>
        <w:tc>
          <w:tcPr>
            <w:tcW w:w="300" w:type="dxa"/>
            <w:vAlign w:val="bottom"/>
          </w:tcPr>
          <w:p>
            <w:pPr>
              <w:spacing w:after="0"/>
              <w:rPr>
                <w:sz w:val="21"/>
                <w:szCs w:val="21"/>
                <w:color w:val="auto"/>
              </w:rPr>
            </w:pPr>
          </w:p>
        </w:tc>
        <w:tc>
          <w:tcPr>
            <w:tcW w:w="5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5"/>
            <w:vMerge w:val="restart"/>
          </w:tcPr>
          <w:p>
            <w:pPr>
              <w:jc w:val="center"/>
              <w:ind w:left="546"/>
              <w:spacing w:after="0"/>
              <w:rPr>
                <w:sz w:val="20"/>
                <w:szCs w:val="20"/>
                <w:color w:val="auto"/>
              </w:rPr>
            </w:pPr>
            <w:r>
              <w:rPr>
                <w:rFonts w:ascii="Times New Roman" w:cs="Times New Roman" w:eastAsia="Times New Roman" w:hAnsi="Times New Roman"/>
                <w:sz w:val="17"/>
                <w:szCs w:val="17"/>
                <w:color w:val="0000FF"/>
              </w:rPr>
              <w:t>06/01/2022</w:t>
            </w: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vMerge w:val="restart"/>
          </w:tcPr>
          <w:p>
            <w:pPr>
              <w:jc w:val="center"/>
              <w:ind w:right="302"/>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(5)</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3,624</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700" w:type="dxa"/>
            <w:vAlign w:val="bottom"/>
            <w:gridSpan w:val="2"/>
            <w:vMerge w:val="restart"/>
          </w:tcPr>
          <w:p>
            <w:pPr>
              <w:jc w:val="center"/>
              <w:ind w:left="543"/>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top w:val="single" w:sz="8" w:color="2C2C2C"/>
              <w:bottom w:val="single" w:sz="8" w:color="2C2C2C"/>
            </w:tcBorders>
            <w:gridSpan w:val="5"/>
          </w:tcPr>
          <w:p>
            <w:pPr>
              <w:jc w:val="center"/>
              <w:ind w:left="546"/>
              <w:spacing w:after="0"/>
              <w:rPr>
                <w:sz w:val="20"/>
                <w:szCs w:val="20"/>
                <w:color w:val="auto"/>
              </w:rPr>
            </w:pPr>
            <w:r>
              <w:rPr>
                <w:rFonts w:ascii="Times New Roman" w:cs="Times New Roman" w:eastAsia="Times New Roman" w:hAnsi="Times New Roman"/>
                <w:sz w:val="17"/>
                <w:szCs w:val="17"/>
                <w:color w:val="0000FF"/>
              </w:rPr>
              <w:t>06/01/2022</w:t>
            </w:r>
          </w:p>
        </w:tc>
        <w:tc>
          <w:tcPr>
            <w:tcW w:w="42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(6)</w:t>
            </w:r>
          </w:p>
        </w:tc>
        <w:tc>
          <w:tcPr>
            <w:tcW w:w="76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162</w:t>
            </w:r>
          </w:p>
        </w:tc>
        <w:tc>
          <w:tcPr>
            <w:tcW w:w="440" w:type="dxa"/>
            <w:vAlign w:val="bottom"/>
            <w:tcBorders>
              <w:top w:val="single" w:sz="8" w:color="2C2C2C"/>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top w:val="single" w:sz="8" w:color="2C2C2C"/>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162</w:t>
            </w:r>
          </w:p>
        </w:tc>
        <w:tc>
          <w:tcPr>
            <w:tcW w:w="3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5"/>
          </w:tcPr>
          <w:p>
            <w:pPr>
              <w:jc w:val="center"/>
              <w:ind w:left="546"/>
              <w:spacing w:after="0"/>
              <w:rPr>
                <w:sz w:val="20"/>
                <w:szCs w:val="20"/>
                <w:color w:val="auto"/>
              </w:rPr>
            </w:pPr>
            <w:r>
              <w:rPr>
                <w:rFonts w:ascii="Times New Roman" w:cs="Times New Roman" w:eastAsia="Times New Roman" w:hAnsi="Times New Roman"/>
                <w:sz w:val="17"/>
                <w:szCs w:val="17"/>
                <w:color w:val="0000FF"/>
              </w:rPr>
              <w:t>06/01/2022</w:t>
            </w: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(7)</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509</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671</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7"/>
          </w:tcPr>
          <w:p>
            <w:pPr>
              <w:jc w:val="center"/>
              <w:ind w:righ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right="302"/>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Highland Leaders Fund I, L.P. ("HLF I") to its partners.</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HLF I. The general partner of HLF I is Highland Leaders Fund I GP, L.P. ("HLF I GP LP"), whose general partner is Highland Leaders Fund I GP, LLC ("HLF I GP LLC"). The Reporting Person is a managing member of HLF I GP LLC and may be deemed to have voting and dispositive power over the shares held by HLF I. The Reporting Person disclaims beneficial ownership of the securities reported herein, except to the extent of the Reporting Person's pecuniary interest therein, and the filing of this statement shall not be deemed to be an admission that, for purposes of Section 16 of the Securities Exchange Act of 1934 or otherwise, the Reporting Person is the beneficial owner of any securities reported herein.</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HLF I GP LP by virtue of the receipt of shares in the pro-rata in-kind distribution of Class A Common Stock of the Issuer for no consideration by HLF</w:t>
      </w:r>
    </w:p>
    <w:p>
      <w:pPr>
        <w:spacing w:after="0" w:line="11" w:lineRule="exact"/>
        <w:rPr>
          <w:rFonts w:ascii="Times New Roman" w:cs="Times New Roman" w:eastAsia="Times New Roman" w:hAnsi="Times New Roman"/>
          <w:sz w:val="13"/>
          <w:szCs w:val="13"/>
          <w:color w:val="008000"/>
        </w:rPr>
      </w:pPr>
    </w:p>
    <w:p>
      <w:pPr>
        <w:ind w:left="40"/>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w:t>
      </w:r>
    </w:p>
    <w:p>
      <w:pPr>
        <w:spacing w:after="0" w:line="36" w:lineRule="exact"/>
        <w:rPr>
          <w:rFonts w:ascii="Times New Roman" w:cs="Times New Roman" w:eastAsia="Times New Roman" w:hAnsi="Times New Roman"/>
          <w:sz w:val="13"/>
          <w:szCs w:val="13"/>
          <w:color w:val="008000"/>
        </w:rPr>
      </w:pPr>
    </w:p>
    <w:p>
      <w:pPr>
        <w:ind w:left="40" w:right="2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HLF I GP LP. The general partner of HLF I GP LP is HLF I GP LLC. The Reporting Person is a managing member of HLF I GP LLC and may be deemed to have voting and dispositive power over the shares held by HLF I GP LP. The Reporting Person disclaims beneficial ownership of the securities reported herein, except to the extent of the Reporting Person's pecuniary interest therein, and the filing of this statement shall not be deemed to be an admission that, for purposes of Section 16 of the Securities Exchange Act of 1934 or otherwise, the Reporting Person is the beneficial owner of any securities reported herein.</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HLF I GP LP to its partners.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the Reporting Person by virtue of receipt of shares as a result of a pro-rata in-kind distribution by HLF I GP LP.</w:t>
      </w:r>
    </w:p>
    <w:p>
      <w:pPr>
        <w:spacing w:after="0" w:line="50"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the Reporting Person by virtue of receipt of shares as a result of a pro-rata in-kind distribution by Highland Management Partners 9 Limited Partnership ("HMP 9 LP"). The Reporting Person is a limited partner of HMP 9 LP but does not share voting, investment or dispositive power with respect to securities held by HMP 9 LP or the investment funds for which HMP 9 LP serves as general partner.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Craig Driscoll</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06/02/2022</w:t>
            </w: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2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9943"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2022-06-02T17:22:01Z</dcterms:created>
  <dcterms:modified xsi:type="dcterms:W3CDTF">2022-06-02T17:22:01Z</dcterms:modified>
</cp:coreProperties>
</file>