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Xometry,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98423F109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3"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13d-1(d)</w:t>
      </w:r>
    </w:p>
    <w:p>
      <w:pPr>
        <w:spacing w:after="0" w:line="280"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98423F109</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Names of Reporting Person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Randolph Altschuler</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5"/>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820" w:type="dxa"/>
            <w:vAlign w:val="bottom"/>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68"/>
        </w:trPr>
        <w:tc>
          <w:tcPr>
            <w:tcW w:w="12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1,899,606 shares</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18"/>
        </w:trPr>
        <w:tc>
          <w:tcPr>
            <w:tcW w:w="400" w:type="dxa"/>
            <w:vAlign w:val="bottom"/>
            <w:tcBorders>
              <w:left w:val="single" w:sz="8" w:color="auto"/>
            </w:tcBorders>
          </w:tcPr>
          <w:p>
            <w:pPr>
              <w:spacing w:after="0"/>
              <w:rPr>
                <w:sz w:val="18"/>
                <w:szCs w:val="18"/>
                <w:color w:val="auto"/>
              </w:rPr>
            </w:pPr>
          </w:p>
        </w:tc>
        <w:tc>
          <w:tcPr>
            <w:tcW w:w="8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9"/>
              </w:rPr>
              <w:t>Shares</w:t>
            </w:r>
          </w:p>
        </w:tc>
        <w:tc>
          <w:tcPr>
            <w:tcW w:w="60" w:type="dxa"/>
            <w:vAlign w:val="bottom"/>
          </w:tcPr>
          <w:p>
            <w:pPr>
              <w:spacing w:after="0"/>
              <w:rPr>
                <w:sz w:val="18"/>
                <w:szCs w:val="18"/>
                <w:color w:val="auto"/>
              </w:rPr>
            </w:pPr>
          </w:p>
        </w:tc>
        <w:tc>
          <w:tcPr>
            <w:tcW w:w="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Beneficially</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2,205,699 shares</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34"/>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right w:val="single" w:sz="8" w:color="auto"/>
            </w:tcBorders>
          </w:tcPr>
          <w:p>
            <w:pPr>
              <w:jc w:val="center"/>
              <w:ind w:right="27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0" w:type="dxa"/>
            <w:vAlign w:val="bottom"/>
          </w:tcPr>
          <w:p>
            <w:pPr>
              <w:spacing w:after="0"/>
              <w:rPr>
                <w:sz w:val="15"/>
                <w:szCs w:val="15"/>
                <w:color w:val="auto"/>
              </w:rPr>
            </w:pPr>
          </w:p>
        </w:tc>
        <w:tc>
          <w:tcPr>
            <w:tcW w:w="260" w:type="dxa"/>
            <w:vAlign w:val="bottom"/>
            <w:tcBorders>
              <w:right w:val="single" w:sz="8" w:color="auto"/>
            </w:tcBorders>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5"/>
                <w:szCs w:val="15"/>
                <w:color w:val="auto"/>
              </w:rPr>
            </w:pPr>
          </w:p>
        </w:tc>
        <w:tc>
          <w:tcPr>
            <w:tcW w:w="920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Reporting</w:t>
            </w:r>
          </w:p>
        </w:tc>
        <w:tc>
          <w:tcPr>
            <w:tcW w:w="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 w:type="dxa"/>
            <w:vAlign w:val="bottom"/>
            <w:tcBorders>
              <w:left w:val="single" w:sz="8" w:color="auto"/>
            </w:tcBorders>
          </w:tcPr>
          <w:p>
            <w:pPr>
              <w:spacing w:after="0"/>
              <w:rPr>
                <w:sz w:val="19"/>
                <w:szCs w:val="19"/>
                <w:color w:val="auto"/>
              </w:rPr>
            </w:pPr>
          </w:p>
        </w:tc>
        <w:tc>
          <w:tcPr>
            <w:tcW w:w="840" w:type="dxa"/>
            <w:vAlign w:val="bottom"/>
            <w:tcBorders>
              <w:right w:val="single" w:sz="8" w:color="auto"/>
            </w:tcBorders>
            <w:gridSpan w:val="2"/>
          </w:tcPr>
          <w:p>
            <w:pPr>
              <w:jc w:val="center"/>
              <w:ind w:right="190"/>
              <w:spacing w:after="0"/>
              <w:rPr>
                <w:sz w:val="20"/>
                <w:szCs w:val="20"/>
                <w:color w:val="auto"/>
              </w:rPr>
            </w:pPr>
            <w:r>
              <w:rPr>
                <w:rFonts w:ascii="Times New Roman" w:cs="Times New Roman" w:eastAsia="Times New Roman" w:hAnsi="Times New Roman"/>
                <w:sz w:val="18"/>
                <w:szCs w:val="18"/>
                <w:color w:val="auto"/>
                <w:w w:val="97"/>
              </w:rPr>
              <w:t>Person</w:t>
            </w:r>
          </w:p>
        </w:tc>
        <w:tc>
          <w:tcPr>
            <w:tcW w:w="6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1,899,606 shares</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7"/>
              </w:rPr>
              <w:t>With:</w:t>
            </w: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right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2"/>
                <w:szCs w:val="12"/>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Borders>
              <w:right w:val="single" w:sz="8" w:color="auto"/>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92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1,130,518 shares</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right w:val="single" w:sz="8" w:color="auto"/>
            </w:tcBorders>
          </w:tcPr>
          <w:p>
            <w:pPr>
              <w:spacing w:after="0"/>
              <w:rPr>
                <w:sz w:val="19"/>
                <w:szCs w:val="19"/>
                <w:color w:val="auto"/>
              </w:rPr>
            </w:pPr>
          </w:p>
        </w:tc>
        <w:tc>
          <w:tcPr>
            <w:tcW w:w="1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4,105,305 shares</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54"/>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2"/>
              </w:rPr>
              <w:t>8.81%</w:t>
            </w:r>
            <w:r>
              <w:rPr>
                <w:rFonts w:ascii="Times New Roman" w:cs="Times New Roman" w:eastAsia="Times New Roman" w:hAnsi="Times New Roman"/>
                <w:sz w:val="26"/>
                <w:szCs w:val="26"/>
                <w:color w:val="auto"/>
                <w:w w:val="92"/>
                <w:vertAlign w:val="superscript"/>
              </w:rPr>
              <w:t>(5)</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4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0" w:hanging="424"/>
        <w:spacing w:after="0" w:line="254"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52,556 shares of Class A Common Stock held by Mr. Altschuler; (ii) 1,475,311 shares of Class B Common Stock held by Mr. Altschuler, which shares are convertible at any time into Class A Common Stock on a one-to-one basis; (iii) 359,859 shares of Class A Common Stock underlying outstanding options held by Mr. Altschuler that are exercisable within 60 days of December 31, 2022; and (iv) 11,880 shares of Class A Common Stock underlying outstanding restricted stock units (“RSUs”) held by Mr. Altschuler that are issuable upon the vesting of such RSUs within 60 days of December 31, 2022.</w:t>
      </w:r>
    </w:p>
    <w:p>
      <w:pPr>
        <w:spacing w:after="0" w:line="3"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89,582 shares of Class A Common Stock held by the 2021 Tigers Trust; (ii) 328,533 shares of Class A Common Stock held by the Matthew Sladkin Altschuler 2012 Trust; (iii) 328,533 shares of Class A Common Stock held by the Noah Sladkin Altschuler 2012 Trust; (iv) 328,533 shares of Class A Common Stock held by the Sasha Sladkin Altschuler 2012 Trust; (v) 479,248 shares of Class A Common Stock held by The Altschuler Family Trust (2020); and (vi) 651,270 shares of Class A Common Stock held by Mr. Altschuler’s spouse.</w:t>
      </w:r>
    </w:p>
    <w:p>
      <w:pPr>
        <w:spacing w:after="0" w:line="1"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479,248 shares of Class A Common Stock held by The Altschuler Family Trust (2020); and (ii) 651,270 shares of Class A Common Stock held by Mr. Altschuler’s spouse.</w:t>
      </w:r>
    </w:p>
    <w:p>
      <w:pPr>
        <w:ind w:left="424" w:right="20" w:hanging="424"/>
        <w:spacing w:after="0" w:line="265" w:lineRule="auto"/>
        <w:tabs>
          <w:tab w:leader="none" w:pos="42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52,556 shares of Class A Common Stock of the Issuer held by Mr. Altschuler, (ii) 89,582 shares of Class A Common Stock held by the 2021 Tigers Trust; (iii) 328,533 shares of Class A Common Stock held by the Matthew Sladkin Altschuler 2012 Trust; (iv) 328,533 shares of Class A Common Stock held by the Noah Sladkin Altschuler 2012 Trust; (v) 328,533 shares of Class A Common Stock held by the Sasha Sladkin Altschuler 2012 Trust; (vi) 479,248 shares of Class A Common Stock held by The Altschuler Family Trust (2020); (vii) 651,270 shares of Class A Common Stock held by Mr. Altschuler’s spouse; (viii) 1,475,311 shares of Class B Common Stock of the Issuer held by Mr. Altschuler, which shares are convertible at any time into Class A Common Stock on a one-to-one basis; (ix) 359,859 shares of Class A Common Stock underlying outstanding options held by Mr. Altschuler that are exercisable within 60 days of December 31, 2022; and (x) 11,880 shares of Class A Common Stock underlying outstanding RSUs held by Mr. Altschuler that are issuable upon the vesting of such RSUs within 60 days of December 31, 2022.</w:t>
      </w:r>
    </w:p>
    <w:p>
      <w:pPr>
        <w:spacing w:after="0" w:line="1" w:lineRule="exact"/>
        <w:rPr>
          <w:rFonts w:ascii="Times New Roman" w:cs="Times New Roman" w:eastAsia="Times New Roman" w:hAnsi="Times New Roman"/>
          <w:sz w:val="17"/>
          <w:szCs w:val="17"/>
          <w:color w:val="auto"/>
        </w:rPr>
      </w:pPr>
    </w:p>
    <w:p>
      <w:pPr>
        <w:ind w:left="424" w:right="44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44,763,937 shares of Class A Common Stock outstanding as of November 2, 2022, as reported by the Issuer in its Form 10-Q for the quarter ended September 30, 2022, filed with the United States Securities and Exchange Commission on November 14, 2022 (the “Form 10-Q”).</w:t>
      </w:r>
    </w:p>
    <w:p>
      <w:pPr>
        <w:sectPr>
          <w:pgSz w:w="11900" w:h="16838" w:orient="portrait"/>
          <w:cols w:equalWidth="0" w:num="1">
            <w:col w:w="10984"/>
          </w:cols>
          <w:pgMar w:left="436" w:top="266"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Name of Issuer: Xometry, Inc.</w:t>
            </w:r>
          </w:p>
        </w:tc>
      </w:tr>
      <w:tr>
        <w:trPr>
          <w:trHeight w:val="58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Address of Issuer’s Principal Executive Offices: 6116 Executive Blvd., Suite 800, North Bethesda, MD 20852</w:t>
            </w:r>
          </w:p>
        </w:tc>
      </w:tr>
      <w:tr>
        <w:trPr>
          <w:trHeight w:val="58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338"/>
        </w:trPr>
        <w:tc>
          <w:tcPr>
            <w:tcW w:w="920" w:type="dxa"/>
            <w:vAlign w:val="bottom"/>
          </w:tcPr>
          <w:p>
            <w:pPr>
              <w:spacing w:after="0"/>
              <w:rPr>
                <w:sz w:val="24"/>
                <w:szCs w:val="24"/>
                <w:color w:val="auto"/>
              </w:rPr>
            </w:pP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RandolphAltschuler</w:t>
            </w:r>
          </w:p>
        </w:tc>
      </w:tr>
      <w:tr>
        <w:trPr>
          <w:trHeight w:val="58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Address of Principal Business Office or, if none, Residence: The address and principal business office of the Reporting Person is:</w:t>
            </w:r>
          </w:p>
        </w:tc>
      </w:tr>
      <w:tr>
        <w:trPr>
          <w:trHeight w:val="319"/>
        </w:trPr>
        <w:tc>
          <w:tcPr>
            <w:tcW w:w="9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Xometry, Inc.</w:t>
            </w:r>
          </w:p>
        </w:tc>
      </w:tr>
      <w:tr>
        <w:trPr>
          <w:trHeight w:val="216"/>
        </w:trPr>
        <w:tc>
          <w:tcPr>
            <w:tcW w:w="920" w:type="dxa"/>
            <w:vAlign w:val="bottom"/>
          </w:tcPr>
          <w:p>
            <w:pPr>
              <w:spacing w:after="0"/>
              <w:rPr>
                <w:sz w:val="18"/>
                <w:szCs w:val="18"/>
                <w:color w:val="auto"/>
              </w:rPr>
            </w:pP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6116 Executive Blvd., Suite 800</w:t>
            </w:r>
          </w:p>
        </w:tc>
      </w:tr>
      <w:tr>
        <w:trPr>
          <w:trHeight w:val="234"/>
        </w:trPr>
        <w:tc>
          <w:tcPr>
            <w:tcW w:w="920" w:type="dxa"/>
            <w:vAlign w:val="bottom"/>
          </w:tcPr>
          <w:p>
            <w:pPr>
              <w:spacing w:after="0"/>
              <w:rPr>
                <w:sz w:val="20"/>
                <w:szCs w:val="20"/>
                <w:color w:val="auto"/>
              </w:rPr>
            </w:pP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NorthBethesda, MD 20852</w:t>
            </w:r>
          </w:p>
        </w:tc>
      </w:tr>
      <w:tr>
        <w:trPr>
          <w:trHeight w:val="58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338"/>
        </w:trPr>
        <w:tc>
          <w:tcPr>
            <w:tcW w:w="92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Title of Class of Securities: Class A Common Stock</w:t>
            </w:r>
          </w:p>
        </w:tc>
      </w:tr>
      <w:tr>
        <w:trPr>
          <w:trHeight w:val="58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CUSIP Number: 98423F109</w:t>
            </w:r>
          </w:p>
        </w:tc>
      </w:tr>
      <w:tr>
        <w:trPr>
          <w:trHeight w:val="58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581"/>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Ownership</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27"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Amount Beneficially Owned: </w:t>
      </w:r>
      <w:r>
        <w:rPr>
          <w:rFonts w:ascii="Times New Roman" w:cs="Times New Roman" w:eastAsia="Times New Roman" w:hAnsi="Times New Roman"/>
          <w:sz w:val="18"/>
          <w:szCs w:val="18"/>
          <w:b w:val="1"/>
          <w:bCs w:val="1"/>
          <w:color w:val="auto"/>
        </w:rPr>
        <w:t>See Row 9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Percent of Class: </w:t>
      </w:r>
      <w:r>
        <w:rPr>
          <w:rFonts w:ascii="Times New Roman" w:cs="Times New Roman" w:eastAsia="Times New Roman" w:hAnsi="Times New Roman"/>
          <w:sz w:val="18"/>
          <w:szCs w:val="18"/>
          <w:b w:val="1"/>
          <w:bCs w:val="1"/>
          <w:color w:val="auto"/>
        </w:rPr>
        <w:t>See Row 11 of cover page for the Reporting Person.</w:t>
      </w:r>
    </w:p>
    <w:p>
      <w:pPr>
        <w:spacing w:after="0" w:line="134"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126"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Sole power to vote or to direct the vote: </w:t>
      </w:r>
      <w:r>
        <w:rPr>
          <w:rFonts w:ascii="Times New Roman" w:cs="Times New Roman" w:eastAsia="Times New Roman" w:hAnsi="Times New Roman"/>
          <w:sz w:val="18"/>
          <w:szCs w:val="18"/>
          <w:b w:val="1"/>
          <w:bCs w:val="1"/>
          <w:color w:val="auto"/>
        </w:rPr>
        <w:t>See Row 5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Shared power to vote or to direct the vote: </w:t>
      </w:r>
      <w:r>
        <w:rPr>
          <w:rFonts w:ascii="Times New Roman" w:cs="Times New Roman" w:eastAsia="Times New Roman" w:hAnsi="Times New Roman"/>
          <w:sz w:val="18"/>
          <w:szCs w:val="18"/>
          <w:b w:val="1"/>
          <w:bCs w:val="1"/>
          <w:color w:val="auto"/>
        </w:rPr>
        <w:t>See Row 6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Sole power to dispose or to direct the disposition of: </w:t>
      </w:r>
      <w:r>
        <w:rPr>
          <w:rFonts w:ascii="Times New Roman" w:cs="Times New Roman" w:eastAsia="Times New Roman" w:hAnsi="Times New Roman"/>
          <w:sz w:val="18"/>
          <w:szCs w:val="18"/>
          <w:b w:val="1"/>
          <w:bCs w:val="1"/>
          <w:color w:val="auto"/>
        </w:rPr>
        <w:t>See Row 7 of cover page for the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Shared power to dispose or to direct the disposition of: </w:t>
      </w:r>
      <w:r>
        <w:rPr>
          <w:rFonts w:ascii="Times New Roman" w:cs="Times New Roman" w:eastAsia="Times New Roman" w:hAnsi="Times New Roman"/>
          <w:sz w:val="18"/>
          <w:szCs w:val="18"/>
          <w:b w:val="1"/>
          <w:bCs w:val="1"/>
          <w:color w:val="auto"/>
        </w:rPr>
        <w:t>See Row 8 of cover page for the Reporting Person.</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121"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right="26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700"/>
          </w:cols>
          <w:pgMar w:left="440" w:top="266" w:right="759" w:bottom="1440" w:gutter="0" w:footer="0" w:header="0"/>
        </w:sectPr>
      </w:pPr>
    </w:p>
    <w:bookmarkStart w:id="3" w:name="page4"/>
    <w:bookmarkEnd w:id="3"/>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8"/>
          <w:szCs w:val="18"/>
          <w:color w:val="auto"/>
        </w:rPr>
        <w:t>Randolph Altschuler</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2023-02-13T15:22:46Z</dcterms:created>
  <dcterms:modified xsi:type="dcterms:W3CDTF">2023-02-13T15:22:46Z</dcterms:modified>
</cp:coreProperties>
</file>