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Weymouth Katharine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03/21/2023</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gridSpan w:val="2"/>
          </w:tcPr>
          <w:p>
            <w:pPr>
              <w:spacing w:after="0"/>
              <w:rPr>
                <w:sz w:val="2"/>
                <w:szCs w:val="2"/>
                <w:color w:val="auto"/>
              </w:rPr>
            </w:pPr>
          </w:p>
        </w:tc>
        <w:tc>
          <w:tcPr>
            <w:tcW w:w="46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19"/>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03/21/2023</w:t>
            </w: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7,041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13,766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03/21/2023</w:t>
            </w: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2,417</w:t>
            </w:r>
            <w:r>
              <w:rPr>
                <w:rFonts w:ascii="Times New Roman" w:cs="Times New Roman" w:eastAsia="Times New Roman" w:hAnsi="Times New Roman"/>
                <w:sz w:val="22"/>
                <w:szCs w:val="22"/>
                <w:color w:val="008000"/>
                <w:w w:val="97"/>
                <w:vertAlign w:val="superscript"/>
              </w:rPr>
              <w:t>(3)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16,183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All of the shares underlying the RSUs will vest on January 1, 2024, subject to the Reporting Person's continuous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The shares underlying the RSUs will vest in four equal quarterly installments with the first installment vesting on April 1, 2023, subject to the Reporting Person's continuous service.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03/23/2023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180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2023-03-23T21:08:06Z</dcterms:created>
  <dcterms:modified xsi:type="dcterms:W3CDTF">2023-03-23T21:08:06Z</dcterms:modified>
</cp:coreProperties>
</file>