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22"/>
          <w:szCs w:val="22"/>
          <w:b w:val="1"/>
          <w:bCs w:val="1"/>
          <w:u w:val="single" w:color="auto"/>
          <w:color w:val="auto"/>
        </w:rPr>
        <w:t>ASHINGTON, D.C. 205</w:t>
      </w:r>
      <w:r>
        <w:rPr>
          <w:rFonts w:ascii="Times New Roman" w:cs="Times New Roman" w:eastAsia="Times New Roman" w:hAnsi="Times New Roman"/>
          <w:sz w:val="22"/>
          <w:szCs w:val="22"/>
          <w:b w:val="1"/>
          <w:bCs w:val="1"/>
          <w:color w:val="auto"/>
        </w:rPr>
        <w:t>49</w:t>
      </w:r>
    </w:p>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36195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71120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Xometry, Inc.</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57" w:lineRule="exact"/>
        <w:rPr>
          <w:sz w:val="24"/>
          <w:szCs w:val="24"/>
          <w:color w:val="auto"/>
        </w:rPr>
      </w:pPr>
    </w:p>
    <w:tbl>
      <w:tblPr>
        <w:tblLayout w:type="fixed"/>
        <w:tblInd w:w="1220" w:type="dxa"/>
        <w:tblCellMar>
          <w:top w:w="0" w:type="dxa"/>
          <w:left w:w="0" w:type="dxa"/>
          <w:bottom w:w="0" w:type="dxa"/>
          <w:right w:w="0" w:type="dxa"/>
        </w:tblCellMar>
      </w:tblPr>
      <w:tr>
        <w:trPr>
          <w:trHeight w:val="185"/>
        </w:trPr>
        <w:tc>
          <w:tcPr>
            <w:tcW w:w="3280" w:type="dxa"/>
            <w:vAlign w:val="bottom"/>
          </w:tcPr>
          <w:p>
            <w:pPr>
              <w:jc w:val="center"/>
              <w:ind w:right="881"/>
              <w:spacing w:after="0" w:line="186" w:lineRule="exact"/>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Borders>
              <w:top w:val="single" w:sz="8" w:color="auto"/>
            </w:tcBorders>
          </w:tcPr>
          <w:p>
            <w:pPr>
              <w:jc w:val="right"/>
              <w:ind w:right="521"/>
              <w:spacing w:after="0" w:line="186" w:lineRule="exact"/>
              <w:rPr>
                <w:sz w:val="20"/>
                <w:szCs w:val="20"/>
                <w:color w:val="auto"/>
              </w:rPr>
            </w:pPr>
            <w:r>
              <w:rPr>
                <w:rFonts w:ascii="Times New Roman" w:cs="Times New Roman" w:eastAsia="Times New Roman" w:hAnsi="Times New Roman"/>
                <w:sz w:val="18"/>
                <w:szCs w:val="18"/>
                <w:b w:val="1"/>
                <w:bCs w:val="1"/>
                <w:color w:val="auto"/>
              </w:rPr>
              <w:t>001-40546</w:t>
            </w:r>
          </w:p>
        </w:tc>
        <w:tc>
          <w:tcPr>
            <w:tcW w:w="2780" w:type="dxa"/>
            <w:vAlign w:val="bottom"/>
          </w:tcPr>
          <w:p>
            <w:pPr>
              <w:jc w:val="right"/>
              <w:ind w:right="24"/>
              <w:spacing w:after="0" w:line="186" w:lineRule="exact"/>
              <w:rPr>
                <w:sz w:val="20"/>
                <w:szCs w:val="20"/>
                <w:color w:val="auto"/>
              </w:rPr>
            </w:pPr>
            <w:r>
              <w:rPr>
                <w:rFonts w:ascii="Times New Roman" w:cs="Times New Roman" w:eastAsia="Times New Roman" w:hAnsi="Times New Roman"/>
                <w:sz w:val="18"/>
                <w:szCs w:val="18"/>
                <w:b w:val="1"/>
                <w:bCs w:val="1"/>
                <w:color w:val="auto"/>
              </w:rPr>
              <w:t>32-0415449</w:t>
            </w:r>
          </w:p>
        </w:tc>
      </w:tr>
      <w:tr>
        <w:trPr>
          <w:trHeight w:val="148"/>
        </w:trPr>
        <w:tc>
          <w:tcPr>
            <w:tcW w:w="3280" w:type="dxa"/>
            <w:vAlign w:val="bottom"/>
          </w:tcPr>
          <w:p>
            <w:pPr>
              <w:jc w:val="center"/>
              <w:ind w:right="881"/>
              <w:spacing w:after="0" w:line="149" w:lineRule="exact"/>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240" w:type="dxa"/>
            <w:vAlign w:val="bottom"/>
          </w:tcPr>
          <w:p>
            <w:pPr>
              <w:jc w:val="center"/>
              <w:ind w:left="161"/>
              <w:spacing w:after="0" w:line="149" w:lineRule="exact"/>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780" w:type="dxa"/>
            <w:vAlign w:val="bottom"/>
          </w:tcPr>
          <w:p>
            <w:pPr>
              <w:jc w:val="center"/>
              <w:ind w:left="1644"/>
              <w:spacing w:after="0" w:line="149" w:lineRule="exact"/>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280" w:type="dxa"/>
            <w:vAlign w:val="bottom"/>
          </w:tcPr>
          <w:p>
            <w:pPr>
              <w:jc w:val="center"/>
              <w:ind w:right="8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240" w:type="dxa"/>
            <w:vAlign w:val="bottom"/>
          </w:tcPr>
          <w:p>
            <w:pPr>
              <w:spacing w:after="0"/>
              <w:rPr>
                <w:sz w:val="15"/>
                <w:szCs w:val="15"/>
                <w:color w:val="auto"/>
              </w:rPr>
            </w:pPr>
          </w:p>
        </w:tc>
        <w:tc>
          <w:tcPr>
            <w:tcW w:w="2780" w:type="dxa"/>
            <w:vAlign w:val="bottom"/>
          </w:tcPr>
          <w:p>
            <w:pPr>
              <w:jc w:val="center"/>
              <w:ind w:left="164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69"/>
        </w:trPr>
        <w:tc>
          <w:tcPr>
            <w:tcW w:w="3280" w:type="dxa"/>
            <w:vAlign w:val="bottom"/>
          </w:tcPr>
          <w:p>
            <w:pPr>
              <w:jc w:val="center"/>
              <w:ind w:right="881"/>
              <w:spacing w:after="0"/>
              <w:rPr>
                <w:sz w:val="20"/>
                <w:szCs w:val="20"/>
                <w:color w:val="auto"/>
              </w:rPr>
            </w:pPr>
            <w:r>
              <w:rPr>
                <w:rFonts w:ascii="Times New Roman" w:cs="Times New Roman" w:eastAsia="Times New Roman" w:hAnsi="Times New Roman"/>
                <w:sz w:val="18"/>
                <w:szCs w:val="18"/>
                <w:b w:val="1"/>
                <w:bCs w:val="1"/>
                <w:color w:val="auto"/>
                <w:w w:val="99"/>
              </w:rPr>
              <w:t>7529 Standish Place, Suite 200</w:t>
            </w:r>
          </w:p>
        </w:tc>
        <w:tc>
          <w:tcPr>
            <w:tcW w:w="22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08"/>
        </w:trPr>
        <w:tc>
          <w:tcPr>
            <w:tcW w:w="3280" w:type="dxa"/>
            <w:vAlign w:val="bottom"/>
          </w:tcPr>
          <w:p>
            <w:pPr>
              <w:jc w:val="center"/>
              <w:ind w:right="881"/>
              <w:spacing w:after="0"/>
              <w:rPr>
                <w:sz w:val="20"/>
                <w:szCs w:val="20"/>
                <w:color w:val="auto"/>
              </w:rPr>
            </w:pPr>
            <w:r>
              <w:rPr>
                <w:rFonts w:ascii="Times New Roman" w:cs="Times New Roman" w:eastAsia="Times New Roman" w:hAnsi="Times New Roman"/>
                <w:sz w:val="18"/>
                <w:szCs w:val="18"/>
                <w:b w:val="1"/>
                <w:bCs w:val="1"/>
                <w:color w:val="auto"/>
                <w:w w:val="99"/>
              </w:rPr>
              <w:t>Derwood, Maryland</w:t>
            </w:r>
          </w:p>
        </w:tc>
        <w:tc>
          <w:tcPr>
            <w:tcW w:w="2240" w:type="dxa"/>
            <w:vAlign w:val="bottom"/>
          </w:tcPr>
          <w:p>
            <w:pPr>
              <w:spacing w:after="0"/>
              <w:rPr>
                <w:sz w:val="18"/>
                <w:szCs w:val="18"/>
                <w:color w:val="auto"/>
              </w:rPr>
            </w:pPr>
          </w:p>
        </w:tc>
        <w:tc>
          <w:tcPr>
            <w:tcW w:w="278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20855</w:t>
            </w:r>
          </w:p>
        </w:tc>
      </w:tr>
      <w:tr>
        <w:trPr>
          <w:trHeight w:val="178"/>
        </w:trPr>
        <w:tc>
          <w:tcPr>
            <w:tcW w:w="3280" w:type="dxa"/>
            <w:vAlign w:val="bottom"/>
          </w:tcPr>
          <w:p>
            <w:pPr>
              <w:jc w:val="center"/>
              <w:ind w:right="8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240" w:type="dxa"/>
            <w:vAlign w:val="bottom"/>
          </w:tcPr>
          <w:p>
            <w:pPr>
              <w:spacing w:after="0"/>
              <w:rPr>
                <w:sz w:val="15"/>
                <w:szCs w:val="15"/>
                <w:color w:val="auto"/>
              </w:rPr>
            </w:pPr>
          </w:p>
        </w:tc>
        <w:tc>
          <w:tcPr>
            <w:tcW w:w="2780" w:type="dxa"/>
            <w:vAlign w:val="bottom"/>
          </w:tcPr>
          <w:p>
            <w:pPr>
              <w:jc w:val="center"/>
              <w:ind w:left="164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9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(240) 335-7914</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110490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11" w:lineRule="exact"/>
        <w:rPr>
          <w:sz w:val="24"/>
          <w:szCs w:val="24"/>
          <w:color w:val="auto"/>
        </w:rPr>
      </w:pPr>
    </w:p>
    <w:p>
      <w:pPr>
        <w:ind w:right="70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6"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3"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8"/>
        </w:trPr>
        <w:tc>
          <w:tcPr>
            <w:tcW w:w="42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XMTR</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166" w:lineRule="exact"/>
        <w:rPr>
          <w:sz w:val="24"/>
          <w:szCs w:val="24"/>
          <w:color w:val="auto"/>
        </w:rPr>
      </w:pPr>
    </w:p>
    <w:p>
      <w:pPr>
        <w:ind w:right="500"/>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6" w:lineRule="exact"/>
        <w:rPr>
          <w:sz w:val="24"/>
          <w:szCs w:val="24"/>
          <w:color w:val="auto"/>
        </w:rPr>
      </w:pPr>
    </w:p>
    <w:p>
      <w:pPr>
        <w:ind w:right="180"/>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32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November 10, 2022, Xometry, Inc. issued a press release announcing its financial results for the quarterly period ended September 30, 2022. A copy of the press release is furnished as Exhibit 99.1 to this report.</w:t>
      </w:r>
    </w:p>
    <w:p>
      <w:pPr>
        <w:spacing w:after="0" w:line="161"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The information set forth under this Item 2.02 and in the accompanying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 except as otherwise expressly stated in such filing.</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2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2880" w:type="dxa"/>
            <w:vAlign w:val="bottom"/>
          </w:tcPr>
          <w:p>
            <w:pPr>
              <w:spacing w:after="0"/>
              <w:rPr>
                <w:sz w:val="20"/>
                <w:szCs w:val="20"/>
                <w:color w:val="auto"/>
              </w:rPr>
            </w:pPr>
          </w:p>
        </w:tc>
      </w:tr>
      <w:tr>
        <w:trPr>
          <w:trHeight w:val="265"/>
        </w:trPr>
        <w:tc>
          <w:tcPr>
            <w:tcW w:w="180" w:type="dxa"/>
            <w:vAlign w:val="bottom"/>
          </w:tcPr>
          <w:p>
            <w:pPr>
              <w:spacing w:after="0"/>
              <w:rPr>
                <w:sz w:val="23"/>
                <w:szCs w:val="23"/>
                <w:color w:val="auto"/>
              </w:rPr>
            </w:pPr>
          </w:p>
        </w:tc>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756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3680" w:type="dxa"/>
            <w:vAlign w:val="bottom"/>
            <w:gridSpan w:val="3"/>
          </w:tcPr>
          <w:p>
            <w:pPr>
              <w:ind w:left="200"/>
              <w:spacing w:after="0" w:line="194"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7560" w:type="dxa"/>
            <w:vAlign w:val="bottom"/>
            <w:gridSpan w:val="3"/>
          </w:tcPr>
          <w:p>
            <w:pPr>
              <w:ind w:left="220"/>
              <w:spacing w:after="0" w:line="194" w:lineRule="exact"/>
              <w:rPr>
                <w:sz w:val="20"/>
                <w:szCs w:val="20"/>
                <w:color w:val="auto"/>
              </w:rPr>
            </w:pPr>
            <w:r>
              <w:rPr>
                <w:rFonts w:ascii="Times New Roman" w:cs="Times New Roman" w:eastAsia="Times New Roman" w:hAnsi="Times New Roman"/>
                <w:sz w:val="18"/>
                <w:szCs w:val="18"/>
                <w:color w:val="0000FF"/>
              </w:rPr>
              <w:t>Press Release of Xometry, Inc. issued on November 10, 2022.</w:t>
            </w:r>
          </w:p>
        </w:tc>
      </w:tr>
      <w:tr>
        <w:trPr>
          <w:trHeight w:val="228"/>
        </w:trPr>
        <w:tc>
          <w:tcPr>
            <w:tcW w:w="180" w:type="dxa"/>
            <w:vAlign w:val="bottom"/>
          </w:tcPr>
          <w:p>
            <w:pPr>
              <w:spacing w:after="0"/>
              <w:rPr>
                <w:sz w:val="19"/>
                <w:szCs w:val="19"/>
                <w:color w:val="auto"/>
              </w:rPr>
            </w:pPr>
          </w:p>
        </w:tc>
        <w:tc>
          <w:tcPr>
            <w:tcW w:w="32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document).</w:t>
            </w:r>
          </w:p>
        </w:tc>
      </w:tr>
      <w:tr>
        <w:trPr>
          <w:trHeight w:val="528"/>
        </w:trPr>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XOMETRY, INC.</w:t>
      </w:r>
    </w:p>
    <w:p>
      <w:pPr>
        <w:spacing w:after="0" w:line="350" w:lineRule="exact"/>
        <w:rPr>
          <w:sz w:val="20"/>
          <w:szCs w:val="20"/>
          <w:color w:val="auto"/>
        </w:rPr>
      </w:pPr>
    </w:p>
    <w:p>
      <w:pPr>
        <w:ind w:left="20"/>
        <w:spacing w:after="0"/>
        <w:tabs>
          <w:tab w:leader="none" w:pos="68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3858260</wp:posOffset>
            </wp:positionH>
            <wp:positionV relativeFrom="paragraph">
              <wp:posOffset>17145</wp:posOffset>
            </wp:positionV>
            <wp:extent cx="32791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9140" cy="8255"/>
                    </a:xfrm>
                    <a:prstGeom prst="rect">
                      <a:avLst/>
                    </a:prstGeom>
                    <a:noFill/>
                  </pic:spPr>
                </pic:pic>
              </a:graphicData>
            </a:graphic>
          </wp:anchor>
        </w:drawing>
      </w:r>
    </w:p>
    <w:p>
      <w:pPr>
        <w:spacing w:after="0" w:line="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Randolph Altschuler</w:t>
      </w: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Xometry Reports Third Quarter 2022 Results</w:t>
      </w:r>
    </w:p>
    <w:p>
      <w:pPr>
        <w:spacing w:after="0" w:line="399" w:lineRule="exact"/>
        <w:rPr>
          <w:sz w:val="20"/>
          <w:szCs w:val="20"/>
          <w:color w:val="auto"/>
        </w:rPr>
      </w:pPr>
    </w:p>
    <w:p>
      <w:pPr>
        <w:ind w:left="1020" w:right="280" w:hanging="504"/>
        <w:spacing w:after="0" w:line="270" w:lineRule="auto"/>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Robust marketplace growth: Revenue increases 83% year-over-year driven by nearly 55% marketplace growth as well as supplier services including Thomas.</w:t>
      </w:r>
    </w:p>
    <w:p>
      <w:pPr>
        <w:spacing w:after="0" w:line="47" w:lineRule="exact"/>
        <w:rPr>
          <w:rFonts w:ascii="Times New Roman" w:cs="Times New Roman" w:eastAsia="Times New Roman" w:hAnsi="Times New Roman"/>
          <w:sz w:val="20"/>
          <w:szCs w:val="20"/>
          <w:color w:val="auto"/>
        </w:rPr>
      </w:pPr>
    </w:p>
    <w:p>
      <w:pPr>
        <w:ind w:left="1020" w:right="220" w:hanging="504"/>
        <w:spacing w:after="0" w:line="270" w:lineRule="auto"/>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Strong gross margin and gross profit trends driven by AI pricing/supplier selection and additional supplier services: Gross profit up 182% year-over-year. Marketplace gross profit increased 16% quarter-over-quarter.</w:t>
      </w:r>
    </w:p>
    <w:p>
      <w:pPr>
        <w:spacing w:after="0" w:line="47" w:lineRule="exact"/>
        <w:rPr>
          <w:rFonts w:ascii="Times New Roman" w:cs="Times New Roman" w:eastAsia="Times New Roman" w:hAnsi="Times New Roman"/>
          <w:sz w:val="20"/>
          <w:szCs w:val="20"/>
          <w:color w:val="auto"/>
        </w:rPr>
      </w:pPr>
    </w:p>
    <w:p>
      <w:pPr>
        <w:ind w:left="1020" w:right="400" w:hanging="504"/>
        <w:spacing w:after="0" w:line="270" w:lineRule="auto"/>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Expect strong growth in Q4: We expect Q4 revenue growth of 55-58% to $104-$106 million, driven by increasing active buyers and suppliers, added supplier services and revenue synergies with Thomas.</w:t>
      </w:r>
    </w:p>
    <w:p>
      <w:pPr>
        <w:spacing w:after="0" w:line="34" w:lineRule="exact"/>
        <w:rPr>
          <w:rFonts w:ascii="Times New Roman" w:cs="Times New Roman" w:eastAsia="Times New Roman" w:hAnsi="Times New Roman"/>
          <w:sz w:val="20"/>
          <w:szCs w:val="20"/>
          <w:color w:val="auto"/>
        </w:rPr>
      </w:pPr>
    </w:p>
    <w:p>
      <w:pPr>
        <w:ind w:left="1020" w:right="1200" w:hanging="504"/>
        <w:spacing w:after="0" w:line="270" w:lineRule="auto"/>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Strong operating leverage: Q3 Adjusted EBITDA loss of $6.5 million, a $1.8 million quarter-over-quarter improvement. We expect to be Adjusted EBITDA positive in the second half of 2023.</w:t>
      </w:r>
    </w:p>
    <w:p>
      <w:pPr>
        <w:spacing w:after="0" w:line="142" w:lineRule="exact"/>
        <w:rPr>
          <w:sz w:val="20"/>
          <w:szCs w:val="20"/>
          <w:color w:val="auto"/>
        </w:rPr>
      </w:pPr>
    </w:p>
    <w:p>
      <w:pPr>
        <w:jc w:val="both"/>
        <w:ind w:right="500"/>
        <w:spacing w:after="0" w:line="255" w:lineRule="auto"/>
        <w:rPr>
          <w:sz w:val="20"/>
          <w:szCs w:val="20"/>
          <w:color w:val="auto"/>
        </w:rPr>
      </w:pPr>
      <w:r>
        <w:rPr>
          <w:rFonts w:ascii="Arial" w:cs="Arial" w:eastAsia="Arial" w:hAnsi="Arial"/>
          <w:sz w:val="20"/>
          <w:szCs w:val="20"/>
          <w:color w:val="auto"/>
        </w:rPr>
        <w:t>ROCKVILLE, MD., November 10, 2022 /Globe Newswire/ -- Xometry, Inc. (NASDAQ:XMTR), the global online marketplace connecting enterprise buyers with suppliers of manufacturing services, today reported financial results for the third quarter ended September 30, 2022.</w:t>
      </w:r>
    </w:p>
    <w:p>
      <w:pPr>
        <w:spacing w:after="0" w:line="157" w:lineRule="exact"/>
        <w:rPr>
          <w:sz w:val="20"/>
          <w:szCs w:val="20"/>
          <w:color w:val="auto"/>
        </w:rPr>
      </w:pPr>
    </w:p>
    <w:p>
      <w:pPr>
        <w:ind w:right="360"/>
        <w:spacing w:after="0" w:line="249" w:lineRule="auto"/>
        <w:rPr>
          <w:sz w:val="20"/>
          <w:szCs w:val="20"/>
          <w:color w:val="auto"/>
        </w:rPr>
      </w:pPr>
      <w:r>
        <w:rPr>
          <w:rFonts w:ascii="Arial" w:cs="Arial" w:eastAsia="Arial" w:hAnsi="Arial"/>
          <w:sz w:val="20"/>
          <w:szCs w:val="20"/>
          <w:color w:val="auto"/>
        </w:rPr>
        <w:t>"In Q3 2022, Xometry delivered strong marketplace growth, robust expansion in marketplace gross margin and significant operating leverage quarter-over-quarter,” said Randy Altschuler, Xometry’s CEO. “In Q4, we are seeing record orders while suppliers are taking jobs at significantly lower prices, dampening near-term revenue growth</w:t>
      </w:r>
      <w:r>
        <w:rPr>
          <w:rFonts w:ascii="Arial" w:cs="Arial" w:eastAsia="Arial" w:hAnsi="Arial"/>
          <w:sz w:val="20"/>
          <w:szCs w:val="20"/>
          <w:color w:val="1D1C1D"/>
        </w:rPr>
        <w:t>. We expect to continue to rapidly</w:t>
      </w:r>
      <w:r>
        <w:rPr>
          <w:rFonts w:ascii="Arial" w:cs="Arial" w:eastAsia="Arial" w:hAnsi="Arial"/>
          <w:sz w:val="20"/>
          <w:szCs w:val="20"/>
          <w:color w:val="auto"/>
        </w:rPr>
        <w:t xml:space="preserve"> </w:t>
      </w:r>
      <w:r>
        <w:rPr>
          <w:rFonts w:ascii="Arial" w:cs="Arial" w:eastAsia="Arial" w:hAnsi="Arial"/>
          <w:sz w:val="20"/>
          <w:szCs w:val="20"/>
          <w:color w:val="1D1C1D"/>
        </w:rPr>
        <w:t>gain market share and customer share of wallet fueling robust marketplace revenue growth into 2023.”</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2022 Financial Highlights</w:t>
      </w:r>
    </w:p>
    <w:p>
      <w:pPr>
        <w:spacing w:after="0" w:line="109" w:lineRule="exact"/>
        <w:rPr>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Total revenue for the third quarter 2022 was $103.6 million, an increase of 83% year-over-year.</w:t>
      </w:r>
    </w:p>
    <w:p>
      <w:pPr>
        <w:spacing w:after="0" w:line="106"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Marketplace revenue for the third quarter of 2022 was $84.1 million.</w:t>
      </w:r>
    </w:p>
    <w:p>
      <w:pPr>
        <w:spacing w:after="0" w:line="92"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Supplier services revenue for the third quarter of 2022 was $19.5 million.</w:t>
      </w:r>
    </w:p>
    <w:p>
      <w:pPr>
        <w:spacing w:after="0" w:line="106"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Total gross profit for the third quarter 2022 was $40.9 million, an increase of 182% year-over-year.</w:t>
      </w:r>
    </w:p>
    <w:p>
      <w:pPr>
        <w:spacing w:after="0" w:line="106" w:lineRule="exact"/>
        <w:rPr>
          <w:rFonts w:ascii="Times New Roman" w:cs="Times New Roman" w:eastAsia="Times New Roman" w:hAnsi="Times New Roman"/>
          <w:sz w:val="20"/>
          <w:szCs w:val="20"/>
          <w:color w:val="auto"/>
        </w:rPr>
      </w:pPr>
    </w:p>
    <w:p>
      <w:pPr>
        <w:ind w:left="1020" w:right="360" w:hanging="504"/>
        <w:spacing w:after="0" w:line="270"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Marketplace Active Buyers increased 40% from 26,187 as of September 30, 2021 to 36,789 as of September 30, 2022.</w:t>
      </w:r>
    </w:p>
    <w:p>
      <w:pPr>
        <w:spacing w:after="0" w:line="47" w:lineRule="exact"/>
        <w:rPr>
          <w:rFonts w:ascii="Times New Roman" w:cs="Times New Roman" w:eastAsia="Times New Roman" w:hAnsi="Times New Roman"/>
          <w:sz w:val="20"/>
          <w:szCs w:val="20"/>
          <w:color w:val="auto"/>
        </w:rPr>
      </w:pPr>
    </w:p>
    <w:p>
      <w:pPr>
        <w:ind w:left="1020" w:right="40" w:hanging="504"/>
        <w:spacing w:after="0" w:line="270"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Marketplace Accounts with Last Twelve-Months Spend of at least $50,000 increased 62% from 603 as of September 30, 2021 to 974 as of September 30, 2022.</w:t>
      </w:r>
    </w:p>
    <w:p>
      <w:pPr>
        <w:spacing w:after="0" w:line="47"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Marketplace Percentage of Revenue from Existing Accounts was 96%.</w:t>
      </w:r>
    </w:p>
    <w:p>
      <w:pPr>
        <w:spacing w:after="0" w:line="92" w:lineRule="exact"/>
        <w:rPr>
          <w:rFonts w:ascii="Times New Roman" w:cs="Times New Roman" w:eastAsia="Times New Roman" w:hAnsi="Times New Roman"/>
          <w:sz w:val="20"/>
          <w:szCs w:val="20"/>
          <w:color w:val="auto"/>
        </w:rPr>
      </w:pPr>
    </w:p>
    <w:p>
      <w:pPr>
        <w:jc w:val="both"/>
        <w:ind w:left="1020" w:right="60" w:hanging="504"/>
        <w:spacing w:after="0" w:line="254"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Net loss attributable to common stockholders was $15.0 million for the quarter, an increase of $0.3 million year-over-year, and Adjusted EBITDA was negative $6.5 million for the quarter, reflecting a decrease of $3.5 million year-over-year. Net loss for Q3 2022 included $5.1 million of stock-based compensation.</w:t>
      </w:r>
    </w:p>
    <w:p>
      <w:pPr>
        <w:spacing w:after="0" w:line="64"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Cash and cash equivalents and marketable securities were $341.2 million as of September 30, 2022.</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8"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Third Quarter 2022 Business Highlights</w:t>
      </w:r>
    </w:p>
    <w:p>
      <w:pPr>
        <w:spacing w:after="0" w:line="19" w:lineRule="exact"/>
        <w:rPr>
          <w:sz w:val="20"/>
          <w:szCs w:val="20"/>
          <w:color w:val="auto"/>
        </w:rPr>
      </w:pPr>
    </w:p>
    <w:p>
      <w:pPr>
        <w:ind w:left="1020" w:right="140" w:hanging="504"/>
        <w:spacing w:after="0" w:line="245"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Launched Credit Key flexible payment solution further expanding the basket of financial services to help buyers grow their business. With Credit Key, enterprise customers, small businesses and entrepreneurs can tap into lines of credit of up to $50,000 instantly at the point of sale on Xometry.</w:t>
      </w:r>
    </w:p>
    <w:p>
      <w:pPr>
        <w:spacing w:after="0" w:line="166" w:lineRule="exact"/>
        <w:rPr>
          <w:rFonts w:ascii="Times New Roman" w:cs="Times New Roman" w:eastAsia="Times New Roman" w:hAnsi="Times New Roman"/>
          <w:sz w:val="20"/>
          <w:szCs w:val="20"/>
          <w:color w:val="auto"/>
        </w:rPr>
      </w:pPr>
    </w:p>
    <w:p>
      <w:pPr>
        <w:ind w:left="1020" w:right="600" w:hanging="504"/>
        <w:spacing w:after="0" w:line="254"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Added new languages and processes to our International marketplace. In Q3, we added Polish, Norwegian and Dutch languages to our European site. Additionally, Europe introduced new production technologies including vacuum casting and compression molding.</w:t>
      </w:r>
    </w:p>
    <w:p>
      <w:pPr>
        <w:spacing w:after="0" w:line="158" w:lineRule="exact"/>
        <w:rPr>
          <w:rFonts w:ascii="Times New Roman" w:cs="Times New Roman" w:eastAsia="Times New Roman" w:hAnsi="Times New Roman"/>
          <w:sz w:val="20"/>
          <w:szCs w:val="20"/>
          <w:color w:val="auto"/>
        </w:rPr>
      </w:pPr>
    </w:p>
    <w:p>
      <w:pPr>
        <w:ind w:left="1020" w:right="260" w:hanging="504"/>
        <w:spacing w:after="0" w:line="254"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Launched the universal login experience which improves and centralizes the login experience and user credentials. Universal login allows Xometry and Thomas buyers and suppliers to seamlessly move and transact across platforms.</w:t>
      </w:r>
    </w:p>
    <w:p>
      <w:pPr>
        <w:spacing w:after="0" w:line="158" w:lineRule="exact"/>
        <w:rPr>
          <w:rFonts w:ascii="Times New Roman" w:cs="Times New Roman" w:eastAsia="Times New Roman" w:hAnsi="Times New Roman"/>
          <w:sz w:val="20"/>
          <w:szCs w:val="20"/>
          <w:color w:val="auto"/>
        </w:rPr>
      </w:pPr>
    </w:p>
    <w:p>
      <w:pPr>
        <w:ind w:left="1020" w:right="140" w:hanging="504"/>
        <w:spacing w:after="0" w:line="242"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Funded several manufacturing scholarship programs. Xometry is providing scholarships for 250 students at community colleges in six key manufacturing states: Maryland, Kentucky, Wisconsin, South Carolina, Connecticut and New York. Last year, Xometry, in partnership with Howard University, pledged eight full tuition scholarships over four school years to students enrolled in the Department of Mechanical Engineering at the Howard University College of Engineering and Architecture. We are funding the scholarships through our Donor Advised Fund, to which we dedicated 1% of our equity at IPO to support small- and medium manufacturers across the country.</w:t>
      </w:r>
    </w:p>
    <w:p>
      <w:pPr>
        <w:spacing w:after="0" w:line="171" w:lineRule="exact"/>
        <w:rPr>
          <w:rFonts w:ascii="Times New Roman" w:cs="Times New Roman" w:eastAsia="Times New Roman" w:hAnsi="Times New Roman"/>
          <w:sz w:val="20"/>
          <w:szCs w:val="20"/>
          <w:color w:val="auto"/>
        </w:rPr>
      </w:pPr>
    </w:p>
    <w:p>
      <w:pPr>
        <w:ind w:left="1020" w:right="360" w:hanging="504"/>
        <w:spacing w:after="0" w:line="249"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Held a manufacturing day event on October 7, in conjunction with the release of proprietary research conducted in partnership with Forbes and Zogby. Research revealed how manufacturing CEOs are demonstrating supply chain resilience by investing in talent and technology, while also reshoring and nearshoring their manufacturing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Financial Summary</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(In thousands, except per share amounts)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9"/>
              </w:rPr>
              <w:t>For the Three Months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2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For the Nine Months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9"/>
              </w:rPr>
              <w:t>Ended September 30,</w:t>
            </w:r>
          </w:p>
        </w:tc>
        <w:tc>
          <w:tcPr>
            <w:tcW w:w="10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 Change</w:t>
            </w:r>
          </w:p>
        </w:tc>
        <w:tc>
          <w:tcPr>
            <w:tcW w:w="220" w:type="dxa"/>
            <w:vAlign w:val="bottom"/>
            <w:vMerge w:val="restart"/>
          </w:tcPr>
          <w:p>
            <w:pPr>
              <w:spacing w:after="0"/>
              <w:rPr>
                <w:sz w:val="20"/>
                <w:szCs w:val="20"/>
                <w:color w:val="auto"/>
              </w:rPr>
            </w:pPr>
          </w:p>
        </w:tc>
        <w:tc>
          <w:tcPr>
            <w:tcW w:w="260" w:type="dxa"/>
            <w:vAlign w:val="bottom"/>
          </w:tcPr>
          <w:p>
            <w:pPr>
              <w:spacing w:after="0"/>
              <w:rPr>
                <w:sz w:val="20"/>
                <w:szCs w:val="20"/>
                <w:color w:val="auto"/>
              </w:rPr>
            </w:pPr>
          </w:p>
        </w:tc>
        <w:tc>
          <w:tcPr>
            <w:tcW w:w="262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Ended September 30,</w:t>
            </w:r>
          </w:p>
        </w:tc>
        <w:tc>
          <w:tcPr>
            <w:tcW w:w="138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 Change</w:t>
            </w:r>
          </w:p>
        </w:tc>
        <w:tc>
          <w:tcPr>
            <w:tcW w:w="200" w:type="dxa"/>
            <w:vAlign w:val="bottom"/>
            <w:gridSpan w:val="2"/>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2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Consolidated</w:t>
            </w:r>
          </w:p>
        </w:tc>
        <w:tc>
          <w:tcPr>
            <w:tcW w:w="140" w:type="dxa"/>
            <w:vAlign w:val="bottom"/>
          </w:tcPr>
          <w:p>
            <w:pPr>
              <w:spacing w:after="0"/>
              <w:rPr>
                <w:sz w:val="20"/>
                <w:szCs w:val="20"/>
                <w:color w:val="auto"/>
              </w:rPr>
            </w:pPr>
          </w:p>
        </w:tc>
        <w:tc>
          <w:tcPr>
            <w:tcW w:w="22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9"/>
              </w:rPr>
              <w:t>(unaudited)</w:t>
            </w: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(unaudited)</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32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103,571</w:t>
            </w:r>
          </w:p>
        </w:tc>
        <w:tc>
          <w:tcPr>
            <w:tcW w:w="2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56,727</w:t>
            </w:r>
          </w:p>
        </w:tc>
        <w:tc>
          <w:tcPr>
            <w:tcW w:w="260" w:type="dxa"/>
            <w:vAlign w:val="bottom"/>
          </w:tcPr>
          <w:p>
            <w:pPr>
              <w:spacing w:after="0"/>
              <w:rPr>
                <w:sz w:val="18"/>
                <w:szCs w:val="18"/>
                <w:color w:val="auto"/>
              </w:rPr>
            </w:pPr>
          </w:p>
        </w:tc>
        <w:tc>
          <w:tcPr>
            <w:tcW w:w="1540" w:type="dxa"/>
            <w:vAlign w:val="bottom"/>
            <w:gridSpan w:val="3"/>
          </w:tcPr>
          <w:p>
            <w:pPr>
              <w:jc w:val="right"/>
              <w:ind w:right="50"/>
              <w:spacing w:after="0"/>
              <w:rPr>
                <w:sz w:val="20"/>
                <w:szCs w:val="20"/>
                <w:color w:val="auto"/>
              </w:rPr>
            </w:pPr>
            <w:r>
              <w:rPr>
                <w:rFonts w:ascii="Arial" w:cs="Arial" w:eastAsia="Arial" w:hAnsi="Arial"/>
                <w:sz w:val="18"/>
                <w:szCs w:val="18"/>
                <w:color w:val="auto"/>
              </w:rPr>
              <w:t>83 % $</w:t>
            </w:r>
          </w:p>
        </w:tc>
        <w:tc>
          <w:tcPr>
            <w:tcW w:w="940" w:type="dxa"/>
            <w:vAlign w:val="bottom"/>
          </w:tcPr>
          <w:p>
            <w:pPr>
              <w:jc w:val="right"/>
              <w:spacing w:after="0"/>
              <w:rPr>
                <w:sz w:val="20"/>
                <w:szCs w:val="20"/>
                <w:color w:val="auto"/>
              </w:rPr>
            </w:pPr>
            <w:r>
              <w:rPr>
                <w:rFonts w:ascii="Arial" w:cs="Arial" w:eastAsia="Arial" w:hAnsi="Arial"/>
                <w:sz w:val="18"/>
                <w:szCs w:val="18"/>
                <w:color w:val="auto"/>
              </w:rPr>
              <w:t>282,857</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151,238</w:t>
            </w:r>
          </w:p>
        </w:tc>
        <w:tc>
          <w:tcPr>
            <w:tcW w:w="220" w:type="dxa"/>
            <w:vAlign w:val="bottom"/>
          </w:tcPr>
          <w:p>
            <w:pPr>
              <w:spacing w:after="0"/>
              <w:rPr>
                <w:sz w:val="18"/>
                <w:szCs w:val="18"/>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40,901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14,494</w:t>
            </w:r>
          </w:p>
        </w:tc>
        <w:tc>
          <w:tcPr>
            <w:tcW w:w="2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182 %</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111,536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36,205</w:t>
            </w:r>
          </w:p>
        </w:tc>
        <w:tc>
          <w:tcPr>
            <w:tcW w:w="220" w:type="dxa"/>
            <w:vAlign w:val="bottom"/>
          </w:tcPr>
          <w:p>
            <w:pPr>
              <w:spacing w:after="0"/>
              <w:rPr>
                <w:sz w:val="18"/>
                <w:szCs w:val="18"/>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208 %</w:t>
            </w:r>
          </w:p>
        </w:tc>
        <w:tc>
          <w:tcPr>
            <w:tcW w:w="0" w:type="dxa"/>
            <w:vAlign w:val="bottom"/>
          </w:tcPr>
          <w:p>
            <w:pPr>
              <w:spacing w:after="0"/>
              <w:rPr>
                <w:sz w:val="1"/>
                <w:szCs w:val="1"/>
                <w:color w:val="auto"/>
              </w:rPr>
            </w:pPr>
          </w:p>
        </w:tc>
      </w:tr>
      <w:tr>
        <w:trPr>
          <w:trHeight w:val="189"/>
        </w:trPr>
        <w:tc>
          <w:tcPr>
            <w:tcW w:w="3200" w:type="dxa"/>
            <w:vAlign w:val="bottom"/>
          </w:tcPr>
          <w:p>
            <w:pPr>
              <w:ind w:left="20"/>
              <w:spacing w:after="0" w:line="189" w:lineRule="exact"/>
              <w:rPr>
                <w:sz w:val="20"/>
                <w:szCs w:val="20"/>
                <w:color w:val="auto"/>
              </w:rPr>
            </w:pPr>
            <w:r>
              <w:rPr>
                <w:rFonts w:ascii="Arial" w:cs="Arial" w:eastAsia="Arial" w:hAnsi="Arial"/>
                <w:sz w:val="18"/>
                <w:szCs w:val="18"/>
                <w:color w:val="auto"/>
              </w:rPr>
              <w:t>Net loss attributable to common</w:t>
            </w:r>
          </w:p>
        </w:tc>
        <w:tc>
          <w:tcPr>
            <w:tcW w:w="140" w:type="dxa"/>
            <w:vAlign w:val="bottom"/>
          </w:tcPr>
          <w:p>
            <w:pPr>
              <w:spacing w:after="0"/>
              <w:rPr>
                <w:sz w:val="16"/>
                <w:szCs w:val="16"/>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(15,037 )</w:t>
            </w:r>
          </w:p>
        </w:tc>
        <w:tc>
          <w:tcPr>
            <w:tcW w:w="200" w:type="dxa"/>
            <w:vAlign w:val="bottom"/>
          </w:tcPr>
          <w:p>
            <w:pPr>
              <w:spacing w:after="0"/>
              <w:rPr>
                <w:sz w:val="16"/>
                <w:szCs w:val="16"/>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(14,711 )</w:t>
            </w:r>
          </w:p>
        </w:tc>
        <w:tc>
          <w:tcPr>
            <w:tcW w:w="1540" w:type="dxa"/>
            <w:vAlign w:val="bottom"/>
            <w:gridSpan w:val="3"/>
            <w:vMerge w:val="restart"/>
          </w:tcPr>
          <w:p>
            <w:pPr>
              <w:jc w:val="right"/>
              <w:ind w:right="150"/>
              <w:spacing w:after="0"/>
              <w:rPr>
                <w:sz w:val="20"/>
                <w:szCs w:val="20"/>
                <w:color w:val="auto"/>
              </w:rPr>
            </w:pPr>
            <w:r>
              <w:rPr>
                <w:rFonts w:ascii="Arial" w:cs="Arial" w:eastAsia="Arial" w:hAnsi="Arial"/>
                <w:sz w:val="18"/>
                <w:szCs w:val="18"/>
                <w:color w:val="auto"/>
              </w:rPr>
              <w:t>(2 )%</w:t>
            </w: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(51,602 )</w:t>
            </w:r>
          </w:p>
        </w:tc>
        <w:tc>
          <w:tcPr>
            <w:tcW w:w="160" w:type="dxa"/>
            <w:vAlign w:val="bottom"/>
          </w:tcPr>
          <w:p>
            <w:pPr>
              <w:spacing w:after="0"/>
              <w:rPr>
                <w:sz w:val="16"/>
                <w:szCs w:val="16"/>
                <w:color w:val="auto"/>
              </w:rPr>
            </w:pPr>
          </w:p>
        </w:tc>
        <w:tc>
          <w:tcPr>
            <w:tcW w:w="13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(37,476 )</w:t>
            </w:r>
          </w:p>
        </w:tc>
        <w:tc>
          <w:tcPr>
            <w:tcW w:w="1580" w:type="dxa"/>
            <w:vAlign w:val="bottom"/>
            <w:gridSpan w:val="3"/>
            <w:vMerge w:val="restart"/>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Arial" w:cs="Arial" w:eastAsia="Arial" w:hAnsi="Arial"/>
                <w:sz w:val="18"/>
                <w:szCs w:val="18"/>
                <w:color w:val="auto"/>
              </w:rPr>
              <w:t>stockholders</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5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00" w:type="dxa"/>
            <w:vAlign w:val="bottom"/>
          </w:tcPr>
          <w:p>
            <w:pPr>
              <w:ind w:left="20"/>
              <w:spacing w:after="0" w:line="195" w:lineRule="exact"/>
              <w:rPr>
                <w:sz w:val="20"/>
                <w:szCs w:val="20"/>
                <w:color w:val="auto"/>
              </w:rPr>
            </w:pPr>
            <w:r>
              <w:rPr>
                <w:rFonts w:ascii="Arial" w:cs="Arial" w:eastAsia="Arial" w:hAnsi="Arial"/>
                <w:sz w:val="18"/>
                <w:szCs w:val="18"/>
                <w:color w:val="auto"/>
              </w:rPr>
              <w:t>EPS, basic and diluted</w:t>
            </w:r>
          </w:p>
        </w:tc>
        <w:tc>
          <w:tcPr>
            <w:tcW w:w="140" w:type="dxa"/>
            <w:vAlign w:val="bottom"/>
          </w:tcPr>
          <w:p>
            <w:pPr>
              <w:spacing w:after="0"/>
              <w:rPr>
                <w:sz w:val="16"/>
                <w:szCs w:val="16"/>
                <w:color w:val="auto"/>
              </w:rPr>
            </w:pPr>
          </w:p>
        </w:tc>
        <w:tc>
          <w:tcPr>
            <w:tcW w:w="1060" w:type="dxa"/>
            <w:vAlign w:val="bottom"/>
            <w:gridSpan w:val="2"/>
          </w:tcPr>
          <w:p>
            <w:pPr>
              <w:jc w:val="right"/>
              <w:ind w:right="160"/>
              <w:spacing w:after="0" w:line="195" w:lineRule="exact"/>
              <w:rPr>
                <w:sz w:val="20"/>
                <w:szCs w:val="20"/>
                <w:color w:val="auto"/>
              </w:rPr>
            </w:pPr>
            <w:r>
              <w:rPr>
                <w:rFonts w:ascii="Arial" w:cs="Arial" w:eastAsia="Arial" w:hAnsi="Arial"/>
                <w:sz w:val="18"/>
                <w:szCs w:val="18"/>
                <w:color w:val="auto"/>
              </w:rPr>
              <w:t>(0.32 )</w:t>
            </w:r>
          </w:p>
        </w:tc>
        <w:tc>
          <w:tcPr>
            <w:tcW w:w="200" w:type="dxa"/>
            <w:vAlign w:val="bottom"/>
          </w:tcPr>
          <w:p>
            <w:pPr>
              <w:spacing w:after="0"/>
              <w:rPr>
                <w:sz w:val="16"/>
                <w:szCs w:val="16"/>
                <w:color w:val="auto"/>
              </w:rPr>
            </w:pPr>
          </w:p>
        </w:tc>
        <w:tc>
          <w:tcPr>
            <w:tcW w:w="1000" w:type="dxa"/>
            <w:vAlign w:val="bottom"/>
            <w:gridSpan w:val="2"/>
          </w:tcPr>
          <w:p>
            <w:pPr>
              <w:jc w:val="right"/>
              <w:ind w:right="180"/>
              <w:spacing w:after="0" w:line="195" w:lineRule="exact"/>
              <w:rPr>
                <w:sz w:val="20"/>
                <w:szCs w:val="20"/>
                <w:color w:val="auto"/>
              </w:rPr>
            </w:pPr>
            <w:r>
              <w:rPr>
                <w:rFonts w:ascii="Arial" w:cs="Arial" w:eastAsia="Arial" w:hAnsi="Arial"/>
                <w:sz w:val="18"/>
                <w:szCs w:val="18"/>
                <w:color w:val="auto"/>
              </w:rPr>
              <w:t>(0.33 )</w:t>
            </w:r>
          </w:p>
        </w:tc>
        <w:tc>
          <w:tcPr>
            <w:tcW w:w="1280" w:type="dxa"/>
            <w:vAlign w:val="bottom"/>
            <w:gridSpan w:val="2"/>
          </w:tcPr>
          <w:p>
            <w:pPr>
              <w:jc w:val="right"/>
              <w:ind w:right="40"/>
              <w:spacing w:after="0" w:line="195" w:lineRule="exact"/>
              <w:rPr>
                <w:sz w:val="20"/>
                <w:szCs w:val="20"/>
                <w:color w:val="auto"/>
              </w:rPr>
            </w:pPr>
            <w:r>
              <w:rPr>
                <w:rFonts w:ascii="Arial" w:cs="Arial" w:eastAsia="Arial" w:hAnsi="Arial"/>
                <w:sz w:val="18"/>
                <w:szCs w:val="18"/>
                <w:color w:val="auto"/>
              </w:rPr>
              <w:t>3 %</w:t>
            </w:r>
          </w:p>
        </w:tc>
        <w:tc>
          <w:tcPr>
            <w:tcW w:w="260" w:type="dxa"/>
            <w:vAlign w:val="bottom"/>
          </w:tcPr>
          <w:p>
            <w:pPr>
              <w:spacing w:after="0"/>
              <w:rPr>
                <w:sz w:val="16"/>
                <w:szCs w:val="16"/>
                <w:color w:val="auto"/>
              </w:rPr>
            </w:pPr>
          </w:p>
        </w:tc>
        <w:tc>
          <w:tcPr>
            <w:tcW w:w="1160" w:type="dxa"/>
            <w:vAlign w:val="bottom"/>
            <w:gridSpan w:val="2"/>
          </w:tcPr>
          <w:p>
            <w:pPr>
              <w:jc w:val="right"/>
              <w:ind w:right="140"/>
              <w:spacing w:after="0" w:line="195" w:lineRule="exact"/>
              <w:rPr>
                <w:sz w:val="20"/>
                <w:szCs w:val="20"/>
                <w:color w:val="auto"/>
              </w:rPr>
            </w:pPr>
            <w:r>
              <w:rPr>
                <w:rFonts w:ascii="Arial" w:cs="Arial" w:eastAsia="Arial" w:hAnsi="Arial"/>
                <w:sz w:val="18"/>
                <w:szCs w:val="18"/>
                <w:color w:val="auto"/>
              </w:rPr>
              <w:t>(1.10 )</w:t>
            </w:r>
          </w:p>
        </w:tc>
        <w:tc>
          <w:tcPr>
            <w:tcW w:w="160" w:type="dxa"/>
            <w:vAlign w:val="bottom"/>
          </w:tcPr>
          <w:p>
            <w:pPr>
              <w:spacing w:after="0"/>
              <w:rPr>
                <w:sz w:val="16"/>
                <w:szCs w:val="16"/>
                <w:color w:val="auto"/>
              </w:rPr>
            </w:pPr>
          </w:p>
        </w:tc>
        <w:tc>
          <w:tcPr>
            <w:tcW w:w="1300" w:type="dxa"/>
            <w:vAlign w:val="bottom"/>
            <w:gridSpan w:val="2"/>
          </w:tcPr>
          <w:p>
            <w:pPr>
              <w:jc w:val="right"/>
              <w:ind w:right="140"/>
              <w:spacing w:after="0" w:line="195" w:lineRule="exact"/>
              <w:rPr>
                <w:sz w:val="20"/>
                <w:szCs w:val="20"/>
                <w:color w:val="auto"/>
              </w:rPr>
            </w:pPr>
            <w:r>
              <w:rPr>
                <w:rFonts w:ascii="Arial" w:cs="Arial" w:eastAsia="Arial" w:hAnsi="Arial"/>
                <w:sz w:val="18"/>
                <w:szCs w:val="18"/>
                <w:color w:val="auto"/>
              </w:rPr>
              <w:t>(1.87 )</w:t>
            </w:r>
          </w:p>
        </w:tc>
        <w:tc>
          <w:tcPr>
            <w:tcW w:w="1580" w:type="dxa"/>
            <w:vAlign w:val="bottom"/>
            <w:gridSpan w:val="3"/>
          </w:tcPr>
          <w:p>
            <w:pPr>
              <w:jc w:val="right"/>
              <w:ind w:right="40"/>
              <w:spacing w:after="0" w:line="195" w:lineRule="exact"/>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line="216" w:lineRule="exact"/>
              <w:rPr>
                <w:sz w:val="20"/>
                <w:szCs w:val="20"/>
                <w:color w:val="auto"/>
              </w:rPr>
            </w:pPr>
            <w:r>
              <w:rPr>
                <w:rFonts w:ascii="Arial" w:cs="Arial" w:eastAsia="Arial" w:hAnsi="Arial"/>
                <w:sz w:val="18"/>
                <w:szCs w:val="18"/>
                <w:color w:val="auto"/>
              </w:rPr>
              <w:t>Adjusted EBITDA</w:t>
            </w:r>
            <w:r>
              <w:rPr>
                <w:rFonts w:ascii="Arial" w:cs="Arial" w:eastAsia="Arial" w:hAnsi="Arial"/>
                <w:sz w:val="24"/>
                <w:szCs w:val="24"/>
                <w:color w:val="auto"/>
                <w:vertAlign w:val="superscript"/>
              </w:rPr>
              <w:t>(1)</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(6,490 )</w:t>
            </w: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(10,024 )</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35 %</w:t>
            </w:r>
          </w:p>
        </w:tc>
        <w:tc>
          <w:tcPr>
            <w:tcW w:w="2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(27,516 )</w:t>
            </w:r>
          </w:p>
        </w:tc>
        <w:tc>
          <w:tcPr>
            <w:tcW w:w="1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(27,905 )</w:t>
            </w: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line="216" w:lineRule="exact"/>
              <w:rPr>
                <w:sz w:val="20"/>
                <w:szCs w:val="20"/>
                <w:color w:val="auto"/>
              </w:rPr>
            </w:pPr>
            <w:r>
              <w:rPr>
                <w:rFonts w:ascii="Arial" w:cs="Arial" w:eastAsia="Arial" w:hAnsi="Arial"/>
                <w:sz w:val="18"/>
                <w:szCs w:val="18"/>
                <w:color w:val="auto"/>
              </w:rPr>
              <w:t>Non-GAAP net loss</w:t>
            </w:r>
            <w:r>
              <w:rPr>
                <w:rFonts w:ascii="Arial" w:cs="Arial" w:eastAsia="Arial" w:hAnsi="Arial"/>
                <w:sz w:val="24"/>
                <w:szCs w:val="24"/>
                <w:color w:val="auto"/>
                <w:vertAlign w:val="superscript"/>
              </w:rPr>
              <w:t>(1)</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(5,394 )</w:t>
            </w: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(10,223 )</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47 %</w:t>
            </w:r>
          </w:p>
        </w:tc>
        <w:tc>
          <w:tcPr>
            <w:tcW w:w="2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(26,368 )</w:t>
            </w:r>
          </w:p>
        </w:tc>
        <w:tc>
          <w:tcPr>
            <w:tcW w:w="1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(29,021 )</w:t>
            </w: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56"/>
        </w:trPr>
        <w:tc>
          <w:tcPr>
            <w:tcW w:w="3200" w:type="dxa"/>
            <w:vAlign w:val="bottom"/>
          </w:tcPr>
          <w:p>
            <w:pPr>
              <w:ind w:left="20"/>
              <w:spacing w:after="0" w:line="256" w:lineRule="exact"/>
              <w:rPr>
                <w:sz w:val="20"/>
                <w:szCs w:val="20"/>
                <w:color w:val="auto"/>
              </w:rPr>
            </w:pPr>
            <w:r>
              <w:rPr>
                <w:rFonts w:ascii="Arial" w:cs="Arial" w:eastAsia="Arial" w:hAnsi="Arial"/>
                <w:sz w:val="18"/>
                <w:szCs w:val="18"/>
                <w:color w:val="auto"/>
              </w:rPr>
              <w:t>Non-GAAP EPS, basic and diluted</w:t>
            </w:r>
            <w:r>
              <w:rPr>
                <w:rFonts w:ascii="Arial" w:cs="Arial" w:eastAsia="Arial" w:hAnsi="Arial"/>
                <w:sz w:val="24"/>
                <w:szCs w:val="24"/>
                <w:color w:val="auto"/>
                <w:vertAlign w:val="superscript"/>
              </w:rPr>
              <w:t>(1)</w:t>
            </w:r>
          </w:p>
        </w:tc>
        <w:tc>
          <w:tcPr>
            <w:tcW w:w="14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(0.11 )</w:t>
            </w:r>
          </w:p>
        </w:tc>
        <w:tc>
          <w:tcPr>
            <w:tcW w:w="200" w:type="dxa"/>
            <w:vAlign w:val="bottom"/>
          </w:tcPr>
          <w:p>
            <w:pPr>
              <w:spacing w:after="0"/>
              <w:rPr>
                <w:sz w:val="22"/>
                <w:szCs w:val="22"/>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(0.23 )</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52 %</w:t>
            </w:r>
          </w:p>
        </w:tc>
        <w:tc>
          <w:tcPr>
            <w:tcW w:w="26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(0.56 )</w:t>
            </w:r>
          </w:p>
        </w:tc>
        <w:tc>
          <w:tcPr>
            <w:tcW w:w="160" w:type="dxa"/>
            <w:vAlign w:val="bottom"/>
          </w:tcPr>
          <w:p>
            <w:pPr>
              <w:spacing w:after="0"/>
              <w:rPr>
                <w:sz w:val="22"/>
                <w:szCs w:val="22"/>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(1.44 )</w:t>
            </w: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431"/>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Marketplace</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84,060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224,073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1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58,479</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158,712</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25,581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65,361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Supplier services</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19,511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58,784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1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4,191</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12,609</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46,175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-2636520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-2362835</wp:posOffset>
            </wp:positionV>
            <wp:extent cx="7132320" cy="257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-1694815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2642235</wp:posOffset>
            </wp:positionH>
            <wp:positionV relativeFrom="paragraph">
              <wp:posOffset>-872490</wp:posOffset>
            </wp:positionV>
            <wp:extent cx="76835" cy="3079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30797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-872490</wp:posOffset>
            </wp:positionV>
            <wp:extent cx="68580" cy="3079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307975"/>
                    </a:xfrm>
                    <a:prstGeom prst="rect">
                      <a:avLst/>
                    </a:prstGeom>
                    <a:noFill/>
                  </pic:spPr>
                </pic:pic>
              </a:graphicData>
            </a:graphic>
          </wp:anchor>
        </w:drawing>
        <w:drawing>
          <wp:anchor simplePos="0" relativeHeight="251657728" behindDoc="1" locked="0" layoutInCell="0" allowOverlap="1">
            <wp:simplePos x="0" y="0"/>
            <wp:positionH relativeFrom="column">
              <wp:posOffset>2642235</wp:posOffset>
            </wp:positionH>
            <wp:positionV relativeFrom="paragraph">
              <wp:posOffset>-153670</wp:posOffset>
            </wp:positionV>
            <wp:extent cx="7683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-153670</wp:posOffset>
            </wp:positionV>
            <wp:extent cx="6858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ind w:left="380" w:right="560" w:hanging="372"/>
        <w:spacing w:after="0" w:line="271" w:lineRule="auto"/>
        <w:tabs>
          <w:tab w:leader="none" w:pos="38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These non-GAAP financial measures, and reasons why we believe these non-GAAP financial measures are useful, are described below and reconciled to their most directly comparable GAAP measures in the accompanying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2034540</wp:posOffset>
            </wp:positionH>
            <wp:positionV relativeFrom="paragraph">
              <wp:posOffset>-323850</wp:posOffset>
            </wp:positionV>
            <wp:extent cx="6076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7695" cy="8255"/>
                    </a:xfrm>
                    <a:prstGeom prst="rect">
                      <a:avLst/>
                    </a:prstGeom>
                    <a:noFill/>
                  </pic:spPr>
                </pic:pic>
              </a:graphicData>
            </a:graphic>
          </wp:anchor>
        </w:drawing>
        <w:drawing>
          <wp:anchor simplePos="0" relativeHeight="251657728" behindDoc="1" locked="0" layoutInCell="0" allowOverlap="1">
            <wp:simplePos x="0" y="0"/>
            <wp:positionH relativeFrom="column">
              <wp:posOffset>4371975</wp:posOffset>
            </wp:positionH>
            <wp:positionV relativeFrom="paragraph">
              <wp:posOffset>-323850</wp:posOffset>
            </wp:positionV>
            <wp:extent cx="7620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2000" cy="8255"/>
                    </a:xfrm>
                    <a:prstGeom prst="rect">
                      <a:avLst/>
                    </a:prstGeom>
                    <a:noFill/>
                  </pic:spPr>
                </pic:pic>
              </a:graphicData>
            </a:graphic>
          </wp:anchor>
        </w:drawing>
      </w:r>
    </w:p>
    <w:p>
      <w:pPr>
        <w:spacing w:after="0" w:line="13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18" w:right="2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Key Operating Metrics</w:t>
      </w:r>
      <w:r>
        <w:rPr>
          <w:rFonts w:ascii="Arial" w:cs="Arial" w:eastAsia="Arial" w:hAnsi="Arial"/>
          <w:sz w:val="26"/>
          <w:szCs w:val="26"/>
          <w:b w:val="1"/>
          <w:bCs w:val="1"/>
          <w:color w:val="auto"/>
          <w:vertAlign w:val="superscript"/>
        </w:rPr>
        <w:t>(2)</w:t>
      </w:r>
      <w:r>
        <w:rPr>
          <w:rFonts w:ascii="Arial" w:cs="Arial" w:eastAsia="Arial" w:hAnsi="Arial"/>
          <w:sz w:val="20"/>
          <w:szCs w:val="20"/>
          <w:b w:val="1"/>
          <w:bCs w:val="1"/>
          <w:color w:val="auto"/>
        </w:rPr>
        <w:t>:</w:t>
      </w:r>
    </w:p>
    <w:tbl>
      <w:tblPr>
        <w:tblLayout w:type="fixed"/>
        <w:tblInd w:w="0" w:type="dxa"/>
        <w:tblCellMar>
          <w:top w:w="0" w:type="dxa"/>
          <w:left w:w="0" w:type="dxa"/>
          <w:bottom w:w="0" w:type="dxa"/>
          <w:right w:w="0" w:type="dxa"/>
        </w:tblCellMar>
      </w:tblPr>
      <w:tr>
        <w:trPr>
          <w:trHeight w:val="217"/>
        </w:trPr>
        <w:tc>
          <w:tcPr>
            <w:tcW w:w="648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September 30,</w:t>
            </w:r>
          </w:p>
        </w:tc>
        <w:tc>
          <w:tcPr>
            <w:tcW w:w="14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6480" w:type="dxa"/>
            <w:vAlign w:val="bottom"/>
          </w:tcPr>
          <w:p>
            <w:pPr>
              <w:spacing w:after="0"/>
              <w:rPr>
                <w:sz w:val="14"/>
                <w:szCs w:val="14"/>
                <w:color w:val="auto"/>
              </w:rPr>
            </w:pPr>
          </w:p>
        </w:tc>
        <w:tc>
          <w:tcPr>
            <w:tcW w:w="130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4"/>
                <w:szCs w:val="14"/>
                <w:color w:val="auto"/>
              </w:rPr>
            </w:pPr>
          </w:p>
        </w:tc>
        <w:tc>
          <w:tcPr>
            <w:tcW w:w="146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4"/>
                <w:szCs w:val="14"/>
                <w:color w:val="auto"/>
              </w:rPr>
            </w:pPr>
          </w:p>
        </w:tc>
        <w:tc>
          <w:tcPr>
            <w:tcW w:w="1460" w:type="dxa"/>
            <w:vAlign w:val="bottom"/>
          </w:tcPr>
          <w:p>
            <w:pPr>
              <w:jc w:val="right"/>
              <w:ind w:right="590"/>
              <w:spacing w:after="0" w:line="164"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6480" w:type="dxa"/>
            <w:vAlign w:val="bottom"/>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Borders>
              <w:bottom w:val="single" w:sz="8" w:color="auto"/>
            </w:tcBorders>
            <w:vMerge w:val="continue"/>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Change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6480" w:type="dxa"/>
            <w:vAlign w:val="bottom"/>
          </w:tcPr>
          <w:p>
            <w:pPr>
              <w:ind w:left="20"/>
              <w:spacing w:after="0"/>
              <w:rPr>
                <w:sz w:val="20"/>
                <w:szCs w:val="20"/>
                <w:color w:val="auto"/>
              </w:rPr>
            </w:pPr>
            <w:r>
              <w:rPr>
                <w:rFonts w:ascii="Arial" w:cs="Arial" w:eastAsia="Arial" w:hAnsi="Arial"/>
                <w:sz w:val="18"/>
                <w:szCs w:val="18"/>
                <w:color w:val="auto"/>
              </w:rPr>
              <w:t>Active Buyers</w:t>
            </w:r>
            <w:r>
              <w:rPr>
                <w:rFonts w:ascii="Arial" w:cs="Arial" w:eastAsia="Arial" w:hAnsi="Arial"/>
                <w:sz w:val="24"/>
                <w:szCs w:val="24"/>
                <w:color w:val="auto"/>
                <w:vertAlign w:val="superscript"/>
              </w:rPr>
              <w:t>(3)</w:t>
            </w:r>
          </w:p>
        </w:tc>
        <w:tc>
          <w:tcPr>
            <w:tcW w:w="1300" w:type="dxa"/>
            <w:vAlign w:val="bottom"/>
          </w:tcPr>
          <w:p>
            <w:pPr>
              <w:jc w:val="right"/>
              <w:spacing w:after="0"/>
              <w:rPr>
                <w:sz w:val="20"/>
                <w:szCs w:val="20"/>
                <w:color w:val="auto"/>
              </w:rPr>
            </w:pPr>
            <w:r>
              <w:rPr>
                <w:rFonts w:ascii="Arial" w:cs="Arial" w:eastAsia="Arial" w:hAnsi="Arial"/>
                <w:sz w:val="18"/>
                <w:szCs w:val="18"/>
                <w:color w:val="auto"/>
              </w:rPr>
              <w:t>36,789</w:t>
            </w:r>
          </w:p>
        </w:tc>
        <w:tc>
          <w:tcPr>
            <w:tcW w:w="2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26,187</w:t>
            </w:r>
          </w:p>
        </w:tc>
        <w:tc>
          <w:tcPr>
            <w:tcW w:w="200" w:type="dxa"/>
            <w:vAlign w:val="bottom"/>
          </w:tcPr>
          <w:p>
            <w:pPr>
              <w:spacing w:after="0"/>
              <w:rPr>
                <w:sz w:val="24"/>
                <w:szCs w:val="24"/>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16"/>
        </w:trPr>
        <w:tc>
          <w:tcPr>
            <w:tcW w:w="6480" w:type="dxa"/>
            <w:vAlign w:val="bottom"/>
          </w:tcPr>
          <w:p>
            <w:pPr>
              <w:ind w:left="20"/>
              <w:spacing w:after="0" w:line="216" w:lineRule="exact"/>
              <w:rPr>
                <w:sz w:val="20"/>
                <w:szCs w:val="20"/>
                <w:color w:val="auto"/>
              </w:rPr>
            </w:pPr>
            <w:r>
              <w:rPr>
                <w:rFonts w:ascii="Arial" w:cs="Arial" w:eastAsia="Arial" w:hAnsi="Arial"/>
                <w:sz w:val="18"/>
                <w:szCs w:val="18"/>
                <w:color w:val="auto"/>
              </w:rPr>
              <w:t>Percentage of Revenue from Existing Accounts</w:t>
            </w:r>
            <w:r>
              <w:rPr>
                <w:rFonts w:ascii="Arial" w:cs="Arial" w:eastAsia="Arial" w:hAnsi="Arial"/>
                <w:sz w:val="24"/>
                <w:szCs w:val="24"/>
                <w:color w:val="auto"/>
                <w:vertAlign w:val="superscript"/>
              </w:rPr>
              <w:t>(3)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96 %</w:t>
            </w: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95 %</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56"/>
        </w:trPr>
        <w:tc>
          <w:tcPr>
            <w:tcW w:w="6480" w:type="dxa"/>
            <w:vAlign w:val="bottom"/>
          </w:tcPr>
          <w:p>
            <w:pPr>
              <w:ind w:left="20"/>
              <w:spacing w:after="0" w:line="256" w:lineRule="exact"/>
              <w:rPr>
                <w:sz w:val="20"/>
                <w:szCs w:val="20"/>
                <w:color w:val="auto"/>
              </w:rPr>
            </w:pPr>
            <w:r>
              <w:rPr>
                <w:rFonts w:ascii="Arial" w:cs="Arial" w:eastAsia="Arial" w:hAnsi="Arial"/>
                <w:sz w:val="18"/>
                <w:szCs w:val="18"/>
                <w:color w:val="auto"/>
              </w:rPr>
              <w:t>Accounts with Last Twelve-Months Spend of at Least $50,000</w:t>
            </w:r>
            <w:r>
              <w:rPr>
                <w:rFonts w:ascii="Arial" w:cs="Arial" w:eastAsia="Arial" w:hAnsi="Arial"/>
                <w:sz w:val="24"/>
                <w:szCs w:val="24"/>
                <w:color w:val="auto"/>
                <w:vertAlign w:val="superscript"/>
              </w:rPr>
              <w:t>(3)</w:t>
            </w:r>
          </w:p>
        </w:tc>
        <w:tc>
          <w:tcPr>
            <w:tcW w:w="1300" w:type="dxa"/>
            <w:vAlign w:val="bottom"/>
          </w:tcPr>
          <w:p>
            <w:pPr>
              <w:jc w:val="right"/>
              <w:spacing w:after="0"/>
              <w:rPr>
                <w:sz w:val="20"/>
                <w:szCs w:val="20"/>
                <w:color w:val="auto"/>
              </w:rPr>
            </w:pPr>
            <w:r>
              <w:rPr>
                <w:rFonts w:ascii="Arial" w:cs="Arial" w:eastAsia="Arial" w:hAnsi="Arial"/>
                <w:sz w:val="18"/>
                <w:szCs w:val="18"/>
                <w:color w:val="auto"/>
              </w:rPr>
              <w:t>974</w:t>
            </w:r>
          </w:p>
        </w:tc>
        <w:tc>
          <w:tcPr>
            <w:tcW w:w="2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603</w:t>
            </w:r>
          </w:p>
        </w:tc>
        <w:tc>
          <w:tcPr>
            <w:tcW w:w="200" w:type="dxa"/>
            <w:vAlign w:val="bottom"/>
          </w:tcPr>
          <w:p>
            <w:pPr>
              <w:spacing w:after="0"/>
              <w:rPr>
                <w:sz w:val="22"/>
                <w:szCs w:val="22"/>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76" w:lineRule="exact"/>
        <w:rPr>
          <w:sz w:val="20"/>
          <w:szCs w:val="20"/>
          <w:color w:val="auto"/>
        </w:rPr>
      </w:pPr>
    </w:p>
    <w:p>
      <w:pPr>
        <w:ind w:left="380" w:right="200" w:hanging="372"/>
        <w:spacing w:after="0" w:line="248" w:lineRule="auto"/>
        <w:tabs>
          <w:tab w:leader="none" w:pos="38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These key operating metrics are for Marketplace. See “Key Terms for our Key Metrics and Non-GAAP Financial Measures” below for definitions of these metrics.</w:t>
      </w:r>
    </w:p>
    <w:p>
      <w:pPr>
        <w:spacing w:after="0" w:line="1" w:lineRule="exact"/>
        <w:rPr>
          <w:rFonts w:ascii="Arial" w:cs="Arial" w:eastAsia="Arial" w:hAnsi="Arial"/>
          <w:sz w:val="20"/>
          <w:szCs w:val="20"/>
          <w:color w:val="auto"/>
        </w:rPr>
      </w:pPr>
    </w:p>
    <w:p>
      <w:pPr>
        <w:ind w:left="380" w:right="160" w:hanging="372"/>
        <w:spacing w:after="0" w:line="245" w:lineRule="auto"/>
        <w:tabs>
          <w:tab w:leader="none" w:pos="380" w:val="left"/>
        </w:tabs>
        <w:numPr>
          <w:ilvl w:val="0"/>
          <w:numId w:val="6"/>
        </w:numPr>
        <w:rPr>
          <w:rFonts w:ascii="Arial" w:cs="Arial" w:eastAsia="Arial" w:hAnsi="Arial"/>
          <w:sz w:val="20"/>
          <w:szCs w:val="20"/>
          <w:color w:val="auto"/>
        </w:rPr>
      </w:pPr>
      <w:r>
        <w:rPr>
          <w:rFonts w:ascii="Arial" w:cs="Arial" w:eastAsia="Arial" w:hAnsi="Arial"/>
          <w:sz w:val="20"/>
          <w:szCs w:val="20"/>
          <w:color w:val="auto"/>
        </w:rPr>
        <w:t>Amounts shown for Active Buyers and Accounts with Last Twelve-Months Spend of at Least $50,000 are as of September 30, 2022 and 2021, and Percentage of Revenue from Existing Accounts is presented for the quarters ended September 30, 2022 and 2021.</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Guidance and Outlook:</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6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Q4 2022</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76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(in millions)</w:t>
            </w: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jc w:val="right"/>
              <w:ind w:right="730"/>
              <w:spacing w:after="0"/>
              <w:rPr>
                <w:sz w:val="20"/>
                <w:szCs w:val="20"/>
                <w:color w:val="auto"/>
              </w:rPr>
            </w:pPr>
            <w:r>
              <w:rPr>
                <w:rFonts w:ascii="Arial" w:cs="Arial" w:eastAsia="Arial" w:hAnsi="Arial"/>
                <w:sz w:val="18"/>
                <w:szCs w:val="18"/>
                <w:b w:val="1"/>
                <w:bCs w:val="1"/>
                <w:color w:val="auto"/>
              </w:rPr>
              <w:t>Low</w:t>
            </w:r>
          </w:p>
        </w:tc>
        <w:tc>
          <w:tcPr>
            <w:tcW w:w="580" w:type="dxa"/>
            <w:vAlign w:val="bottom"/>
          </w:tcPr>
          <w:p>
            <w:pPr>
              <w:spacing w:after="0"/>
              <w:rPr>
                <w:sz w:val="18"/>
                <w:szCs w:val="18"/>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High</w:t>
            </w:r>
          </w:p>
        </w:tc>
        <w:tc>
          <w:tcPr>
            <w:tcW w:w="100" w:type="dxa"/>
            <w:vAlign w:val="bottom"/>
          </w:tcPr>
          <w:p>
            <w:pPr>
              <w:spacing w:after="0"/>
              <w:rPr>
                <w:sz w:val="18"/>
                <w:szCs w:val="18"/>
                <w:color w:val="auto"/>
              </w:rPr>
            </w:pPr>
          </w:p>
        </w:tc>
      </w:tr>
      <w:tr>
        <w:trPr>
          <w:trHeight w:val="216"/>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104.0</w:t>
            </w:r>
          </w:p>
        </w:tc>
        <w:tc>
          <w:tcPr>
            <w:tcW w:w="5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w:t>
            </w:r>
          </w:p>
        </w:tc>
        <w:tc>
          <w:tcPr>
            <w:tcW w:w="100" w:type="dxa"/>
            <w:vAlign w:val="bottom"/>
            <w:shd w:val="clear" w:color="auto" w:fill="CFF0FC"/>
          </w:tcPr>
          <w:p>
            <w:pPr>
              <w:spacing w:after="0"/>
              <w:rPr>
                <w:sz w:val="18"/>
                <w:szCs w:val="18"/>
                <w:color w:val="auto"/>
              </w:rPr>
            </w:pPr>
          </w:p>
        </w:tc>
      </w:tr>
      <w:tr>
        <w:trPr>
          <w:trHeight w:val="239"/>
        </w:trPr>
        <w:tc>
          <w:tcPr>
            <w:tcW w:w="762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(9.0 )</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(8.0 )</w:t>
            </w:r>
          </w:p>
        </w:tc>
      </w:tr>
    </w:tbl>
    <w:p>
      <w:pPr>
        <w:spacing w:after="0" w:line="158" w:lineRule="exact"/>
        <w:rPr>
          <w:sz w:val="20"/>
          <w:szCs w:val="20"/>
          <w:color w:val="auto"/>
        </w:rPr>
      </w:pPr>
    </w:p>
    <w:p>
      <w:pPr>
        <w:jc w:val="both"/>
        <w:ind w:right="340"/>
        <w:spacing w:after="0" w:line="255" w:lineRule="auto"/>
        <w:rPr>
          <w:sz w:val="20"/>
          <w:szCs w:val="20"/>
          <w:color w:val="auto"/>
        </w:rPr>
      </w:pPr>
      <w:r>
        <w:rPr>
          <w:rFonts w:ascii="Arial" w:cs="Arial" w:eastAsia="Arial" w:hAnsi="Arial"/>
          <w:sz w:val="20"/>
          <w:szCs w:val="20"/>
          <w:color w:val="auto"/>
        </w:rPr>
        <w:t>Xometry’s fourth quarter 2022 financial outlook is based on a number of assumptions that are subject to change and many of which are outside of its control. If actual results vary from these assumptions, Xometry’s expectations may change. There can be no assurance that Xometry will achieve these results.</w:t>
      </w:r>
    </w:p>
    <w:p>
      <w:pPr>
        <w:spacing w:after="0" w:line="157" w:lineRule="exact"/>
        <w:rPr>
          <w:sz w:val="20"/>
          <w:szCs w:val="20"/>
          <w:color w:val="auto"/>
        </w:rPr>
      </w:pPr>
    </w:p>
    <w:p>
      <w:pPr>
        <w:ind w:right="280"/>
        <w:spacing w:after="0" w:line="263" w:lineRule="auto"/>
        <w:rPr>
          <w:sz w:val="20"/>
          <w:szCs w:val="20"/>
          <w:color w:val="auto"/>
        </w:rPr>
      </w:pPr>
      <w:r>
        <w:rPr>
          <w:rFonts w:ascii="Arial" w:cs="Arial" w:eastAsia="Arial" w:hAnsi="Arial"/>
          <w:sz w:val="19"/>
          <w:szCs w:val="19"/>
          <w:color w:val="auto"/>
        </w:rPr>
        <w:t>Reconciliation of Adjusted EBITDA on a forward-looking basis to net loss, the most directly comparable GAAP measure, is not available without unreasonable efforts due to the high variability and complexity and low visibility with respect to the charges excluded from this non-GAAP measure; in particular, the effects of stock-based compensation expense specific to equity compensation awards that are directly impacted by unpredictable fluctuations in Xometry’s stock price. Xometry expects the variability of the above charges to have a significant, and potentially unpredictable, impact on its future GAAP financial results.</w:t>
      </w:r>
    </w:p>
    <w:p>
      <w:pPr>
        <w:spacing w:after="0" w:line="16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00" w:right="27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Use of Non-GAAP Financial Measures</w:t>
      </w:r>
    </w:p>
    <w:p>
      <w:pPr>
        <w:spacing w:after="0" w:line="109" w:lineRule="exact"/>
        <w:rPr>
          <w:sz w:val="20"/>
          <w:szCs w:val="20"/>
          <w:color w:val="auto"/>
        </w:rPr>
      </w:pPr>
    </w:p>
    <w:p>
      <w:pPr>
        <w:spacing w:after="0" w:line="252" w:lineRule="auto"/>
        <w:rPr>
          <w:sz w:val="20"/>
          <w:szCs w:val="20"/>
          <w:color w:val="auto"/>
        </w:rPr>
      </w:pPr>
      <w:r>
        <w:rPr>
          <w:rFonts w:ascii="Arial" w:cs="Arial" w:eastAsia="Arial" w:hAnsi="Arial"/>
          <w:sz w:val="19"/>
          <w:szCs w:val="19"/>
          <w:color w:val="auto"/>
        </w:rPr>
        <w:t>To supplement its consolidated financial statements, which are prepared and presented in accordance with generally accepted accounting principles in the United States of America (“GAAP”), Xometry, Inc. ("Xometry", the "Company", "we" or "our") uses Adjusted EBITDA, non-GAAP net loss and non-GAAP Earnings Per Share, which are considered non-GAAP financial measures, as described below. These non-GAAP financial measures are presented to enhance the user’s overall understanding of Xometry’s financial performance and should not be considered a substitute for, nor superior to, the financial information prepared and presented in accordance with GAAP. The non-GAAP financial measures presented in this release, together with the GAAP financial results, are the primary measures used by the Company’s management and board of directors to understand and evaluate the Company’s financial performance and operating trends, including period-to-period comparisons, because they exclude certain expenses and gains that management believes are not indicative of the Company’s core operating results. Management also uses these measures to prepare and update the Company’s short and long term financial and operational plans, to evaluate investment decisions, and in its discussions with investors, commercial bankers, equity research analysts and other users of the Company’s financial statements. Accordingly, the Company believes that these non-GAAP financial measures provide useful information to investors and others in understanding and evaluating the Company’s operating results in the same manner as the Company’s management and in comparing operating results across periods and to those of Xometry’s peer companies. In addition, from time to time we may present adjusted information (for example, revenue growth) to exclude the impact of certain gains, losses or other changes that affect period-to-period comparability of our operating performance.</w:t>
      </w:r>
    </w:p>
    <w:p>
      <w:pPr>
        <w:spacing w:after="0" w:line="186" w:lineRule="exact"/>
        <w:rPr>
          <w:sz w:val="20"/>
          <w:szCs w:val="20"/>
          <w:color w:val="auto"/>
        </w:rPr>
      </w:pPr>
    </w:p>
    <w:p>
      <w:pPr>
        <w:ind w:right="40"/>
        <w:spacing w:after="0" w:line="242" w:lineRule="auto"/>
        <w:rPr>
          <w:sz w:val="20"/>
          <w:szCs w:val="20"/>
          <w:color w:val="auto"/>
        </w:rPr>
      </w:pPr>
      <w:r>
        <w:rPr>
          <w:rFonts w:ascii="Arial" w:cs="Arial" w:eastAsia="Arial" w:hAnsi="Arial"/>
          <w:sz w:val="20"/>
          <w:szCs w:val="20"/>
          <w:color w:val="auto"/>
        </w:rPr>
        <w:t>The use of non-GAAP financial measures has certain limitations because they do not reflect all items of income and expense, or cash flows, that affect the Company’s financial performance and operations. Additionally, non-GAAP financial measures do not have standardized meanings, and therefore other companies, including peer companies, may use the same or similarly named measures but exclude or include different items or use different computations. Management compensates for these limitations by reconciling these non-GAAP financial measures to their most comparable GAAP financial measures in the tables captioned “Reconciliations of Non-GAAP Financial Measures” included at the end of this release. Investors and others are encouraged to review the Company’s financial information in its entirety and not rely on a single financial measure.</w:t>
      </w:r>
    </w:p>
    <w:p>
      <w:pPr>
        <w:spacing w:after="0" w:line="168" w:lineRule="exact"/>
        <w:rPr>
          <w:sz w:val="20"/>
          <w:szCs w:val="20"/>
          <w:color w:val="auto"/>
        </w:rPr>
      </w:pPr>
    </w:p>
    <w:p>
      <w:pPr>
        <w:ind w:right="5020"/>
        <w:spacing w:after="0" w:line="481" w:lineRule="auto"/>
        <w:rPr>
          <w:sz w:val="20"/>
          <w:szCs w:val="20"/>
          <w:color w:val="auto"/>
        </w:rPr>
      </w:pPr>
      <w:r>
        <w:rPr>
          <w:rFonts w:ascii="Arial" w:cs="Arial" w:eastAsia="Arial" w:hAnsi="Arial"/>
          <w:sz w:val="19"/>
          <w:szCs w:val="19"/>
          <w:b w:val="1"/>
          <w:bCs w:val="1"/>
          <w:color w:val="auto"/>
        </w:rPr>
        <w:t xml:space="preserve">Key Terms for our Key Metrics and Non-GAAP Financial Measures Marketplace revenue: </w:t>
      </w:r>
      <w:r>
        <w:rPr>
          <w:rFonts w:ascii="Arial" w:cs="Arial" w:eastAsia="Arial" w:hAnsi="Arial"/>
          <w:sz w:val="19"/>
          <w:szCs w:val="19"/>
          <w:color w:val="auto"/>
        </w:rPr>
        <w:t>includes the sale of parts and assemblies.</w:t>
      </w:r>
    </w:p>
    <w:p>
      <w:pPr>
        <w:spacing w:after="0" w:line="1" w:lineRule="exact"/>
        <w:rPr>
          <w:sz w:val="20"/>
          <w:szCs w:val="20"/>
          <w:color w:val="auto"/>
        </w:rPr>
      </w:pPr>
    </w:p>
    <w:p>
      <w:pPr>
        <w:ind w:right="540"/>
        <w:spacing w:after="0" w:line="273" w:lineRule="auto"/>
        <w:rPr>
          <w:sz w:val="20"/>
          <w:szCs w:val="20"/>
          <w:color w:val="auto"/>
        </w:rPr>
      </w:pPr>
      <w:r>
        <w:rPr>
          <w:rFonts w:ascii="Arial" w:cs="Arial" w:eastAsia="Arial" w:hAnsi="Arial"/>
          <w:sz w:val="20"/>
          <w:szCs w:val="20"/>
          <w:b w:val="1"/>
          <w:bCs w:val="1"/>
          <w:color w:val="auto"/>
        </w:rPr>
        <w:t xml:space="preserve">Supplier service revenue: </w:t>
      </w:r>
      <w:r>
        <w:rPr>
          <w:rFonts w:ascii="Arial" w:cs="Arial" w:eastAsia="Arial" w:hAnsi="Arial"/>
          <w:sz w:val="20"/>
          <w:szCs w:val="20"/>
          <w:color w:val="auto"/>
        </w:rPr>
        <w:t>includes the sales of advertising on Thomasnet, marketing services, supplies, financial service</w:t>
      </w:r>
      <w:r>
        <w:rPr>
          <w:rFonts w:ascii="Arial" w:cs="Arial" w:eastAsia="Arial" w:hAnsi="Arial"/>
          <w:sz w:val="20"/>
          <w:szCs w:val="20"/>
          <w:b w:val="1"/>
          <w:bCs w:val="1"/>
          <w:color w:val="auto"/>
        </w:rPr>
        <w:t xml:space="preserve"> </w:t>
      </w:r>
      <w:r>
        <w:rPr>
          <w:rFonts w:ascii="Arial" w:cs="Arial" w:eastAsia="Arial" w:hAnsi="Arial"/>
          <w:sz w:val="20"/>
          <w:szCs w:val="20"/>
          <w:color w:val="auto"/>
        </w:rPr>
        <w:t>products and other fintech products.</w:t>
      </w:r>
    </w:p>
    <w:p>
      <w:pPr>
        <w:spacing w:after="0" w:line="138" w:lineRule="exact"/>
        <w:rPr>
          <w:sz w:val="20"/>
          <w:szCs w:val="20"/>
          <w:color w:val="auto"/>
        </w:rPr>
      </w:pPr>
    </w:p>
    <w:p>
      <w:pPr>
        <w:ind w:right="480"/>
        <w:spacing w:after="0" w:line="256" w:lineRule="auto"/>
        <w:rPr>
          <w:sz w:val="20"/>
          <w:szCs w:val="20"/>
          <w:color w:val="auto"/>
        </w:rPr>
      </w:pPr>
      <w:r>
        <w:rPr>
          <w:rFonts w:ascii="Arial" w:cs="Arial" w:eastAsia="Arial" w:hAnsi="Arial"/>
          <w:sz w:val="20"/>
          <w:szCs w:val="20"/>
          <w:b w:val="1"/>
          <w:bCs w:val="1"/>
          <w:color w:val="auto"/>
        </w:rPr>
        <w:t xml:space="preserve">Active Buyers: </w:t>
      </w:r>
      <w:r>
        <w:rPr>
          <w:rFonts w:ascii="Arial" w:cs="Arial" w:eastAsia="Arial" w:hAnsi="Arial"/>
          <w:sz w:val="20"/>
          <w:szCs w:val="20"/>
          <w:color w:val="auto"/>
        </w:rPr>
        <w:t>The Company defines “buyers” as individuals who have placed an order to purchase on-demand parts or</w:t>
      </w:r>
      <w:r>
        <w:rPr>
          <w:rFonts w:ascii="Arial" w:cs="Arial" w:eastAsia="Arial" w:hAnsi="Arial"/>
          <w:sz w:val="20"/>
          <w:szCs w:val="20"/>
          <w:b w:val="1"/>
          <w:bCs w:val="1"/>
          <w:color w:val="auto"/>
        </w:rPr>
        <w:t xml:space="preserve"> </w:t>
      </w:r>
      <w:r>
        <w:rPr>
          <w:rFonts w:ascii="Arial" w:cs="Arial" w:eastAsia="Arial" w:hAnsi="Arial"/>
          <w:sz w:val="20"/>
          <w:szCs w:val="20"/>
          <w:color w:val="auto"/>
        </w:rPr>
        <w:t>assemblies on our marketplace. The Company defines Active Buyers as the number of buyers who have made at least one purchase on our marketplace during the last twelve months.</w:t>
      </w:r>
    </w:p>
    <w:p>
      <w:pPr>
        <w:spacing w:after="0" w:line="168" w:lineRule="exact"/>
        <w:rPr>
          <w:sz w:val="20"/>
          <w:szCs w:val="20"/>
          <w:color w:val="auto"/>
        </w:rPr>
      </w:pPr>
    </w:p>
    <w:p>
      <w:pPr>
        <w:jc w:val="both"/>
        <w:ind w:right="160"/>
        <w:spacing w:after="0" w:line="276" w:lineRule="auto"/>
        <w:rPr>
          <w:sz w:val="20"/>
          <w:szCs w:val="20"/>
          <w:color w:val="auto"/>
        </w:rPr>
      </w:pPr>
      <w:r>
        <w:rPr>
          <w:rFonts w:ascii="Arial" w:cs="Arial" w:eastAsia="Arial" w:hAnsi="Arial"/>
          <w:sz w:val="19"/>
          <w:szCs w:val="19"/>
          <w:b w:val="1"/>
          <w:bCs w:val="1"/>
          <w:color w:val="auto"/>
        </w:rPr>
        <w:t xml:space="preserve">Percentage of Revenue from Existing Accounts: </w:t>
      </w:r>
      <w:r>
        <w:rPr>
          <w:rFonts w:ascii="Arial" w:cs="Arial" w:eastAsia="Arial" w:hAnsi="Arial"/>
          <w:sz w:val="19"/>
          <w:szCs w:val="19"/>
          <w:color w:val="auto"/>
        </w:rPr>
        <w:t>The Company defines an “account” as an individual entity, such as a sole</w:t>
      </w:r>
      <w:r>
        <w:rPr>
          <w:rFonts w:ascii="Arial" w:cs="Arial" w:eastAsia="Arial" w:hAnsi="Arial"/>
          <w:sz w:val="19"/>
          <w:szCs w:val="19"/>
          <w:b w:val="1"/>
          <w:bCs w:val="1"/>
          <w:color w:val="auto"/>
        </w:rPr>
        <w:t xml:space="preserve"> </w:t>
      </w:r>
      <w:r>
        <w:rPr>
          <w:rFonts w:ascii="Arial" w:cs="Arial" w:eastAsia="Arial" w:hAnsi="Arial"/>
          <w:sz w:val="19"/>
          <w:szCs w:val="19"/>
          <w:color w:val="auto"/>
        </w:rPr>
        <w:t>proprietor with a single buyer or corporate entities with multiple buyers, having purchased at least one part on our marketplace. The Company defines an existing account as an account where at least one buyer has made a purchase on our marketplace.</w:t>
      </w:r>
    </w:p>
    <w:p>
      <w:pPr>
        <w:spacing w:after="0" w:line="136" w:lineRule="exact"/>
        <w:rPr>
          <w:sz w:val="20"/>
          <w:szCs w:val="20"/>
          <w:color w:val="auto"/>
        </w:rPr>
      </w:pPr>
    </w:p>
    <w:p>
      <w:pPr>
        <w:ind w:right="240"/>
        <w:spacing w:after="0" w:line="256" w:lineRule="auto"/>
        <w:rPr>
          <w:sz w:val="20"/>
          <w:szCs w:val="20"/>
          <w:color w:val="auto"/>
        </w:rPr>
      </w:pPr>
      <w:r>
        <w:rPr>
          <w:rFonts w:ascii="Arial" w:cs="Arial" w:eastAsia="Arial" w:hAnsi="Arial"/>
          <w:sz w:val="20"/>
          <w:szCs w:val="20"/>
          <w:b w:val="1"/>
          <w:bCs w:val="1"/>
          <w:color w:val="auto"/>
        </w:rPr>
        <w:t xml:space="preserve">Accounts with Last Twelve-Month Spend of At Least $50,000: </w:t>
      </w:r>
      <w:r>
        <w:rPr>
          <w:rFonts w:ascii="Arial" w:cs="Arial" w:eastAsia="Arial" w:hAnsi="Arial"/>
          <w:sz w:val="20"/>
          <w:szCs w:val="20"/>
          <w:color w:val="auto"/>
        </w:rPr>
        <w:t>The Company defines Accounts with Last Twelve-Month</w:t>
      </w:r>
      <w:r>
        <w:rPr>
          <w:rFonts w:ascii="Arial" w:cs="Arial" w:eastAsia="Arial" w:hAnsi="Arial"/>
          <w:sz w:val="20"/>
          <w:szCs w:val="20"/>
          <w:b w:val="1"/>
          <w:bCs w:val="1"/>
          <w:color w:val="auto"/>
        </w:rPr>
        <w:t xml:space="preserve"> </w:t>
      </w:r>
      <w:r>
        <w:rPr>
          <w:rFonts w:ascii="Arial" w:cs="Arial" w:eastAsia="Arial" w:hAnsi="Arial"/>
          <w:sz w:val="20"/>
          <w:szCs w:val="20"/>
          <w:color w:val="auto"/>
        </w:rPr>
        <w:t>Spend of At Least $50,000 as an account that has spent at least $50,000 on our marketplace in the most recent twelve-month period.</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7" w:name="page8"/>
    <w:bookmarkEnd w:id="7"/>
    <w:p>
      <w:pPr>
        <w:ind w:right="20"/>
        <w:spacing w:after="0" w:line="242" w:lineRule="auto"/>
        <w:rPr>
          <w:sz w:val="20"/>
          <w:szCs w:val="20"/>
          <w:color w:val="auto"/>
        </w:rPr>
      </w:pPr>
      <w:r>
        <w:rPr>
          <w:rFonts w:ascii="Arial" w:cs="Arial" w:eastAsia="Arial" w:hAnsi="Arial"/>
          <w:sz w:val="20"/>
          <w:szCs w:val="20"/>
          <w:b w:val="1"/>
          <w:bCs w:val="1"/>
          <w:color w:val="auto"/>
        </w:rPr>
        <w:t>Adjusted earnings before interest, taxes, depreciation and amortization (Adjusted EBITDA)</w:t>
      </w:r>
      <w:r>
        <w:rPr>
          <w:rFonts w:ascii="Arial" w:cs="Arial" w:eastAsia="Arial" w:hAnsi="Arial"/>
          <w:sz w:val="20"/>
          <w:szCs w:val="20"/>
          <w:color w:val="auto"/>
        </w:rPr>
        <w:t>: The Company defines</w:t>
      </w:r>
      <w:r>
        <w:rPr>
          <w:rFonts w:ascii="Arial" w:cs="Arial" w:eastAsia="Arial" w:hAnsi="Arial"/>
          <w:sz w:val="20"/>
          <w:szCs w:val="20"/>
          <w:b w:val="1"/>
          <w:bCs w:val="1"/>
          <w:color w:val="auto"/>
        </w:rPr>
        <w:t xml:space="preserve"> </w:t>
      </w:r>
      <w:r>
        <w:rPr>
          <w:rFonts w:ascii="Arial" w:cs="Arial" w:eastAsia="Arial" w:hAnsi="Arial"/>
          <w:sz w:val="20"/>
          <w:szCs w:val="20"/>
          <w:color w:val="auto"/>
        </w:rPr>
        <w:t>Adjusted EBITDA as net loss, adjusted for interest expense, interest and dividend income and other expenses, income tax benefit, and certain other non-cash or non-recurring items impacting net loss from time to time, principally comprised of depreciation and amortization, stock-based compensation, charitable contributions of common stock, income from unconsolidated joint venture, impairment charges and acquisition and other adjustments not reflective of the Company's ongoing business, such as adjustments related to purchase accounting, the revaluation of contingent consideration and transaction costs.</w:t>
      </w:r>
    </w:p>
    <w:p>
      <w:pPr>
        <w:spacing w:after="0" w:line="184" w:lineRule="exact"/>
        <w:rPr>
          <w:sz w:val="20"/>
          <w:szCs w:val="20"/>
          <w:color w:val="auto"/>
        </w:rPr>
      </w:pPr>
    </w:p>
    <w:p>
      <w:pPr>
        <w:spacing w:after="0" w:line="244" w:lineRule="auto"/>
        <w:rPr>
          <w:sz w:val="20"/>
          <w:szCs w:val="20"/>
          <w:color w:val="auto"/>
        </w:rPr>
      </w:pPr>
      <w:r>
        <w:rPr>
          <w:rFonts w:ascii="Arial" w:cs="Arial" w:eastAsia="Arial" w:hAnsi="Arial"/>
          <w:sz w:val="20"/>
          <w:szCs w:val="20"/>
          <w:b w:val="1"/>
          <w:bCs w:val="1"/>
          <w:color w:val="auto"/>
        </w:rPr>
        <w:t xml:space="preserve">Non-GAAP net loss: </w:t>
      </w:r>
      <w:r>
        <w:rPr>
          <w:rFonts w:ascii="Arial" w:cs="Arial" w:eastAsia="Arial" w:hAnsi="Arial"/>
          <w:sz w:val="20"/>
          <w:szCs w:val="20"/>
          <w:color w:val="auto"/>
        </w:rPr>
        <w:t>The Company defines non-GAAP net loss as net loss adjusted for depreciation and amortization, stock-based compensation expense, amortization of lease intangible, amortization of deferred costs on convertible notes, unrealized loss on marketable securities, loss on sale of property and equipment, charitable contributions of common stock, impairment charges and acquisition and other adjustments not reflective of the Company's ongoing business, such as adjustments related to purchase accounting, the revaluation of contingent consideration and transaction costs.</w:t>
      </w:r>
    </w:p>
    <w:p>
      <w:pPr>
        <w:spacing w:after="0" w:line="166" w:lineRule="exact"/>
        <w:rPr>
          <w:sz w:val="20"/>
          <w:szCs w:val="20"/>
          <w:color w:val="auto"/>
        </w:rPr>
      </w:pPr>
    </w:p>
    <w:p>
      <w:pPr>
        <w:jc w:val="both"/>
        <w:ind w:right="420"/>
        <w:spacing w:after="0" w:line="256" w:lineRule="auto"/>
        <w:rPr>
          <w:sz w:val="20"/>
          <w:szCs w:val="20"/>
          <w:color w:val="auto"/>
        </w:rPr>
      </w:pPr>
      <w:r>
        <w:rPr>
          <w:rFonts w:ascii="Arial" w:cs="Arial" w:eastAsia="Arial" w:hAnsi="Arial"/>
          <w:sz w:val="20"/>
          <w:szCs w:val="20"/>
          <w:b w:val="1"/>
          <w:bCs w:val="1"/>
          <w:color w:val="auto"/>
        </w:rPr>
        <w:t xml:space="preserve">Non-GAAP Earnings Per Share, basic and diluted (Non-GAAP EPS, basic and diluted): </w:t>
      </w:r>
      <w:r>
        <w:rPr>
          <w:rFonts w:ascii="Arial" w:cs="Arial" w:eastAsia="Arial" w:hAnsi="Arial"/>
          <w:sz w:val="20"/>
          <w:szCs w:val="20"/>
          <w:color w:val="auto"/>
        </w:rPr>
        <w:t>The Company calculates non-GAAP earnings per share, (basic and diluted) as non-GAAP net loss divided by weighted average number of common stock outstanding.</w:t>
      </w:r>
    </w:p>
    <w:p>
      <w:pPr>
        <w:spacing w:after="0" w:line="156" w:lineRule="exact"/>
        <w:rPr>
          <w:sz w:val="20"/>
          <w:szCs w:val="20"/>
          <w:color w:val="auto"/>
        </w:rPr>
      </w:pPr>
    </w:p>
    <w:p>
      <w:pPr>
        <w:ind w:right="20"/>
        <w:spacing w:after="0" w:line="242" w:lineRule="auto"/>
        <w:rPr>
          <w:sz w:val="20"/>
          <w:szCs w:val="20"/>
          <w:color w:val="auto"/>
        </w:rPr>
      </w:pPr>
      <w:r>
        <w:rPr>
          <w:rFonts w:ascii="Arial" w:cs="Arial" w:eastAsia="Arial" w:hAnsi="Arial"/>
          <w:sz w:val="20"/>
          <w:szCs w:val="20"/>
          <w:color w:val="auto"/>
        </w:rPr>
        <w:t>Management believes that the exclusion of certain expenses and gains in calculating Adjusted EBITDA, non-GAAP net loss and non-GAAP EPS, basic and diluted provides a useful measure for period-to-period comparisons of the Company’s underlying core revenue and operating costs that is focused more closely on the current costs necessary to operate the Company’s businesses, and reflects its ongoing business in a manner that allows for meaningful analysis of trends. Management also believes that excluding certain non-cash charges can be useful because the amounts of such expenses is the result of long-term investment decisions made in previous periods rather than day-to-day operating decisions.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Xometry</w:t>
      </w:r>
    </w:p>
    <w:p>
      <w:pPr>
        <w:spacing w:after="0" w:line="217" w:lineRule="exact"/>
        <w:rPr>
          <w:sz w:val="20"/>
          <w:szCs w:val="20"/>
          <w:color w:val="auto"/>
        </w:rPr>
      </w:pPr>
    </w:p>
    <w:p>
      <w:pPr>
        <w:ind w:right="20"/>
        <w:spacing w:after="0" w:line="245" w:lineRule="auto"/>
        <w:rPr>
          <w:sz w:val="20"/>
          <w:szCs w:val="20"/>
          <w:color w:val="auto"/>
        </w:rPr>
      </w:pPr>
      <w:r>
        <w:rPr>
          <w:rFonts w:ascii="Arial" w:cs="Arial" w:eastAsia="Arial" w:hAnsi="Arial"/>
          <w:sz w:val="20"/>
          <w:szCs w:val="20"/>
          <w:color w:val="auto"/>
        </w:rPr>
        <w:t>Xometry (XMTR) powers the industries of today and tomorrow by connecting the people with big ideas to the manufacturers who can bring them to life. Xometry’s digital marketplace gives manufacturers the critical resources they need to grow their business while also making it easy for buyers at Fortune 1000 companies to tap into global manufacturing capacity and create locally resilient supply chains. Learn more at www.xometry.com or follow @xometry.</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and Webcast Information</w:t>
      </w:r>
    </w:p>
    <w:p>
      <w:pPr>
        <w:spacing w:after="0" w:line="217" w:lineRule="exact"/>
        <w:rPr>
          <w:sz w:val="20"/>
          <w:szCs w:val="20"/>
          <w:color w:val="auto"/>
        </w:rPr>
      </w:pPr>
    </w:p>
    <w:p>
      <w:pPr>
        <w:ind w:right="320"/>
        <w:spacing w:after="0" w:line="255" w:lineRule="auto"/>
        <w:rPr>
          <w:sz w:val="20"/>
          <w:szCs w:val="20"/>
          <w:color w:val="auto"/>
        </w:rPr>
      </w:pPr>
      <w:r>
        <w:rPr>
          <w:rFonts w:ascii="Arial" w:cs="Arial" w:eastAsia="Arial" w:hAnsi="Arial"/>
          <w:sz w:val="20"/>
          <w:szCs w:val="20"/>
          <w:color w:val="auto"/>
        </w:rPr>
        <w:t>The Company will host a conference call and webcast to discuss the results at 8:30 a.m. ET (5:30 a.m. PT) on November 10, 2022. In addition to issuing a press release, the Company will post an earnings presentation to its investor website at investors.xometry.com.</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Xometry, Inc. Third Quarter 2022 Earnings Presentation and Conference Call</w:t>
      </w:r>
    </w:p>
    <w:p>
      <w:pPr>
        <w:spacing w:after="0" w:line="2" w:lineRule="exact"/>
        <w:rPr>
          <w:sz w:val="20"/>
          <w:szCs w:val="20"/>
          <w:color w:val="auto"/>
        </w:rPr>
      </w:pPr>
    </w:p>
    <w:p>
      <w:pPr>
        <w:ind w:left="1020" w:hanging="504"/>
        <w:spacing w:after="0"/>
        <w:tabs>
          <w:tab w:leader="none" w:pos="102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8:30 a.m. Eastern / 5:30 a.m. Pacific on Thursday, November 10, 2022</w:t>
      </w:r>
    </w:p>
    <w:p>
      <w:pPr>
        <w:ind w:left="1020" w:hanging="504"/>
        <w:spacing w:after="0"/>
        <w:tabs>
          <w:tab w:leader="none" w:pos="1020" w:val="left"/>
        </w:tabs>
        <w:numPr>
          <w:ilvl w:val="0"/>
          <w:numId w:val="7"/>
        </w:numPr>
        <w:rPr>
          <w:rFonts w:ascii="Times New Roman" w:cs="Times New Roman" w:eastAsia="Times New Roman" w:hAnsi="Times New Roman"/>
          <w:sz w:val="19"/>
          <w:szCs w:val="19"/>
          <w:color w:val="auto"/>
        </w:rPr>
      </w:pPr>
      <w:r>
        <w:rPr>
          <w:rFonts w:ascii="Arial" w:cs="Arial" w:eastAsia="Arial" w:hAnsi="Arial"/>
          <w:sz w:val="19"/>
          <w:szCs w:val="19"/>
          <w:color w:val="auto"/>
        </w:rPr>
        <w:t>To register please use the following link: https://register.vevent.com/register/BI4b82a3357dbc4416913d7289fc71c0df</w:t>
      </w:r>
    </w:p>
    <w:p>
      <w:pPr>
        <w:spacing w:after="0" w:line="9" w:lineRule="exact"/>
        <w:rPr>
          <w:rFonts w:ascii="Times New Roman" w:cs="Times New Roman" w:eastAsia="Times New Roman" w:hAnsi="Times New Roman"/>
          <w:sz w:val="19"/>
          <w:szCs w:val="19"/>
          <w:color w:val="auto"/>
        </w:rPr>
      </w:pPr>
    </w:p>
    <w:p>
      <w:pPr>
        <w:ind w:left="1020" w:right="160" w:hanging="504"/>
        <w:spacing w:after="0" w:line="251" w:lineRule="auto"/>
        <w:tabs>
          <w:tab w:leader="none" w:pos="102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You may also visit the Xometry Investor Relations Homepage at investors.xometry.com to listen to a live webcast of the call</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Information Regarding Forward-Looking Statements</w:t>
      </w:r>
    </w:p>
    <w:p>
      <w:pPr>
        <w:spacing w:after="0" w:line="19" w:lineRule="exact"/>
        <w:rPr>
          <w:sz w:val="20"/>
          <w:szCs w:val="20"/>
          <w:color w:val="auto"/>
        </w:rPr>
      </w:pPr>
    </w:p>
    <w:p>
      <w:pPr>
        <w:ind w:right="40"/>
        <w:spacing w:after="0" w:line="239" w:lineRule="auto"/>
        <w:rPr>
          <w:sz w:val="20"/>
          <w:szCs w:val="20"/>
          <w:color w:val="auto"/>
        </w:rPr>
      </w:pPr>
      <w:r>
        <w:rPr>
          <w:rFonts w:ascii="Arial" w:cs="Arial" w:eastAsia="Arial" w:hAnsi="Arial"/>
          <w:sz w:val="20"/>
          <w:szCs w:val="20"/>
          <w:color w:val="auto"/>
        </w:rPr>
        <w:t>This press release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“could,”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8" w:right="339" w:bottom="1440" w:gutter="0" w:footer="0" w:header="0"/>
        </w:sectPr>
      </w:pPr>
    </w:p>
    <w:bookmarkStart w:id="8" w:name="page9"/>
    <w:bookmarkEnd w:id="8"/>
    <w:p>
      <w:pPr>
        <w:spacing w:after="0" w:line="252" w:lineRule="auto"/>
        <w:rPr>
          <w:sz w:val="20"/>
          <w:szCs w:val="20"/>
          <w:color w:val="auto"/>
        </w:rPr>
      </w:pPr>
      <w:r>
        <w:rPr>
          <w:rFonts w:ascii="Arial" w:cs="Arial" w:eastAsia="Arial" w:hAnsi="Arial"/>
          <w:sz w:val="19"/>
          <w:szCs w:val="19"/>
          <w:color w:val="auto"/>
        </w:rPr>
        <w:t>“would,” “intend,” “target,” “project,” “contemplate,” “believe,” “estimate,” “predict,” “potential” or “continue” or the negative of these words or other similar terms or expressions that concern our expectations, strategy, plans or intentions. Forward-looking statements in this press release include, but are not limited to, our beliefs regarding our financial position and operating performance, including our outlook and guidance for the fourth quarter 2022, our expectation regarding 2023 Adjusted EBITDA, and demand for our marketplaces in general. Our expectations and beliefs regarding these matters may not materialize, and actual results in future periods are subject to risks and uncertainties that could cause actual results to differ materially from those projected, including risks and uncertainties related to: competition, managing our growth, financial performance, the impact of the COVID-19 pandemic on our business and operations, our ability to forecast our performance due to our limited operating history, investments in new products or offerings, our ability to attract buyers and sellers to our marketplace, legal proceedings and regulatory matters and developments, any future changes to our business or our financial or operating model, our brand and reputation, and the impact of fluctuations in general macroeconomic conditions, such as the current inflationary environment and rising interest rates. The forward-looking statements contained in this press release are also subject to other risks and uncertainties that could cause actual results to differ from the results predicted, including those more fully described in our filings with the SEC, including our Annual Report on Form 10-K for the period ended December 31, 2021. All forward-looking statements in this press release are based on information available to Xometry and assumptions and beliefs as of the date hereof, and we disclaim any obligation to update any forward-looking statements, except as required by law.</w:t>
      </w:r>
    </w:p>
    <w:p>
      <w:pPr>
        <w:spacing w:after="0" w:line="211"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20"/>
          <w:szCs w:val="20"/>
          <w:b w:val="1"/>
          <w:bCs w:val="1"/>
          <w:color w:val="auto"/>
        </w:rPr>
        <w:t>Investor Contact:</w:t>
      </w:r>
      <w:r>
        <w:rPr>
          <w:sz w:val="20"/>
          <w:szCs w:val="20"/>
          <w:color w:val="auto"/>
        </w:rPr>
        <w:tab/>
      </w:r>
      <w:r>
        <w:rPr>
          <w:rFonts w:ascii="Arial" w:cs="Arial" w:eastAsia="Arial" w:hAnsi="Arial"/>
          <w:sz w:val="19"/>
          <w:szCs w:val="19"/>
          <w:b w:val="1"/>
          <w:bCs w:val="1"/>
          <w:color w:val="auto"/>
        </w:rPr>
        <w:t>Media Contact:</w:t>
      </w:r>
    </w:p>
    <w:p>
      <w:pPr>
        <w:sectPr>
          <w:pgSz w:w="11900" w:h="16838" w:orient="portrait"/>
          <w:cols w:equalWidth="0" w:num="1">
            <w:col w:w="11240"/>
          </w:cols>
          <w:pgMar w:left="320" w:top="320" w:right="339" w:bottom="1440" w:gutter="0" w:footer="0" w:header="0"/>
        </w:sectPr>
      </w:pPr>
    </w:p>
    <w:p>
      <w:pPr>
        <w:spacing w:after="0" w:line="180" w:lineRule="exact"/>
        <w:rPr>
          <w:sz w:val="20"/>
          <w:szCs w:val="20"/>
          <w:color w:val="auto"/>
        </w:rPr>
      </w:pPr>
    </w:p>
    <w:p>
      <w:pPr>
        <w:ind w:left="20"/>
        <w:spacing w:after="0"/>
        <w:rPr>
          <w:sz w:val="20"/>
          <w:szCs w:val="20"/>
          <w:color w:val="auto"/>
        </w:rPr>
      </w:pPr>
      <w:r>
        <w:rPr>
          <w:rFonts w:ascii="Arial" w:cs="Arial" w:eastAsia="Arial" w:hAnsi="Arial"/>
          <w:sz w:val="20"/>
          <w:szCs w:val="20"/>
          <w:color w:val="auto"/>
        </w:rPr>
        <w:t>Shawn Milne</w:t>
      </w:r>
    </w:p>
    <w:p>
      <w:pPr>
        <w:ind w:left="20"/>
        <w:spacing w:after="0" w:line="225" w:lineRule="auto"/>
        <w:rPr>
          <w:sz w:val="20"/>
          <w:szCs w:val="20"/>
          <w:color w:val="auto"/>
        </w:rPr>
      </w:pPr>
      <w:r>
        <w:rPr>
          <w:rFonts w:ascii="Arial" w:cs="Arial" w:eastAsia="Arial" w:hAnsi="Arial"/>
          <w:sz w:val="20"/>
          <w:szCs w:val="20"/>
          <w:color w:val="auto"/>
        </w:rPr>
        <w:t>VP Investor Relations</w:t>
      </w:r>
    </w:p>
    <w:p>
      <w:pPr>
        <w:ind w:left="20"/>
        <w:spacing w:after="0" w:line="211" w:lineRule="auto"/>
        <w:rPr>
          <w:sz w:val="20"/>
          <w:szCs w:val="20"/>
          <w:color w:val="auto"/>
        </w:rPr>
      </w:pPr>
      <w:r>
        <w:rPr>
          <w:rFonts w:ascii="Arial" w:cs="Arial" w:eastAsia="Arial" w:hAnsi="Arial"/>
          <w:sz w:val="20"/>
          <w:szCs w:val="20"/>
          <w:color w:val="auto"/>
        </w:rPr>
        <w:t>240-335-8132</w:t>
      </w:r>
    </w:p>
    <w:p>
      <w:pPr>
        <w:ind w:left="20"/>
        <w:spacing w:after="0"/>
        <w:rPr>
          <w:sz w:val="20"/>
          <w:szCs w:val="20"/>
          <w:color w:val="auto"/>
        </w:rPr>
      </w:pPr>
      <w:r>
        <w:rPr>
          <w:rFonts w:ascii="Arial" w:cs="Arial" w:eastAsia="Arial" w:hAnsi="Arial"/>
          <w:sz w:val="19"/>
          <w:szCs w:val="19"/>
          <w:color w:val="auto"/>
        </w:rPr>
        <w:t>shawn.milne@xometry.com</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Matthew Hutchison</w:t>
      </w:r>
    </w:p>
    <w:p>
      <w:pPr>
        <w:spacing w:after="0" w:line="226" w:lineRule="auto"/>
        <w:rPr>
          <w:sz w:val="20"/>
          <w:szCs w:val="20"/>
          <w:color w:val="auto"/>
        </w:rPr>
      </w:pPr>
      <w:r>
        <w:rPr>
          <w:rFonts w:ascii="Arial" w:cs="Arial" w:eastAsia="Arial" w:hAnsi="Arial"/>
          <w:sz w:val="19"/>
          <w:szCs w:val="19"/>
          <w:color w:val="auto"/>
        </w:rPr>
        <w:t>Corporate Communications for Xometry</w:t>
      </w:r>
    </w:p>
    <w:p>
      <w:pPr>
        <w:spacing w:after="0" w:line="211" w:lineRule="auto"/>
        <w:rPr>
          <w:sz w:val="20"/>
          <w:szCs w:val="20"/>
          <w:color w:val="auto"/>
        </w:rPr>
      </w:pPr>
      <w:r>
        <w:rPr>
          <w:rFonts w:ascii="Arial" w:cs="Arial" w:eastAsia="Arial" w:hAnsi="Arial"/>
          <w:sz w:val="20"/>
          <w:szCs w:val="20"/>
          <w:color w:val="auto"/>
        </w:rPr>
        <w:t>415-583-2119</w:t>
      </w:r>
    </w:p>
    <w:p>
      <w:pPr>
        <w:spacing w:after="0"/>
        <w:rPr>
          <w:sz w:val="20"/>
          <w:szCs w:val="20"/>
          <w:color w:val="auto"/>
        </w:rPr>
      </w:pPr>
      <w:r>
        <w:rPr>
          <w:rFonts w:ascii="Arial" w:cs="Arial" w:eastAsia="Arial" w:hAnsi="Arial"/>
          <w:sz w:val="20"/>
          <w:szCs w:val="20"/>
          <w:color w:val="auto"/>
        </w:rPr>
        <w:t>matthew.hutchison@xometry.com</w:t>
      </w:r>
    </w:p>
    <w:p>
      <w:pPr>
        <w:spacing w:after="0" w:line="201" w:lineRule="exact"/>
        <w:rPr>
          <w:sz w:val="20"/>
          <w:szCs w:val="20"/>
          <w:color w:val="auto"/>
        </w:rPr>
      </w:pPr>
    </w:p>
    <w:p>
      <w:pPr>
        <w:sectPr>
          <w:pgSz w:w="11900" w:h="16838" w:orient="portrait"/>
          <w:cols w:equalWidth="0" w:num="2">
            <w:col w:w="4920" w:space="720"/>
            <w:col w:w="5600"/>
          </w:cols>
          <w:pgMar w:left="320" w:top="320" w:right="3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type w:val="continuous"/>
        </w:sectPr>
      </w:pPr>
    </w:p>
    <w:bookmarkStart w:id="9" w:name="page10"/>
    <w:bookmarkEnd w:id="9"/>
    <w:p>
      <w:pPr>
        <w:ind w:left="4160"/>
        <w:spacing w:after="0"/>
        <w:rPr>
          <w:sz w:val="20"/>
          <w:szCs w:val="20"/>
          <w:color w:val="auto"/>
        </w:rPr>
      </w:pPr>
      <w:r>
        <w:rPr>
          <w:rFonts w:ascii="Arial" w:cs="Arial" w:eastAsia="Arial" w:hAnsi="Arial"/>
          <w:sz w:val="20"/>
          <w:szCs w:val="20"/>
          <w:b w:val="1"/>
          <w:bCs w:val="1"/>
          <w:color w:val="auto"/>
        </w:rPr>
        <w:t>Xometry, Inc. and Subsidiaries</w:t>
      </w:r>
    </w:p>
    <w:p>
      <w:pPr>
        <w:spacing w:after="0" w:line="19" w:lineRule="exact"/>
        <w:rPr>
          <w:sz w:val="20"/>
          <w:szCs w:val="20"/>
          <w:color w:val="auto"/>
        </w:rPr>
      </w:pPr>
    </w:p>
    <w:p>
      <w:pPr>
        <w:ind w:left="3800"/>
        <w:spacing w:after="0"/>
        <w:rPr>
          <w:sz w:val="20"/>
          <w:szCs w:val="20"/>
          <w:color w:val="auto"/>
        </w:rPr>
      </w:pPr>
      <w:r>
        <w:rPr>
          <w:rFonts w:ascii="Arial" w:cs="Arial" w:eastAsia="Arial" w:hAnsi="Arial"/>
          <w:sz w:val="20"/>
          <w:szCs w:val="20"/>
          <w:color w:val="auto"/>
        </w:rPr>
        <w:t>Condensed Consolidated Balance Sheets</w:t>
      </w:r>
    </w:p>
    <w:p>
      <w:pPr>
        <w:ind w:left="3520"/>
        <w:spacing w:after="0"/>
        <w:rPr>
          <w:sz w:val="20"/>
          <w:szCs w:val="20"/>
          <w:color w:val="auto"/>
        </w:rPr>
      </w:pPr>
      <w:r>
        <w:rPr>
          <w:rFonts w:ascii="Arial" w:cs="Arial" w:eastAsia="Arial" w:hAnsi="Arial"/>
          <w:sz w:val="20"/>
          <w:szCs w:val="20"/>
          <w:color w:val="auto"/>
        </w:rPr>
        <w:t>(In thousands, except share and per share data)</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September 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09"/>
        </w:trPr>
        <w:tc>
          <w:tcPr>
            <w:tcW w:w="79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(unaudited)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30,497</w:t>
            </w:r>
          </w:p>
        </w:tc>
        <w:tc>
          <w:tcPr>
            <w:tcW w:w="10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28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310,694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7900" w:type="dxa"/>
            <w:vAlign w:val="bottom"/>
            <w:shd w:val="clear" w:color="auto" w:fill="CFF0FC"/>
          </w:tcPr>
          <w:p>
            <w:pPr>
              <w:ind w:left="280"/>
              <w:spacing w:after="0" w:line="170" w:lineRule="exact"/>
              <w:rPr>
                <w:sz w:val="20"/>
                <w:szCs w:val="20"/>
                <w:color w:val="auto"/>
              </w:rPr>
            </w:pPr>
            <w:r>
              <w:rPr>
                <w:rFonts w:ascii="Arial" w:cs="Arial" w:eastAsia="Arial" w:hAnsi="Arial"/>
                <w:sz w:val="18"/>
                <w:szCs w:val="18"/>
                <w:color w:val="auto"/>
              </w:rPr>
              <w:t>Accounts receivable, less allowance for credit losses of $1.6 million as of September 30,</w:t>
            </w:r>
          </w:p>
        </w:tc>
        <w:tc>
          <w:tcPr>
            <w:tcW w:w="140" w:type="dxa"/>
            <w:vAlign w:val="bottom"/>
            <w:shd w:val="clear" w:color="auto" w:fill="CFF0FC"/>
          </w:tcPr>
          <w:p>
            <w:pPr>
              <w:spacing w:after="0"/>
              <w:rPr>
                <w:sz w:val="14"/>
                <w:szCs w:val="14"/>
                <w:color w:val="auto"/>
              </w:rPr>
            </w:pPr>
          </w:p>
        </w:tc>
        <w:tc>
          <w:tcPr>
            <w:tcW w:w="13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50,889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32,427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7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2022 and $0.8 million as of December 31, 2021</w:t>
            </w:r>
          </w:p>
        </w:tc>
        <w:tc>
          <w:tcPr>
            <w:tcW w:w="140" w:type="dxa"/>
            <w:vAlign w:val="bottom"/>
            <w:shd w:val="clear" w:color="auto" w:fill="CFF0FC"/>
          </w:tcPr>
          <w:p>
            <w:pPr>
              <w:spacing w:after="0"/>
              <w:rPr>
                <w:sz w:val="20"/>
                <w:szCs w:val="20"/>
                <w:color w:val="auto"/>
              </w:rPr>
            </w:pPr>
          </w:p>
        </w:tc>
        <w:tc>
          <w:tcPr>
            <w:tcW w:w="138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6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280"/>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28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900" w:type="dxa"/>
            <w:vAlign w:val="bottom"/>
            <w:shd w:val="clear" w:color="auto" w:fill="CFF0FC"/>
          </w:tcPr>
          <w:p>
            <w:pPr>
              <w:ind w:left="520"/>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409,744</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163,431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28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16,303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10,287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23,299</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280"/>
              <w:spacing w:after="0"/>
              <w:rPr>
                <w:sz w:val="20"/>
                <w:szCs w:val="20"/>
                <w:color w:val="auto"/>
              </w:rPr>
            </w:pPr>
            <w:r>
              <w:rPr>
                <w:rFonts w:ascii="Arial" w:cs="Arial" w:eastAsia="Arial" w:hAnsi="Arial"/>
                <w:sz w:val="18"/>
                <w:szCs w:val="18"/>
                <w:color w:val="auto"/>
              </w:rPr>
              <w:t>Investment in unconsolidated joint venture</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40,287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28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259,971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254,672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900" w:type="dxa"/>
            <w:vAlign w:val="bottom"/>
          </w:tcPr>
          <w:p>
            <w:pPr>
              <w:ind w:left="52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754,284</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502,586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12,075</w:t>
            </w:r>
          </w:p>
        </w:tc>
        <w:tc>
          <w:tcPr>
            <w:tcW w:w="10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28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36,476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30,905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Contract liabilities</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280"/>
              <w:spacing w:after="0"/>
              <w:rPr>
                <w:sz w:val="20"/>
                <w:szCs w:val="20"/>
                <w:color w:val="auto"/>
              </w:rPr>
            </w:pPr>
            <w:r>
              <w:rPr>
                <w:rFonts w:ascii="Arial" w:cs="Arial" w:eastAsia="Arial" w:hAnsi="Arial"/>
                <w:sz w:val="18"/>
                <w:szCs w:val="18"/>
                <w:color w:val="auto"/>
              </w:rPr>
              <w:t>Operating lease liabilities, current portion</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Finance lease liabilities, current portion</w:t>
            </w:r>
          </w:p>
        </w:tc>
        <w:tc>
          <w:tcPr>
            <w:tcW w:w="1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900" w:type="dxa"/>
            <w:vAlign w:val="bottom"/>
            <w:tcBorders>
              <w:top w:val="single" w:sz="8" w:color="CFF0FC"/>
            </w:tcBorders>
          </w:tcPr>
          <w:p>
            <w:pPr>
              <w:ind w:left="520"/>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65,049</w:t>
            </w: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57,037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Operating lease liabilities, net of current portion</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13,513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280"/>
              <w:spacing w:after="0"/>
              <w:rPr>
                <w:sz w:val="20"/>
                <w:szCs w:val="20"/>
                <w:color w:val="auto"/>
              </w:rPr>
            </w:pPr>
            <w:r>
              <w:rPr>
                <w:rFonts w:ascii="Arial" w:cs="Arial" w:eastAsia="Arial" w:hAnsi="Arial"/>
                <w:sz w:val="18"/>
                <w:szCs w:val="18"/>
                <w:color w:val="auto"/>
              </w:rPr>
              <w:t>Convertible notes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279,441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Income taxes payable</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28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90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361,322</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77,103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90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7900" w:type="dxa"/>
            <w:vAlign w:val="bottom"/>
          </w:tcPr>
          <w:p>
            <w:pPr>
              <w:ind w:left="280"/>
              <w:spacing w:after="0" w:line="170" w:lineRule="exact"/>
              <w:rPr>
                <w:sz w:val="20"/>
                <w:szCs w:val="20"/>
                <w:color w:val="auto"/>
              </w:rPr>
            </w:pPr>
            <w:r>
              <w:rPr>
                <w:rFonts w:ascii="Arial" w:cs="Arial" w:eastAsia="Arial" w:hAnsi="Arial"/>
                <w:sz w:val="18"/>
                <w:szCs w:val="18"/>
                <w:color w:val="auto"/>
              </w:rPr>
              <w:t>Preferred stock, $0.000001 par value. Authorized; 50,000,000 shares; zero shares issued</w:t>
            </w:r>
          </w:p>
        </w:tc>
        <w:tc>
          <w:tcPr>
            <w:tcW w:w="140" w:type="dxa"/>
            <w:vAlign w:val="bottom"/>
          </w:tcPr>
          <w:p>
            <w:pPr>
              <w:spacing w:after="0"/>
              <w:rPr>
                <w:sz w:val="14"/>
                <w:szCs w:val="14"/>
                <w:color w:val="auto"/>
              </w:rPr>
            </w:pPr>
          </w:p>
        </w:tc>
        <w:tc>
          <w:tcPr>
            <w:tcW w:w="14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7900" w:type="dxa"/>
            <w:vAlign w:val="bottom"/>
          </w:tcPr>
          <w:p>
            <w:pPr>
              <w:ind w:left="280"/>
              <w:spacing w:after="0"/>
              <w:rPr>
                <w:sz w:val="20"/>
                <w:szCs w:val="20"/>
                <w:color w:val="auto"/>
              </w:rPr>
            </w:pPr>
            <w:r>
              <w:rPr>
                <w:rFonts w:ascii="Arial" w:cs="Arial" w:eastAsia="Arial" w:hAnsi="Arial"/>
                <w:sz w:val="18"/>
                <w:szCs w:val="18"/>
                <w:color w:val="auto"/>
              </w:rPr>
              <w:t>and outstanding as of September 30, 2022 and December 31, 2021, respectively</w:t>
            </w:r>
          </w:p>
        </w:tc>
        <w:tc>
          <w:tcPr>
            <w:tcW w:w="140" w:type="dxa"/>
            <w:vAlign w:val="bottom"/>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7900" w:type="dxa"/>
            <w:vAlign w:val="bottom"/>
            <w:shd w:val="clear" w:color="auto" w:fill="CFF0FC"/>
          </w:tcPr>
          <w:p>
            <w:pPr>
              <w:ind w:left="280"/>
              <w:spacing w:after="0" w:line="170" w:lineRule="exact"/>
              <w:rPr>
                <w:sz w:val="20"/>
                <w:szCs w:val="20"/>
                <w:color w:val="auto"/>
              </w:rPr>
            </w:pPr>
            <w:r>
              <w:rPr>
                <w:rFonts w:ascii="Arial" w:cs="Arial" w:eastAsia="Arial" w:hAnsi="Arial"/>
                <w:sz w:val="18"/>
                <w:szCs w:val="18"/>
                <w:color w:val="auto"/>
              </w:rPr>
              <w:t>Class A Common stock, $0.000001 par value. Authorized; 750,000,000 shares; 44,721,409</w:t>
            </w:r>
          </w:p>
        </w:tc>
        <w:tc>
          <w:tcPr>
            <w:tcW w:w="14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900" w:type="dxa"/>
            <w:vAlign w:val="bottom"/>
            <w:shd w:val="clear" w:color="auto" w:fill="CFF0FC"/>
          </w:tcPr>
          <w:p>
            <w:pPr>
              <w:ind w:left="280"/>
              <w:spacing w:after="0" w:line="189" w:lineRule="exact"/>
              <w:rPr>
                <w:sz w:val="20"/>
                <w:szCs w:val="20"/>
                <w:color w:val="auto"/>
              </w:rPr>
            </w:pPr>
            <w:r>
              <w:rPr>
                <w:rFonts w:ascii="Arial" w:cs="Arial" w:eastAsia="Arial" w:hAnsi="Arial"/>
                <w:sz w:val="18"/>
                <w:szCs w:val="18"/>
                <w:color w:val="auto"/>
              </w:rPr>
              <w:t>shares and 43,998,404 shares issued and outstanding as of September 30, 2022 and</w:t>
            </w:r>
          </w:p>
        </w:tc>
        <w:tc>
          <w:tcPr>
            <w:tcW w:w="140" w:type="dxa"/>
            <w:vAlign w:val="bottom"/>
            <w:shd w:val="clear" w:color="auto" w:fill="CFF0FC"/>
          </w:tcPr>
          <w:p>
            <w:pPr>
              <w:spacing w:after="0"/>
              <w:rPr>
                <w:sz w:val="16"/>
                <w:szCs w:val="16"/>
                <w:color w:val="auto"/>
              </w:rPr>
            </w:pPr>
          </w:p>
        </w:tc>
        <w:tc>
          <w:tcPr>
            <w:tcW w:w="14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6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7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December 31, 2021, respectively</w:t>
            </w:r>
          </w:p>
        </w:tc>
        <w:tc>
          <w:tcPr>
            <w:tcW w:w="140" w:type="dxa"/>
            <w:vAlign w:val="bottom"/>
            <w:shd w:val="clear" w:color="auto" w:fill="CFF0FC"/>
          </w:tcPr>
          <w:p>
            <w:pPr>
              <w:spacing w:after="0"/>
              <w:rPr>
                <w:sz w:val="20"/>
                <w:szCs w:val="20"/>
                <w:color w:val="auto"/>
              </w:rPr>
            </w:pPr>
          </w:p>
        </w:tc>
        <w:tc>
          <w:tcPr>
            <w:tcW w:w="1480" w:type="dxa"/>
            <w:vAlign w:val="bottom"/>
            <w:gridSpan w:val="2"/>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6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7900" w:type="dxa"/>
            <w:vAlign w:val="bottom"/>
          </w:tcPr>
          <w:p>
            <w:pPr>
              <w:ind w:left="280"/>
              <w:spacing w:after="0" w:line="170" w:lineRule="exact"/>
              <w:rPr>
                <w:sz w:val="20"/>
                <w:szCs w:val="20"/>
                <w:color w:val="auto"/>
              </w:rPr>
            </w:pPr>
            <w:r>
              <w:rPr>
                <w:rFonts w:ascii="Arial" w:cs="Arial" w:eastAsia="Arial" w:hAnsi="Arial"/>
                <w:sz w:val="18"/>
                <w:szCs w:val="18"/>
                <w:color w:val="auto"/>
              </w:rPr>
              <w:t>Class B Common stock, $0.000001 par value. Authorized; 5,000,000 shares; 2,676,154</w:t>
            </w: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900" w:type="dxa"/>
            <w:vAlign w:val="bottom"/>
          </w:tcPr>
          <w:p>
            <w:pPr>
              <w:ind w:left="280"/>
              <w:spacing w:after="0" w:line="189" w:lineRule="exact"/>
              <w:rPr>
                <w:sz w:val="20"/>
                <w:szCs w:val="20"/>
                <w:color w:val="auto"/>
              </w:rPr>
            </w:pPr>
            <w:r>
              <w:rPr>
                <w:rFonts w:ascii="Arial" w:cs="Arial" w:eastAsia="Arial" w:hAnsi="Arial"/>
                <w:sz w:val="18"/>
                <w:szCs w:val="18"/>
                <w:color w:val="auto"/>
              </w:rPr>
              <w:t>shares issued and outstanding as of September 30, 2022 and December 31, 2021,</w:t>
            </w:r>
          </w:p>
        </w:tc>
        <w:tc>
          <w:tcPr>
            <w:tcW w:w="140" w:type="dxa"/>
            <w:vAlign w:val="bottom"/>
          </w:tcPr>
          <w:p>
            <w:pPr>
              <w:spacing w:after="0"/>
              <w:rPr>
                <w:sz w:val="16"/>
                <w:szCs w:val="16"/>
                <w:color w:val="auto"/>
              </w:rPr>
            </w:pPr>
          </w:p>
        </w:tc>
        <w:tc>
          <w:tcPr>
            <w:tcW w:w="14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7900" w:type="dxa"/>
            <w:vAlign w:val="bottom"/>
          </w:tcPr>
          <w:p>
            <w:pPr>
              <w:ind w:left="280"/>
              <w:spacing w:after="0"/>
              <w:rPr>
                <w:sz w:val="20"/>
                <w:szCs w:val="20"/>
                <w:color w:val="auto"/>
              </w:rPr>
            </w:pPr>
            <w:r>
              <w:rPr>
                <w:rFonts w:ascii="Arial" w:cs="Arial" w:eastAsia="Arial" w:hAnsi="Arial"/>
                <w:sz w:val="18"/>
                <w:szCs w:val="18"/>
                <w:color w:val="auto"/>
              </w:rPr>
              <w:t>respectively</w:t>
            </w:r>
          </w:p>
        </w:tc>
        <w:tc>
          <w:tcPr>
            <w:tcW w:w="140" w:type="dxa"/>
            <w:vAlign w:val="bottom"/>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617,278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597,641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28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(492 )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(224,943 )</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(173,341 )</w:t>
            </w:r>
          </w:p>
        </w:tc>
        <w:tc>
          <w:tcPr>
            <w:tcW w:w="0" w:type="dxa"/>
            <w:vAlign w:val="bottom"/>
          </w:tcPr>
          <w:p>
            <w:pPr>
              <w:spacing w:after="0"/>
              <w:rPr>
                <w:sz w:val="1"/>
                <w:szCs w:val="1"/>
                <w:color w:val="auto"/>
              </w:rPr>
            </w:pPr>
          </w:p>
        </w:tc>
      </w:tr>
      <w:tr>
        <w:trPr>
          <w:trHeight w:val="209"/>
        </w:trPr>
        <w:tc>
          <w:tcPr>
            <w:tcW w:w="790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391,843</w:t>
            </w: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424,449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b w:val="1"/>
                <w:bCs w:val="1"/>
                <w:color w:val="auto"/>
              </w:rPr>
              <w:t>Noncontrolling interest</w:t>
            </w:r>
          </w:p>
        </w:tc>
        <w:tc>
          <w:tcPr>
            <w:tcW w:w="1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1,119</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900" w:type="dxa"/>
            <w:vAlign w:val="bottom"/>
          </w:tcPr>
          <w:p>
            <w:pPr>
              <w:ind w:left="520"/>
              <w:spacing w:after="0"/>
              <w:rPr>
                <w:sz w:val="20"/>
                <w:szCs w:val="20"/>
                <w:color w:val="auto"/>
              </w:rPr>
            </w:pPr>
            <w:r>
              <w:rPr>
                <w:rFonts w:ascii="Arial" w:cs="Arial" w:eastAsia="Arial" w:hAnsi="Arial"/>
                <w:sz w:val="18"/>
                <w:szCs w:val="18"/>
                <w:b w:val="1"/>
                <w:bCs w:val="1"/>
                <w:color w:val="auto"/>
              </w:rPr>
              <w:t>Total equity</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392,962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425,483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754,284</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502,586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830"/>
        </w:trPr>
        <w:tc>
          <w:tcPr>
            <w:tcW w:w="790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79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5981700</wp:posOffset>
            </wp:positionH>
            <wp:positionV relativeFrom="paragraph">
              <wp:posOffset>-4888230</wp:posOffset>
            </wp:positionV>
            <wp:extent cx="6858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-4888230</wp:posOffset>
            </wp:positionV>
            <wp:extent cx="6858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-3758565</wp:posOffset>
            </wp:positionV>
            <wp:extent cx="6858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-3758565</wp:posOffset>
            </wp:positionV>
            <wp:extent cx="6858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-2919095</wp:posOffset>
            </wp:positionV>
            <wp:extent cx="6858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-2919095</wp:posOffset>
            </wp:positionV>
            <wp:extent cx="6858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-1215390</wp:posOffset>
            </wp:positionV>
            <wp:extent cx="6858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-1215390</wp:posOffset>
            </wp:positionV>
            <wp:extent cx="6858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-932815</wp:posOffset>
            </wp:positionV>
            <wp:extent cx="6858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-932815</wp:posOffset>
            </wp:positionV>
            <wp:extent cx="6858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-641350</wp:posOffset>
            </wp:positionV>
            <wp:extent cx="1155700" cy="162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55700" cy="16256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18" w:right="3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Condensed Consolidated Statements of Operations and Comprehensive Loss</w:t>
      </w:r>
    </w:p>
    <w:p>
      <w:pPr>
        <w:jc w:val="center"/>
        <w:spacing w:after="0"/>
        <w:rPr>
          <w:sz w:val="20"/>
          <w:szCs w:val="20"/>
          <w:color w:val="auto"/>
        </w:rPr>
      </w:pPr>
      <w:r>
        <w:rPr>
          <w:rFonts w:ascii="Arial" w:cs="Arial" w:eastAsia="Arial" w:hAnsi="Arial"/>
          <w:sz w:val="20"/>
          <w:szCs w:val="20"/>
          <w:color w:val="auto"/>
        </w:rPr>
        <w:t>(In thousands, except share and per share amounts)</w:t>
      </w:r>
    </w:p>
    <w:tbl>
      <w:tblPr>
        <w:tblLayout w:type="fixed"/>
        <w:tblInd w:w="0" w:type="dxa"/>
        <w:tblCellMar>
          <w:top w:w="0" w:type="dxa"/>
          <w:left w:w="0" w:type="dxa"/>
          <w:bottom w:w="0" w:type="dxa"/>
          <w:right w:w="0" w:type="dxa"/>
        </w:tblCellMar>
      </w:tblPr>
      <w:tr>
        <w:trPr>
          <w:trHeight w:val="173"/>
        </w:trPr>
        <w:tc>
          <w:tcPr>
            <w:tcW w:w="5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80" w:type="dxa"/>
            <w:vAlign w:val="bottom"/>
            <w:gridSpan w:val="5"/>
          </w:tcPr>
          <w:p>
            <w:pPr>
              <w:jc w:val="right"/>
              <w:ind w:right="650"/>
              <w:spacing w:after="0" w:line="173" w:lineRule="exact"/>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5"/>
                <w:szCs w:val="15"/>
                <w:color w:val="auto"/>
              </w:rPr>
            </w:pPr>
          </w:p>
        </w:tc>
        <w:tc>
          <w:tcPr>
            <w:tcW w:w="2560" w:type="dxa"/>
            <w:vAlign w:val="bottom"/>
            <w:gridSpan w:val="5"/>
          </w:tcPr>
          <w:p>
            <w:pPr>
              <w:jc w:val="right"/>
              <w:ind w:right="521"/>
              <w:spacing w:after="0" w:line="173" w:lineRule="exact"/>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5"/>
        </w:trPr>
        <w:tc>
          <w:tcPr>
            <w:tcW w:w="5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80" w:type="dxa"/>
            <w:vAlign w:val="bottom"/>
            <w:gridSpan w:val="5"/>
          </w:tcPr>
          <w:p>
            <w:pPr>
              <w:jc w:val="right"/>
              <w:ind w:right="91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560" w:type="dxa"/>
            <w:vAlign w:val="bottom"/>
            <w:gridSpan w:val="5"/>
          </w:tcPr>
          <w:p>
            <w:pPr>
              <w:jc w:val="right"/>
              <w:ind w:right="741"/>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09"/>
        </w:trPr>
        <w:tc>
          <w:tcPr>
            <w:tcW w:w="55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103,571</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56,727</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282,857</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151,238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62,670</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42,233</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171,321</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b w:val="1"/>
                <w:bCs w:val="1"/>
                <w:color w:val="auto"/>
              </w:rPr>
              <w:t>Gross profit</w:t>
            </w:r>
          </w:p>
        </w:tc>
        <w:tc>
          <w:tcPr>
            <w:tcW w:w="2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40,901</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14,494</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111,536</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36,205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21,416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9,828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58,846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Operations and support</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5,775</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36,158</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Product development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7,613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4,376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22,698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15,126</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8,778</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43,143</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Impairment of long-lived assets</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56,100</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28,757</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161,289</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72,318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00" w:type="dxa"/>
            <w:vAlign w:val="bottom"/>
          </w:tcPr>
          <w:p>
            <w:pPr>
              <w:ind w:left="280"/>
              <w:spacing w:after="0"/>
              <w:rPr>
                <w:sz w:val="20"/>
                <w:szCs w:val="20"/>
                <w:color w:val="auto"/>
              </w:rPr>
            </w:pPr>
            <w:r>
              <w:rPr>
                <w:rFonts w:ascii="Arial" w:cs="Arial" w:eastAsia="Arial" w:hAnsi="Arial"/>
                <w:sz w:val="18"/>
                <w:szCs w:val="18"/>
                <w:b w:val="1"/>
                <w:bCs w:val="1"/>
                <w:color w:val="auto"/>
              </w:rPr>
              <w:t>Loss from operations</w:t>
            </w:r>
          </w:p>
        </w:tc>
        <w:tc>
          <w:tcPr>
            <w:tcW w:w="200" w:type="dxa"/>
            <w:vAlign w:val="bottom"/>
          </w:tcPr>
          <w:p>
            <w:pPr>
              <w:spacing w:after="0"/>
              <w:rPr>
                <w:sz w:val="18"/>
                <w:szCs w:val="18"/>
                <w:color w:val="auto"/>
              </w:rPr>
            </w:pPr>
          </w:p>
        </w:tc>
        <w:tc>
          <w:tcPr>
            <w:tcW w:w="1280" w:type="dxa"/>
            <w:vAlign w:val="bottom"/>
            <w:gridSpan w:val="2"/>
          </w:tcPr>
          <w:p>
            <w:pPr>
              <w:jc w:val="right"/>
              <w:ind w:right="110"/>
              <w:spacing w:after="0"/>
              <w:rPr>
                <w:sz w:val="20"/>
                <w:szCs w:val="20"/>
                <w:color w:val="auto"/>
              </w:rPr>
            </w:pPr>
            <w:r>
              <w:rPr>
                <w:rFonts w:ascii="Arial" w:cs="Arial" w:eastAsia="Arial" w:hAnsi="Arial"/>
                <w:sz w:val="18"/>
                <w:szCs w:val="18"/>
                <w:color w:val="auto"/>
              </w:rPr>
              <w:t>(15,199 )</w:t>
            </w:r>
          </w:p>
        </w:tc>
        <w:tc>
          <w:tcPr>
            <w:tcW w:w="220" w:type="dxa"/>
            <w:vAlign w:val="bottom"/>
          </w:tcPr>
          <w:p>
            <w:pPr>
              <w:spacing w:after="0"/>
              <w:rPr>
                <w:sz w:val="18"/>
                <w:szCs w:val="18"/>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(14,263 )</w:t>
            </w:r>
          </w:p>
        </w:tc>
        <w:tc>
          <w:tcPr>
            <w:tcW w:w="20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(49,753 )</w:t>
            </w:r>
          </w:p>
        </w:tc>
        <w:tc>
          <w:tcPr>
            <w:tcW w:w="2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(36,113 )</w:t>
            </w:r>
          </w:p>
        </w:tc>
        <w:tc>
          <w:tcPr>
            <w:tcW w:w="0" w:type="dxa"/>
            <w:vAlign w:val="bottom"/>
          </w:tcPr>
          <w:p>
            <w:pPr>
              <w:spacing w:after="0"/>
              <w:rPr>
                <w:sz w:val="1"/>
                <w:szCs w:val="1"/>
                <w:color w:val="auto"/>
              </w:rPr>
            </w:pPr>
          </w:p>
        </w:tc>
      </w:tr>
      <w:tr>
        <w:trPr>
          <w:trHeight w:val="216"/>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Other (expenses) income</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280" w:type="dxa"/>
            <w:vAlign w:val="bottom"/>
            <w:gridSpan w:val="2"/>
          </w:tcPr>
          <w:p>
            <w:pPr>
              <w:jc w:val="right"/>
              <w:ind w:right="110"/>
              <w:spacing w:after="0"/>
              <w:rPr>
                <w:sz w:val="20"/>
                <w:szCs w:val="20"/>
                <w:color w:val="auto"/>
              </w:rPr>
            </w:pPr>
            <w:r>
              <w:rPr>
                <w:rFonts w:ascii="Arial" w:cs="Arial" w:eastAsia="Arial" w:hAnsi="Arial"/>
                <w:sz w:val="18"/>
                <w:szCs w:val="18"/>
                <w:color w:val="auto"/>
              </w:rPr>
              <w:t>(1,194 )</w:t>
            </w:r>
          </w:p>
        </w:tc>
        <w:tc>
          <w:tcPr>
            <w:tcW w:w="220" w:type="dxa"/>
            <w:vAlign w:val="bottom"/>
          </w:tcPr>
          <w:p>
            <w:pPr>
              <w:spacing w:after="0"/>
              <w:rPr>
                <w:sz w:val="18"/>
                <w:szCs w:val="18"/>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(79 )</w:t>
            </w:r>
          </w:p>
        </w:tc>
        <w:tc>
          <w:tcPr>
            <w:tcW w:w="20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(3,172 )</w:t>
            </w:r>
          </w:p>
        </w:tc>
        <w:tc>
          <w:tcPr>
            <w:tcW w:w="2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(799 )</w:t>
            </w:r>
          </w:p>
        </w:tc>
        <w:tc>
          <w:tcPr>
            <w:tcW w:w="0" w:type="dxa"/>
            <w:vAlign w:val="bottom"/>
          </w:tcPr>
          <w:p>
            <w:pPr>
              <w:spacing w:after="0"/>
              <w:rPr>
                <w:sz w:val="1"/>
                <w:szCs w:val="1"/>
                <w:color w:val="auto"/>
              </w:rPr>
            </w:pPr>
          </w:p>
        </w:tc>
      </w:tr>
      <w:tr>
        <w:trPr>
          <w:trHeight w:val="216"/>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and dividend income</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1,344</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1,914</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Other expenses</w:t>
            </w:r>
          </w:p>
        </w:tc>
        <w:tc>
          <w:tcPr>
            <w:tcW w:w="200" w:type="dxa"/>
            <w:vAlign w:val="bottom"/>
          </w:tcPr>
          <w:p>
            <w:pPr>
              <w:spacing w:after="0"/>
              <w:rPr>
                <w:sz w:val="18"/>
                <w:szCs w:val="18"/>
                <w:color w:val="auto"/>
              </w:rPr>
            </w:pPr>
          </w:p>
        </w:tc>
        <w:tc>
          <w:tcPr>
            <w:tcW w:w="1280" w:type="dxa"/>
            <w:vAlign w:val="bottom"/>
            <w:gridSpan w:val="2"/>
          </w:tcPr>
          <w:p>
            <w:pPr>
              <w:jc w:val="right"/>
              <w:ind w:right="110"/>
              <w:spacing w:after="0"/>
              <w:rPr>
                <w:sz w:val="20"/>
                <w:szCs w:val="20"/>
                <w:color w:val="auto"/>
              </w:rPr>
            </w:pPr>
            <w:r>
              <w:rPr>
                <w:rFonts w:ascii="Arial" w:cs="Arial" w:eastAsia="Arial" w:hAnsi="Arial"/>
                <w:sz w:val="18"/>
                <w:szCs w:val="18"/>
                <w:color w:val="auto"/>
              </w:rPr>
              <w:t>(289 )</w:t>
            </w:r>
          </w:p>
        </w:tc>
        <w:tc>
          <w:tcPr>
            <w:tcW w:w="220" w:type="dxa"/>
            <w:vAlign w:val="bottom"/>
          </w:tcPr>
          <w:p>
            <w:pPr>
              <w:spacing w:after="0"/>
              <w:rPr>
                <w:sz w:val="18"/>
                <w:szCs w:val="18"/>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(786 )</w:t>
            </w:r>
          </w:p>
        </w:tc>
        <w:tc>
          <w:tcPr>
            <w:tcW w:w="20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(1,733 )</w:t>
            </w:r>
          </w:p>
        </w:tc>
        <w:tc>
          <w:tcPr>
            <w:tcW w:w="2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(1,021 )</w:t>
            </w:r>
          </w:p>
        </w:tc>
        <w:tc>
          <w:tcPr>
            <w:tcW w:w="0" w:type="dxa"/>
            <w:vAlign w:val="bottom"/>
          </w:tcPr>
          <w:p>
            <w:pPr>
              <w:spacing w:after="0"/>
              <w:rPr>
                <w:sz w:val="1"/>
                <w:szCs w:val="1"/>
                <w:color w:val="auto"/>
              </w:rPr>
            </w:pPr>
          </w:p>
        </w:tc>
      </w:tr>
      <w:tr>
        <w:trPr>
          <w:trHeight w:val="216"/>
        </w:trPr>
        <w:tc>
          <w:tcPr>
            <w:tcW w:w="5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from unconsolidated joint venture</w:t>
            </w:r>
          </w:p>
        </w:tc>
        <w:tc>
          <w:tcPr>
            <w:tcW w:w="2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00" w:type="dxa"/>
            <w:vAlign w:val="bottom"/>
          </w:tcPr>
          <w:p>
            <w:pPr>
              <w:ind w:left="20"/>
              <w:spacing w:after="0"/>
              <w:rPr>
                <w:sz w:val="20"/>
                <w:szCs w:val="20"/>
                <w:color w:val="auto"/>
              </w:rPr>
            </w:pPr>
            <w:r>
              <w:rPr>
                <w:rFonts w:ascii="Arial" w:cs="Arial" w:eastAsia="Arial" w:hAnsi="Arial"/>
                <w:sz w:val="18"/>
                <w:szCs w:val="18"/>
                <w:color w:val="auto"/>
              </w:rPr>
              <w:t>Total other income (expenses)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(448 )</w:t>
            </w:r>
          </w:p>
        </w:tc>
        <w:tc>
          <w:tcPr>
            <w:tcW w:w="20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(2,391 )</w:t>
            </w:r>
          </w:p>
        </w:tc>
        <w:tc>
          <w:tcPr>
            <w:tcW w:w="2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(1,363 )</w:t>
            </w:r>
          </w:p>
        </w:tc>
        <w:tc>
          <w:tcPr>
            <w:tcW w:w="0" w:type="dxa"/>
            <w:vAlign w:val="bottom"/>
          </w:tcPr>
          <w:p>
            <w:pPr>
              <w:spacing w:after="0"/>
              <w:rPr>
                <w:sz w:val="1"/>
                <w:szCs w:val="1"/>
                <w:color w:val="auto"/>
              </w:rPr>
            </w:pPr>
          </w:p>
        </w:tc>
      </w:tr>
      <w:tr>
        <w:trPr>
          <w:trHeight w:val="209"/>
        </w:trPr>
        <w:tc>
          <w:tcPr>
            <w:tcW w:w="5500" w:type="dxa"/>
            <w:vAlign w:val="bottom"/>
            <w:shd w:val="clear" w:color="auto" w:fill="CFF0FC"/>
          </w:tcPr>
          <w:p>
            <w:pPr>
              <w:ind w:left="280"/>
              <w:spacing w:after="0"/>
              <w:rPr>
                <w:sz w:val="20"/>
                <w:szCs w:val="20"/>
                <w:color w:val="auto"/>
              </w:rPr>
            </w:pPr>
            <w:r>
              <w:rPr>
                <w:rFonts w:ascii="Arial" w:cs="Arial" w:eastAsia="Arial" w:hAnsi="Arial"/>
                <w:sz w:val="18"/>
                <w:szCs w:val="18"/>
                <w:b w:val="1"/>
                <w:bCs w:val="1"/>
                <w:color w:val="auto"/>
              </w:rPr>
              <w:t>Loss before income taxes</w:t>
            </w:r>
          </w:p>
        </w:tc>
        <w:tc>
          <w:tcPr>
            <w:tcW w:w="2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(15,041</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(14,711</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(52,144</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(37,476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Benefit for income taxes</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00" w:type="dxa"/>
            <w:vAlign w:val="bottom"/>
            <w:shd w:val="clear" w:color="auto" w:fill="CFF0FC"/>
          </w:tcPr>
          <w:p>
            <w:pPr>
              <w:ind w:left="280"/>
              <w:spacing w:after="0"/>
              <w:rPr>
                <w:sz w:val="20"/>
                <w:szCs w:val="20"/>
                <w:color w:val="auto"/>
              </w:rPr>
            </w:pPr>
            <w:r>
              <w:rPr>
                <w:rFonts w:ascii="Arial" w:cs="Arial" w:eastAsia="Arial" w:hAnsi="Arial"/>
                <w:sz w:val="18"/>
                <w:szCs w:val="18"/>
                <w:b w:val="1"/>
                <w:bCs w:val="1"/>
                <w:color w:val="auto"/>
              </w:rPr>
              <w:t>Net loss</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(15,041</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(14,711</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(51,585</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(37,476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Net (loss) income attributable to noncontrolling interest</w:t>
            </w:r>
          </w:p>
        </w:tc>
        <w:tc>
          <w:tcPr>
            <w:tcW w:w="200" w:type="dxa"/>
            <w:vAlign w:val="bottom"/>
          </w:tcPr>
          <w:p>
            <w:pPr>
              <w:spacing w:after="0"/>
              <w:rPr>
                <w:sz w:val="18"/>
                <w:szCs w:val="18"/>
                <w:color w:val="auto"/>
              </w:rPr>
            </w:pPr>
          </w:p>
        </w:tc>
        <w:tc>
          <w:tcPr>
            <w:tcW w:w="1280" w:type="dxa"/>
            <w:vAlign w:val="bottom"/>
            <w:gridSpan w:val="2"/>
          </w:tcPr>
          <w:p>
            <w:pPr>
              <w:jc w:val="right"/>
              <w:ind w:right="110"/>
              <w:spacing w:after="0"/>
              <w:rPr>
                <w:sz w:val="20"/>
                <w:szCs w:val="20"/>
                <w:color w:val="auto"/>
              </w:rPr>
            </w:pPr>
            <w:r>
              <w:rPr>
                <w:rFonts w:ascii="Arial" w:cs="Arial" w:eastAsia="Arial" w:hAnsi="Arial"/>
                <w:sz w:val="18"/>
                <w:szCs w:val="18"/>
                <w:color w:val="auto"/>
              </w:rPr>
              <w:t>(4 )</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5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b w:val="1"/>
                <w:bCs w:val="1"/>
                <w:color w:val="auto"/>
              </w:rPr>
              <w:t>Net loss attributable to common stockholders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(15,037</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(14,711</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(51,602</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(37,476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5500" w:type="dxa"/>
            <w:vAlign w:val="bottom"/>
          </w:tcPr>
          <w:p>
            <w:pPr>
              <w:ind w:left="20"/>
              <w:spacing w:after="0" w:line="196" w:lineRule="exact"/>
              <w:rPr>
                <w:sz w:val="20"/>
                <w:szCs w:val="20"/>
                <w:color w:val="auto"/>
              </w:rPr>
            </w:pPr>
            <w:r>
              <w:rPr>
                <w:rFonts w:ascii="Arial" w:cs="Arial" w:eastAsia="Arial" w:hAnsi="Arial"/>
                <w:sz w:val="18"/>
                <w:szCs w:val="18"/>
                <w:color w:val="auto"/>
              </w:rPr>
              <w:t>Net loss per share, basic and diluted</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(0.32 )</w:t>
            </w:r>
          </w:p>
        </w:tc>
        <w:tc>
          <w:tcPr>
            <w:tcW w:w="220" w:type="dxa"/>
            <w:vAlign w:val="bottom"/>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(0.33 )</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01"/>
              <w:spacing w:after="0" w:line="196" w:lineRule="exact"/>
              <w:rPr>
                <w:sz w:val="20"/>
                <w:szCs w:val="20"/>
                <w:color w:val="auto"/>
              </w:rPr>
            </w:pPr>
            <w:r>
              <w:rPr>
                <w:rFonts w:ascii="Arial" w:cs="Arial" w:eastAsia="Arial" w:hAnsi="Arial"/>
                <w:sz w:val="18"/>
                <w:szCs w:val="18"/>
                <w:color w:val="auto"/>
              </w:rPr>
              <w:t>(1.10 )</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(1.87 )</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500" w:type="dxa"/>
            <w:vAlign w:val="bottom"/>
            <w:shd w:val="clear" w:color="auto" w:fill="CFF0FC"/>
          </w:tcPr>
          <w:p>
            <w:pPr>
              <w:ind w:left="20"/>
              <w:spacing w:after="0" w:line="150" w:lineRule="exact"/>
              <w:rPr>
                <w:sz w:val="20"/>
                <w:szCs w:val="20"/>
                <w:color w:val="auto"/>
              </w:rPr>
            </w:pPr>
            <w:r>
              <w:rPr>
                <w:rFonts w:ascii="Arial" w:cs="Arial" w:eastAsia="Arial" w:hAnsi="Arial"/>
                <w:sz w:val="17"/>
                <w:szCs w:val="17"/>
                <w:color w:val="auto"/>
              </w:rPr>
              <w:t>Weighted-average number of shares outstanding used to compute</w:t>
            </w:r>
          </w:p>
        </w:tc>
        <w:tc>
          <w:tcPr>
            <w:tcW w:w="200" w:type="dxa"/>
            <w:vAlign w:val="bottom"/>
            <w:shd w:val="clear" w:color="auto" w:fill="CFF0FC"/>
          </w:tcPr>
          <w:p>
            <w:pPr>
              <w:spacing w:after="0"/>
              <w:rPr>
                <w:sz w:val="13"/>
                <w:szCs w:val="13"/>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47,303,090</w:t>
            </w: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43,962,863</w:t>
            </w: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47,057,521</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20,092,600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5500" w:type="dxa"/>
            <w:vAlign w:val="bottom"/>
            <w:tcBorders>
              <w:bottom w:val="single" w:sz="8" w:color="CFF0FC"/>
            </w:tcBorders>
            <w:shd w:val="clear" w:color="auto" w:fill="CFF0FC"/>
          </w:tcPr>
          <w:p>
            <w:pPr>
              <w:ind w:left="180"/>
              <w:spacing w:after="0" w:line="195" w:lineRule="exact"/>
              <w:rPr>
                <w:sz w:val="20"/>
                <w:szCs w:val="20"/>
                <w:color w:val="auto"/>
              </w:rPr>
            </w:pPr>
            <w:r>
              <w:rPr>
                <w:rFonts w:ascii="Arial" w:cs="Arial" w:eastAsia="Arial" w:hAnsi="Arial"/>
                <w:sz w:val="18"/>
                <w:szCs w:val="18"/>
                <w:color w:val="auto"/>
              </w:rPr>
              <w:t>net loss per share, basic and diluted</w:t>
            </w:r>
          </w:p>
        </w:tc>
        <w:tc>
          <w:tcPr>
            <w:tcW w:w="2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vMerge w:val="continue"/>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628"/>
        </w:trPr>
        <w:tc>
          <w:tcPr>
            <w:tcW w:w="550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Foreign currency translation</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(559 )</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(41 )</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(573 )</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0"/>
        </w:trPr>
        <w:tc>
          <w:tcPr>
            <w:tcW w:w="55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00" w:type="dxa"/>
            <w:vAlign w:val="bottom"/>
          </w:tcPr>
          <w:p>
            <w:pPr>
              <w:ind w:left="520"/>
              <w:spacing w:after="0"/>
              <w:rPr>
                <w:sz w:val="20"/>
                <w:szCs w:val="20"/>
                <w:color w:val="auto"/>
              </w:rPr>
            </w:pPr>
            <w:r>
              <w:rPr>
                <w:rFonts w:ascii="Arial" w:cs="Arial" w:eastAsia="Arial" w:hAnsi="Arial"/>
                <w:sz w:val="18"/>
                <w:szCs w:val="18"/>
                <w:color w:val="auto"/>
              </w:rPr>
              <w:t>Total other comprehensive loss</w:t>
            </w:r>
          </w:p>
        </w:tc>
        <w:tc>
          <w:tcPr>
            <w:tcW w:w="200" w:type="dxa"/>
            <w:vAlign w:val="bottom"/>
          </w:tcPr>
          <w:p>
            <w:pPr>
              <w:spacing w:after="0"/>
              <w:rPr>
                <w:sz w:val="18"/>
                <w:szCs w:val="18"/>
                <w:color w:val="auto"/>
              </w:rPr>
            </w:pPr>
          </w:p>
        </w:tc>
        <w:tc>
          <w:tcPr>
            <w:tcW w:w="1280" w:type="dxa"/>
            <w:vAlign w:val="bottom"/>
            <w:gridSpan w:val="2"/>
          </w:tcPr>
          <w:p>
            <w:pPr>
              <w:jc w:val="right"/>
              <w:ind w:right="110"/>
              <w:spacing w:after="0"/>
              <w:rPr>
                <w:sz w:val="20"/>
                <w:szCs w:val="20"/>
                <w:color w:val="auto"/>
              </w:rPr>
            </w:pPr>
            <w:r>
              <w:rPr>
                <w:rFonts w:ascii="Arial" w:cs="Arial" w:eastAsia="Arial" w:hAnsi="Arial"/>
                <w:sz w:val="18"/>
                <w:szCs w:val="18"/>
                <w:color w:val="auto"/>
              </w:rPr>
              <w:t>(559 )</w:t>
            </w:r>
          </w:p>
        </w:tc>
        <w:tc>
          <w:tcPr>
            <w:tcW w:w="220" w:type="dxa"/>
            <w:vAlign w:val="bottom"/>
          </w:tcPr>
          <w:p>
            <w:pPr>
              <w:spacing w:after="0"/>
              <w:rPr>
                <w:sz w:val="18"/>
                <w:szCs w:val="18"/>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(41 )</w:t>
            </w:r>
          </w:p>
        </w:tc>
        <w:tc>
          <w:tcPr>
            <w:tcW w:w="20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(573 )</w:t>
            </w:r>
          </w:p>
        </w:tc>
        <w:tc>
          <w:tcPr>
            <w:tcW w:w="2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09"/>
        </w:trPr>
        <w:tc>
          <w:tcPr>
            <w:tcW w:w="5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loss</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(15,041</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(14,711</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(51,585</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(37,476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5500" w:type="dxa"/>
            <w:vAlign w:val="bottom"/>
          </w:tcPr>
          <w:p>
            <w:pPr>
              <w:ind w:left="20"/>
              <w:spacing w:after="0"/>
              <w:rPr>
                <w:sz w:val="20"/>
                <w:szCs w:val="20"/>
                <w:color w:val="auto"/>
              </w:rPr>
            </w:pPr>
            <w:r>
              <w:rPr>
                <w:rFonts w:ascii="Arial" w:cs="Arial" w:eastAsia="Arial" w:hAnsi="Arial"/>
                <w:sz w:val="18"/>
                <w:szCs w:val="18"/>
                <w:b w:val="1"/>
                <w:bCs w:val="1"/>
                <w:color w:val="auto"/>
              </w:rPr>
              <w:t>Comprehensive loss</w:t>
            </w:r>
          </w:p>
        </w:tc>
        <w:tc>
          <w:tcPr>
            <w:tcW w:w="200" w:type="dxa"/>
            <w:vAlign w:val="bottom"/>
          </w:tcPr>
          <w:p>
            <w:pPr>
              <w:spacing w:after="0"/>
              <w:rPr>
                <w:sz w:val="18"/>
                <w:szCs w:val="18"/>
                <w:color w:val="auto"/>
              </w:rPr>
            </w:pPr>
          </w:p>
        </w:tc>
        <w:tc>
          <w:tcPr>
            <w:tcW w:w="1280" w:type="dxa"/>
            <w:vAlign w:val="bottom"/>
            <w:gridSpan w:val="2"/>
          </w:tcPr>
          <w:p>
            <w:pPr>
              <w:jc w:val="right"/>
              <w:ind w:right="110"/>
              <w:spacing w:after="0"/>
              <w:rPr>
                <w:sz w:val="20"/>
                <w:szCs w:val="20"/>
                <w:color w:val="auto"/>
              </w:rPr>
            </w:pPr>
            <w:r>
              <w:rPr>
                <w:rFonts w:ascii="Arial" w:cs="Arial" w:eastAsia="Arial" w:hAnsi="Arial"/>
                <w:sz w:val="18"/>
                <w:szCs w:val="18"/>
                <w:color w:val="auto"/>
              </w:rPr>
              <w:t>(15,600 )</w:t>
            </w:r>
          </w:p>
        </w:tc>
        <w:tc>
          <w:tcPr>
            <w:tcW w:w="220" w:type="dxa"/>
            <w:vAlign w:val="bottom"/>
          </w:tcPr>
          <w:p>
            <w:pPr>
              <w:spacing w:after="0"/>
              <w:rPr>
                <w:sz w:val="18"/>
                <w:szCs w:val="18"/>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(14,752 )</w:t>
            </w:r>
          </w:p>
        </w:tc>
        <w:tc>
          <w:tcPr>
            <w:tcW w:w="20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(52,158 )</w:t>
            </w:r>
          </w:p>
        </w:tc>
        <w:tc>
          <w:tcPr>
            <w:tcW w:w="2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(37,500 )</w:t>
            </w:r>
          </w:p>
        </w:tc>
        <w:tc>
          <w:tcPr>
            <w:tcW w:w="0" w:type="dxa"/>
            <w:vAlign w:val="bottom"/>
          </w:tcPr>
          <w:p>
            <w:pPr>
              <w:spacing w:after="0"/>
              <w:rPr>
                <w:sz w:val="1"/>
                <w:szCs w:val="1"/>
                <w:color w:val="auto"/>
              </w:rPr>
            </w:pPr>
          </w:p>
        </w:tc>
      </w:tr>
      <w:tr>
        <w:trPr>
          <w:trHeight w:val="216"/>
        </w:trPr>
        <w:tc>
          <w:tcPr>
            <w:tcW w:w="5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Comprehensive income attributable to noncontrolling interest</w:t>
            </w:r>
          </w:p>
        </w:tc>
        <w:tc>
          <w:tcPr>
            <w:tcW w:w="2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5500" w:type="dxa"/>
            <w:vAlign w:val="bottom"/>
          </w:tcPr>
          <w:p>
            <w:pPr>
              <w:ind w:left="20"/>
              <w:spacing w:after="0" w:line="163" w:lineRule="exact"/>
              <w:rPr>
                <w:sz w:val="20"/>
                <w:szCs w:val="20"/>
                <w:color w:val="auto"/>
              </w:rPr>
            </w:pPr>
            <w:r>
              <w:rPr>
                <w:rFonts w:ascii="Arial" w:cs="Arial" w:eastAsia="Arial" w:hAnsi="Arial"/>
                <w:sz w:val="18"/>
                <w:szCs w:val="18"/>
                <w:b w:val="1"/>
                <w:bCs w:val="1"/>
                <w:color w:val="auto"/>
              </w:rPr>
              <w:t>Total comprehensive loss attributable to common</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rPr>
              <w:t>(15,614 )</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(14,752 )</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vMerge w:val="restart"/>
          </w:tcPr>
          <w:p>
            <w:pPr>
              <w:jc w:val="right"/>
              <w:ind w:right="101"/>
              <w:spacing w:after="0"/>
              <w:rPr>
                <w:sz w:val="20"/>
                <w:szCs w:val="20"/>
                <w:color w:val="auto"/>
              </w:rPr>
            </w:pPr>
            <w:r>
              <w:rPr>
                <w:rFonts w:ascii="Arial" w:cs="Arial" w:eastAsia="Arial" w:hAnsi="Arial"/>
                <w:sz w:val="18"/>
                <w:szCs w:val="18"/>
                <w:color w:val="auto"/>
              </w:rPr>
              <w:t>(52,243 )</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(37,500 )</w:t>
            </w:r>
          </w:p>
        </w:tc>
        <w:tc>
          <w:tcPr>
            <w:tcW w:w="0" w:type="dxa"/>
            <w:vAlign w:val="bottom"/>
          </w:tcPr>
          <w:p>
            <w:pPr>
              <w:spacing w:after="0"/>
              <w:rPr>
                <w:sz w:val="1"/>
                <w:szCs w:val="1"/>
                <w:color w:val="auto"/>
              </w:rPr>
            </w:pPr>
          </w:p>
        </w:tc>
      </w:tr>
      <w:tr>
        <w:trPr>
          <w:trHeight w:val="194"/>
        </w:trPr>
        <w:tc>
          <w:tcPr>
            <w:tcW w:w="5500" w:type="dxa"/>
            <w:vAlign w:val="bottom"/>
          </w:tcPr>
          <w:p>
            <w:pPr>
              <w:ind w:left="20"/>
              <w:spacing w:after="0" w:line="195" w:lineRule="exact"/>
              <w:rPr>
                <w:sz w:val="20"/>
                <w:szCs w:val="20"/>
                <w:color w:val="auto"/>
              </w:rPr>
            </w:pPr>
            <w:r>
              <w:rPr>
                <w:rFonts w:ascii="Arial" w:cs="Arial" w:eastAsia="Arial" w:hAnsi="Arial"/>
                <w:sz w:val="18"/>
                <w:szCs w:val="18"/>
                <w:b w:val="1"/>
                <w:bCs w:val="1"/>
                <w:color w:val="auto"/>
              </w:rPr>
              <w:t>stockholders</w:t>
            </w:r>
          </w:p>
        </w:tc>
        <w:tc>
          <w:tcPr>
            <w:tcW w:w="200" w:type="dxa"/>
            <w:vAlign w:val="bottom"/>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4260215</wp:posOffset>
            </wp:positionH>
            <wp:positionV relativeFrom="paragraph">
              <wp:posOffset>-4357370</wp:posOffset>
            </wp:positionV>
            <wp:extent cx="76835"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-4357370</wp:posOffset>
            </wp:positionV>
            <wp:extent cx="76835"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-4357370</wp:posOffset>
            </wp:positionV>
            <wp:extent cx="6858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-4357370</wp:posOffset>
            </wp:positionV>
            <wp:extent cx="68580"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4260215</wp:posOffset>
            </wp:positionH>
            <wp:positionV relativeFrom="paragraph">
              <wp:posOffset>-3518535</wp:posOffset>
            </wp:positionV>
            <wp:extent cx="76835"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-3518535</wp:posOffset>
            </wp:positionV>
            <wp:extent cx="76835"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-3518535</wp:posOffset>
            </wp:positionV>
            <wp:extent cx="68580"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-3518535</wp:posOffset>
            </wp:positionV>
            <wp:extent cx="68580"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4260215</wp:posOffset>
            </wp:positionH>
            <wp:positionV relativeFrom="paragraph">
              <wp:posOffset>-2687955</wp:posOffset>
            </wp:positionV>
            <wp:extent cx="76835"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-2687955</wp:posOffset>
            </wp:positionV>
            <wp:extent cx="76835"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-2687955</wp:posOffset>
            </wp:positionV>
            <wp:extent cx="6858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-2687955</wp:posOffset>
            </wp:positionV>
            <wp:extent cx="6858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4260215</wp:posOffset>
            </wp:positionH>
            <wp:positionV relativeFrom="paragraph">
              <wp:posOffset>-1831975</wp:posOffset>
            </wp:positionV>
            <wp:extent cx="2877185" cy="1885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77185" cy="188595"/>
                    </a:xfrm>
                    <a:prstGeom prst="rect">
                      <a:avLst/>
                    </a:prstGeom>
                    <a:noFill/>
                  </pic:spPr>
                </pic:pic>
              </a:graphicData>
            </a:graphic>
          </wp:anchor>
        </w:drawing>
        <w:drawing>
          <wp:anchor simplePos="0" relativeHeight="251657728" behindDoc="1" locked="0" layoutInCell="0" allowOverlap="1">
            <wp:simplePos x="0" y="0"/>
            <wp:positionH relativeFrom="column">
              <wp:posOffset>4260215</wp:posOffset>
            </wp:positionH>
            <wp:positionV relativeFrom="paragraph">
              <wp:posOffset>-1412240</wp:posOffset>
            </wp:positionV>
            <wp:extent cx="2877185" cy="436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77185" cy="436880"/>
                    </a:xfrm>
                    <a:prstGeom prst="rect">
                      <a:avLst/>
                    </a:prstGeom>
                    <a:noFill/>
                  </pic:spPr>
                </pic:pic>
              </a:graphicData>
            </a:graphic>
          </wp:anchor>
        </w:drawing>
        <w:drawing>
          <wp:anchor simplePos="0" relativeHeight="251657728" behindDoc="1" locked="0" layoutInCell="0" allowOverlap="1">
            <wp:simplePos x="0" y="0"/>
            <wp:positionH relativeFrom="column">
              <wp:posOffset>4260215</wp:posOffset>
            </wp:positionH>
            <wp:positionV relativeFrom="paragraph">
              <wp:posOffset>-838200</wp:posOffset>
            </wp:positionV>
            <wp:extent cx="76835"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-838200</wp:posOffset>
            </wp:positionV>
            <wp:extent cx="76835"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-838200</wp:posOffset>
            </wp:positionV>
            <wp:extent cx="6858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-838200</wp:posOffset>
            </wp:positionV>
            <wp:extent cx="6858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4260215</wp:posOffset>
            </wp:positionH>
            <wp:positionV relativeFrom="paragraph">
              <wp:posOffset>-547370</wp:posOffset>
            </wp:positionV>
            <wp:extent cx="76835" cy="145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-547370</wp:posOffset>
            </wp:positionV>
            <wp:extent cx="76835" cy="145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-547370</wp:posOffset>
            </wp:positionV>
            <wp:extent cx="68580"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-547370</wp:posOffset>
            </wp:positionV>
            <wp:extent cx="68580"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4260215</wp:posOffset>
            </wp:positionH>
            <wp:positionV relativeFrom="paragraph">
              <wp:posOffset>-264795</wp:posOffset>
            </wp:positionV>
            <wp:extent cx="76835" cy="5391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539115"/>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-264795</wp:posOffset>
            </wp:positionV>
            <wp:extent cx="76835" cy="5391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53911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-264795</wp:posOffset>
            </wp:positionV>
            <wp:extent cx="68580" cy="5391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5391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5391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539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8"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b w:val="1"/>
          <w:bCs w:val="1"/>
          <w:color w:val="auto"/>
        </w:rPr>
        <w:t>Xometry, Inc. and Subsidiaries</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Unaudited Condensed Consolidated Statements of Cash Flows</w:t>
      </w:r>
    </w:p>
    <w:p>
      <w:pPr>
        <w:jc w:val="center"/>
        <w:spacing w:after="0"/>
        <w:rPr>
          <w:sz w:val="20"/>
          <w:szCs w:val="20"/>
          <w:color w:val="auto"/>
        </w:rPr>
      </w:pPr>
      <w:r>
        <w:rPr>
          <w:rFonts w:ascii="Arial" w:cs="Arial" w:eastAsia="Arial" w:hAnsi="Arial"/>
          <w:sz w:val="20"/>
          <w:szCs w:val="20"/>
          <w:color w:val="auto"/>
        </w:rPr>
        <w:t>(In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20" w:type="dxa"/>
            <w:vAlign w:val="bottom"/>
            <w:gridSpan w:val="6"/>
          </w:tcPr>
          <w:p>
            <w:pPr>
              <w:jc w:val="right"/>
              <w:ind w:right="161"/>
              <w:spacing w:after="0"/>
              <w:rPr>
                <w:sz w:val="20"/>
                <w:szCs w:val="20"/>
                <w:color w:val="auto"/>
              </w:rPr>
            </w:pPr>
            <w:r>
              <w:rPr>
                <w:rFonts w:ascii="Arial" w:cs="Arial" w:eastAsia="Arial" w:hAnsi="Arial"/>
                <w:sz w:val="18"/>
                <w:szCs w:val="18"/>
                <w:b w:val="1"/>
                <w:bCs w:val="1"/>
                <w:color w:val="auto"/>
                <w:w w:val="99"/>
              </w:rPr>
              <w:t>Nine Months Ended September 30,</w:t>
            </w:r>
          </w:p>
        </w:tc>
        <w:tc>
          <w:tcPr>
            <w:tcW w:w="0" w:type="dxa"/>
            <w:vAlign w:val="bottom"/>
          </w:tcPr>
          <w:p>
            <w:pPr>
              <w:spacing w:after="0"/>
              <w:rPr>
                <w:sz w:val="1"/>
                <w:szCs w:val="1"/>
                <w:color w:val="auto"/>
              </w:rPr>
            </w:pPr>
          </w:p>
        </w:tc>
      </w:tr>
      <w:tr>
        <w:trPr>
          <w:trHeight w:val="209"/>
        </w:trPr>
        <w:tc>
          <w:tcPr>
            <w:tcW w:w="79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9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28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(51,585 )</w:t>
            </w:r>
          </w:p>
        </w:tc>
        <w:tc>
          <w:tcPr>
            <w:tcW w:w="1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(37,476 )</w:t>
            </w: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5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Impairment of assets</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520"/>
              <w:spacing w:after="0"/>
              <w:rPr>
                <w:sz w:val="20"/>
                <w:szCs w:val="20"/>
                <w:color w:val="auto"/>
              </w:rPr>
            </w:pPr>
            <w:r>
              <w:rPr>
                <w:rFonts w:ascii="Arial" w:cs="Arial" w:eastAsia="Arial" w:hAnsi="Arial"/>
                <w:sz w:val="18"/>
                <w:szCs w:val="18"/>
                <w:color w:val="auto"/>
              </w:rPr>
              <w:t>Reduction in carrying amount of right-of-use asset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Stock based compensation</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14,048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520"/>
              <w:spacing w:after="0"/>
              <w:rPr>
                <w:sz w:val="20"/>
                <w:szCs w:val="20"/>
                <w:color w:val="auto"/>
              </w:rPr>
            </w:pPr>
            <w:r>
              <w:rPr>
                <w:rFonts w:ascii="Arial" w:cs="Arial" w:eastAsia="Arial" w:hAnsi="Arial"/>
                <w:sz w:val="18"/>
                <w:szCs w:val="18"/>
                <w:color w:val="auto"/>
              </w:rPr>
              <w:t>Non-cash interest expense</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Loss on debt extinguishment</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520"/>
              <w:spacing w:after="0"/>
              <w:rPr>
                <w:sz w:val="20"/>
                <w:szCs w:val="20"/>
                <w:color w:val="auto"/>
              </w:rPr>
            </w:pPr>
            <w:r>
              <w:rPr>
                <w:rFonts w:ascii="Arial" w:cs="Arial" w:eastAsia="Arial" w:hAnsi="Arial"/>
                <w:sz w:val="18"/>
                <w:szCs w:val="18"/>
                <w:color w:val="auto"/>
              </w:rPr>
              <w:t>Revaluation of contingent consideration</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Income from unconsolidated joint venture</w:t>
            </w: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(100 )</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520"/>
              <w:spacing w:after="0"/>
              <w:rPr>
                <w:sz w:val="20"/>
                <w:szCs w:val="20"/>
                <w:color w:val="auto"/>
              </w:rPr>
            </w:pPr>
            <w:r>
              <w:rPr>
                <w:rFonts w:ascii="Arial" w:cs="Arial" w:eastAsia="Arial" w:hAnsi="Arial"/>
                <w:sz w:val="18"/>
                <w:szCs w:val="18"/>
                <w:color w:val="auto"/>
              </w:rPr>
              <w:t>Donation of common stock</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Unrealized loss on marketable securities</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520"/>
              <w:spacing w:after="0"/>
              <w:rPr>
                <w:sz w:val="20"/>
                <w:szCs w:val="20"/>
                <w:color w:val="auto"/>
              </w:rPr>
            </w:pPr>
            <w:r>
              <w:rPr>
                <w:rFonts w:ascii="Arial" w:cs="Arial" w:eastAsia="Arial" w:hAnsi="Arial"/>
                <w:sz w:val="18"/>
                <w:szCs w:val="18"/>
                <w:color w:val="auto"/>
              </w:rPr>
              <w:t>Non-cash income tax benefit</w:t>
            </w:r>
          </w:p>
        </w:tc>
        <w:tc>
          <w:tcPr>
            <w:tcW w:w="12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(559 )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Loss on sale of property and equipment</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520"/>
              <w:spacing w:after="0"/>
              <w:rPr>
                <w:sz w:val="20"/>
                <w:szCs w:val="20"/>
                <w:color w:val="auto"/>
              </w:rPr>
            </w:pPr>
            <w:r>
              <w:rPr>
                <w:rFonts w:ascii="Arial" w:cs="Arial" w:eastAsia="Arial" w:hAnsi="Arial"/>
                <w:sz w:val="18"/>
                <w:szCs w:val="18"/>
                <w:color w:val="auto"/>
              </w:rPr>
              <w:t>Amortization of deferred costs on convertible notes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Deferred taxes benefit</w:t>
            </w: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520"/>
              <w:spacing w:after="0"/>
              <w:rPr>
                <w:sz w:val="20"/>
                <w:szCs w:val="20"/>
                <w:color w:val="auto"/>
              </w:rPr>
            </w:pPr>
            <w:r>
              <w:rPr>
                <w:rFonts w:ascii="Arial" w:cs="Arial" w:eastAsia="Arial" w:hAnsi="Arial"/>
                <w:sz w:val="18"/>
                <w:szCs w:val="18"/>
                <w:color w:val="auto"/>
              </w:rPr>
              <w:t>Changes in other assets and liabilities: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780"/>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(19,032 )</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(10,645 )</w:t>
            </w:r>
          </w:p>
        </w:tc>
        <w:tc>
          <w:tcPr>
            <w:tcW w:w="0" w:type="dxa"/>
            <w:vAlign w:val="bottom"/>
          </w:tcPr>
          <w:p>
            <w:pPr>
              <w:spacing w:after="0"/>
              <w:rPr>
                <w:sz w:val="1"/>
                <w:szCs w:val="1"/>
                <w:color w:val="auto"/>
              </w:rPr>
            </w:pPr>
          </w:p>
        </w:tc>
      </w:tr>
      <w:tr>
        <w:trPr>
          <w:trHeight w:val="216"/>
        </w:trPr>
        <w:tc>
          <w:tcPr>
            <w:tcW w:w="7900" w:type="dxa"/>
            <w:vAlign w:val="bottom"/>
          </w:tcPr>
          <w:p>
            <w:pPr>
              <w:ind w:left="780"/>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(3,680 )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780"/>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(1,784 )</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(4,080 )</w:t>
            </w:r>
          </w:p>
        </w:tc>
        <w:tc>
          <w:tcPr>
            <w:tcW w:w="0" w:type="dxa"/>
            <w:vAlign w:val="bottom"/>
          </w:tcPr>
          <w:p>
            <w:pPr>
              <w:spacing w:after="0"/>
              <w:rPr>
                <w:sz w:val="1"/>
                <w:szCs w:val="1"/>
                <w:color w:val="auto"/>
              </w:rPr>
            </w:pPr>
          </w:p>
        </w:tc>
      </w:tr>
      <w:tr>
        <w:trPr>
          <w:trHeight w:val="216"/>
        </w:trPr>
        <w:tc>
          <w:tcPr>
            <w:tcW w:w="7900" w:type="dxa"/>
            <w:vAlign w:val="bottom"/>
          </w:tcPr>
          <w:p>
            <w:pPr>
              <w:ind w:left="78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(3,922 )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78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(240 )</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(400 )</w:t>
            </w:r>
          </w:p>
        </w:tc>
        <w:tc>
          <w:tcPr>
            <w:tcW w:w="0" w:type="dxa"/>
            <w:vAlign w:val="bottom"/>
          </w:tcPr>
          <w:p>
            <w:pPr>
              <w:spacing w:after="0"/>
              <w:rPr>
                <w:sz w:val="1"/>
                <w:szCs w:val="1"/>
                <w:color w:val="auto"/>
              </w:rPr>
            </w:pPr>
          </w:p>
        </w:tc>
      </w:tr>
      <w:tr>
        <w:trPr>
          <w:trHeight w:val="216"/>
        </w:trPr>
        <w:tc>
          <w:tcPr>
            <w:tcW w:w="7900" w:type="dxa"/>
            <w:vAlign w:val="bottom"/>
          </w:tcPr>
          <w:p>
            <w:pPr>
              <w:ind w:left="78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780"/>
              <w:spacing w:after="0"/>
              <w:rPr>
                <w:sz w:val="20"/>
                <w:szCs w:val="20"/>
                <w:color w:val="auto"/>
              </w:rPr>
            </w:pPr>
            <w:r>
              <w:rPr>
                <w:rFonts w:ascii="Arial" w:cs="Arial" w:eastAsia="Arial" w:hAnsi="Arial"/>
                <w:sz w:val="18"/>
                <w:szCs w:val="18"/>
                <w:color w:val="auto"/>
              </w:rPr>
              <w:t>Contract liabilities</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2,777</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780"/>
              <w:spacing w:after="0"/>
              <w:rPr>
                <w:sz w:val="20"/>
                <w:szCs w:val="20"/>
                <w:color w:val="auto"/>
              </w:rPr>
            </w:pPr>
            <w:r>
              <w:rPr>
                <w:rFonts w:ascii="Arial" w:cs="Arial" w:eastAsia="Arial" w:hAnsi="Arial"/>
                <w:sz w:val="18"/>
                <w:szCs w:val="18"/>
                <w:color w:val="auto"/>
              </w:rPr>
              <w:t>Lease liabilities</w:t>
            </w:r>
          </w:p>
        </w:tc>
        <w:tc>
          <w:tcPr>
            <w:tcW w:w="12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(4,219 )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(917 )</w:t>
            </w:r>
          </w:p>
        </w:tc>
        <w:tc>
          <w:tcPr>
            <w:tcW w:w="0" w:type="dxa"/>
            <w:vAlign w:val="bottom"/>
          </w:tcPr>
          <w:p>
            <w:pPr>
              <w:spacing w:after="0"/>
              <w:rPr>
                <w:sz w:val="1"/>
                <w:szCs w:val="1"/>
                <w:color w:val="auto"/>
              </w:rPr>
            </w:pPr>
          </w:p>
        </w:tc>
      </w:tr>
      <w:tr>
        <w:trPr>
          <w:trHeight w:val="209"/>
        </w:trPr>
        <w:tc>
          <w:tcPr>
            <w:tcW w:w="790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(45,510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(37,370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790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Purchase of marketable securities</w:t>
            </w: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(281,897 )</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(266,978 )</w:t>
            </w:r>
          </w:p>
        </w:tc>
        <w:tc>
          <w:tcPr>
            <w:tcW w:w="0" w:type="dxa"/>
            <w:vAlign w:val="bottom"/>
          </w:tcPr>
          <w:p>
            <w:pPr>
              <w:spacing w:after="0"/>
              <w:rPr>
                <w:sz w:val="1"/>
                <w:szCs w:val="1"/>
                <w:color w:val="auto"/>
              </w:rPr>
            </w:pPr>
          </w:p>
        </w:tc>
      </w:tr>
      <w:tr>
        <w:trPr>
          <w:trHeight w:val="216"/>
        </w:trPr>
        <w:tc>
          <w:tcPr>
            <w:tcW w:w="7900" w:type="dxa"/>
            <w:vAlign w:val="bottom"/>
          </w:tcPr>
          <w:p>
            <w:pPr>
              <w:ind w:left="280"/>
              <w:spacing w:after="0"/>
              <w:rPr>
                <w:sz w:val="20"/>
                <w:szCs w:val="20"/>
                <w:color w:val="auto"/>
              </w:rPr>
            </w:pPr>
            <w:r>
              <w:rPr>
                <w:rFonts w:ascii="Arial" w:cs="Arial" w:eastAsia="Arial" w:hAnsi="Arial"/>
                <w:sz w:val="18"/>
                <w:szCs w:val="18"/>
                <w:color w:val="auto"/>
              </w:rPr>
              <w:t>Proceeds from sale of marketable securities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(9,608 )</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(4,625 )</w:t>
            </w:r>
          </w:p>
        </w:tc>
        <w:tc>
          <w:tcPr>
            <w:tcW w:w="0" w:type="dxa"/>
            <w:vAlign w:val="bottom"/>
          </w:tcPr>
          <w:p>
            <w:pPr>
              <w:spacing w:after="0"/>
              <w:rPr>
                <w:sz w:val="1"/>
                <w:szCs w:val="1"/>
                <w:color w:val="auto"/>
              </w:rPr>
            </w:pPr>
          </w:p>
        </w:tc>
      </w:tr>
      <w:tr>
        <w:trPr>
          <w:trHeight w:val="216"/>
        </w:trPr>
        <w:tc>
          <w:tcPr>
            <w:tcW w:w="7900" w:type="dxa"/>
            <w:vAlign w:val="bottom"/>
            <w:tcBorders>
              <w:bottom w:val="single" w:sz="8" w:color="CFF0FC"/>
            </w:tcBorders>
          </w:tcPr>
          <w:p>
            <w:pPr>
              <w:ind w:left="280"/>
              <w:spacing w:after="0"/>
              <w:rPr>
                <w:sz w:val="20"/>
                <w:szCs w:val="20"/>
                <w:color w:val="auto"/>
              </w:rPr>
            </w:pPr>
            <w:r>
              <w:rPr>
                <w:rFonts w:ascii="Arial" w:cs="Arial" w:eastAsia="Arial" w:hAnsi="Arial"/>
                <w:sz w:val="18"/>
                <w:szCs w:val="18"/>
                <w:color w:val="auto"/>
              </w:rPr>
              <w:t>Proceeds from sale of property and equipment</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90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(291,336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(271,603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790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Proceeds from initial public offering, net of underwriters' discount</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325,263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280"/>
              <w:spacing w:after="0"/>
              <w:rPr>
                <w:sz w:val="20"/>
                <w:szCs w:val="20"/>
                <w:color w:val="auto"/>
              </w:rPr>
            </w:pPr>
            <w:r>
              <w:rPr>
                <w:rFonts w:ascii="Arial" w:cs="Arial" w:eastAsia="Arial" w:hAnsi="Arial"/>
                <w:sz w:val="18"/>
                <w:szCs w:val="18"/>
                <w:color w:val="auto"/>
              </w:rPr>
              <w:t>Payments in connection with initial public offering</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(3,995 )</w:t>
            </w: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Proceeds from stock options exercised</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3,317</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280"/>
              <w:spacing w:after="0"/>
              <w:rPr>
                <w:sz w:val="20"/>
                <w:szCs w:val="20"/>
                <w:color w:val="auto"/>
              </w:rPr>
            </w:pPr>
            <w:r>
              <w:rPr>
                <w:rFonts w:ascii="Arial" w:cs="Arial" w:eastAsia="Arial" w:hAnsi="Arial"/>
                <w:sz w:val="18"/>
                <w:szCs w:val="18"/>
                <w:color w:val="auto"/>
              </w:rPr>
              <w:t>Repayment of term loan</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(16,136 )</w:t>
            </w: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Proceeds from issuance of convertible notes</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287,500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280"/>
              <w:spacing w:after="0"/>
              <w:rPr>
                <w:sz w:val="20"/>
                <w:szCs w:val="20"/>
                <w:color w:val="auto"/>
              </w:rPr>
            </w:pPr>
            <w:r>
              <w:rPr>
                <w:rFonts w:ascii="Arial" w:cs="Arial" w:eastAsia="Arial" w:hAnsi="Arial"/>
                <w:sz w:val="18"/>
                <w:szCs w:val="18"/>
                <w:color w:val="auto"/>
              </w:rPr>
              <w:t>Costs incurred in connection with issuance of convertible notes</w:t>
            </w:r>
          </w:p>
        </w:tc>
        <w:tc>
          <w:tcPr>
            <w:tcW w:w="12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(9,309 )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Payments on finance lease obligations</w:t>
            </w: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09"/>
        </w:trPr>
        <w:tc>
          <w:tcPr>
            <w:tcW w:w="7900" w:type="dxa"/>
            <w:vAlign w:val="bottom"/>
            <w:tcBorders>
              <w:top w:val="single" w:sz="8" w:color="CFF0FC"/>
            </w:tcBorders>
          </w:tcPr>
          <w:p>
            <w:pPr>
              <w:ind w:left="520"/>
              <w:spacing w:after="0"/>
              <w:rPr>
                <w:sz w:val="20"/>
                <w:szCs w:val="20"/>
                <w:color w:val="auto"/>
              </w:rPr>
            </w:pPr>
            <w:r>
              <w:rPr>
                <w:rFonts w:ascii="Arial" w:cs="Arial" w:eastAsia="Arial" w:hAnsi="Arial"/>
                <w:sz w:val="18"/>
                <w:szCs w:val="18"/>
                <w:b w:val="1"/>
                <w:bCs w:val="1"/>
                <w:color w:val="auto"/>
              </w:rPr>
              <w:t>Net cash provided by financing activities</w:t>
            </w: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281,506</w:t>
            </w: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306,910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9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Effect of foreign currency translation on cash and cash equivalents</w:t>
            </w:r>
          </w:p>
        </w:tc>
        <w:tc>
          <w:tcPr>
            <w:tcW w:w="1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40"/>
        </w:trPr>
        <w:tc>
          <w:tcPr>
            <w:tcW w:w="7900" w:type="dxa"/>
            <w:vAlign w:val="bottom"/>
          </w:tcPr>
          <w:p>
            <w:pPr>
              <w:ind w:left="520"/>
              <w:spacing w:after="0"/>
              <w:rPr>
                <w:sz w:val="20"/>
                <w:szCs w:val="20"/>
                <w:color w:val="auto"/>
              </w:rPr>
            </w:pPr>
            <w:r>
              <w:rPr>
                <w:rFonts w:ascii="Arial" w:cs="Arial" w:eastAsia="Arial" w:hAnsi="Arial"/>
                <w:sz w:val="18"/>
                <w:szCs w:val="18"/>
                <w:b w:val="1"/>
                <w:bCs w:val="1"/>
                <w:color w:val="auto"/>
              </w:rPr>
              <w:t>Net decrease in cash and cash equivalents</w:t>
            </w:r>
          </w:p>
        </w:tc>
        <w:tc>
          <w:tcPr>
            <w:tcW w:w="120" w:type="dxa"/>
            <w:vAlign w:val="bottom"/>
          </w:tcPr>
          <w:p>
            <w:pPr>
              <w:spacing w:after="0"/>
              <w:rPr>
                <w:sz w:val="20"/>
                <w:szCs w:val="20"/>
                <w:color w:val="auto"/>
              </w:rPr>
            </w:pPr>
          </w:p>
        </w:tc>
        <w:tc>
          <w:tcPr>
            <w:tcW w:w="1460" w:type="dxa"/>
            <w:vAlign w:val="bottom"/>
            <w:gridSpan w:val="2"/>
            <w:vMerge w:val="restart"/>
          </w:tcPr>
          <w:p>
            <w:pPr>
              <w:jc w:val="right"/>
              <w:spacing w:after="0"/>
              <w:rPr>
                <w:sz w:val="20"/>
                <w:szCs w:val="20"/>
                <w:color w:val="auto"/>
              </w:rPr>
            </w:pPr>
            <w:r>
              <w:rPr>
                <w:rFonts w:ascii="Arial" w:cs="Arial" w:eastAsia="Arial" w:hAnsi="Arial"/>
                <w:sz w:val="18"/>
                <w:szCs w:val="18"/>
                <w:color w:val="auto"/>
              </w:rPr>
              <w:t>(55,765 )</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8"/>
                <w:szCs w:val="18"/>
                <w:color w:val="auto"/>
              </w:rPr>
              <w:t>(2,096 )</w:t>
            </w:r>
          </w:p>
        </w:tc>
        <w:tc>
          <w:tcPr>
            <w:tcW w:w="0" w:type="dxa"/>
            <w:vAlign w:val="bottom"/>
          </w:tcPr>
          <w:p>
            <w:pPr>
              <w:spacing w:after="0"/>
              <w:rPr>
                <w:sz w:val="1"/>
                <w:szCs w:val="1"/>
                <w:color w:val="auto"/>
              </w:rPr>
            </w:pPr>
          </w:p>
        </w:tc>
      </w:tr>
      <w:tr>
        <w:trPr>
          <w:trHeight w:val="158"/>
        </w:trPr>
        <w:tc>
          <w:tcPr>
            <w:tcW w:w="7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Cash and cash equivalents at beginning of the period</w:t>
            </w:r>
          </w:p>
        </w:tc>
        <w:tc>
          <w:tcPr>
            <w:tcW w:w="1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86,262</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59,874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90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end of the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30,497</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Supplemental cash flow information:</w:t>
            </w: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20"/>
              <w:spacing w:after="0"/>
              <w:rPr>
                <w:sz w:val="20"/>
                <w:szCs w:val="20"/>
                <w:color w:val="auto"/>
              </w:rPr>
            </w:pPr>
            <w:r>
              <w:rPr>
                <w:rFonts w:ascii="Arial" w:cs="Arial" w:eastAsia="Arial" w:hAnsi="Arial"/>
                <w:sz w:val="18"/>
                <w:szCs w:val="18"/>
                <w:color w:val="auto"/>
              </w:rPr>
              <w:t>Cash paid for interest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Non-cash investing activity:</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900" w:type="dxa"/>
            <w:vAlign w:val="bottom"/>
          </w:tcPr>
          <w:p>
            <w:pPr>
              <w:ind w:left="20"/>
              <w:spacing w:after="0"/>
              <w:rPr>
                <w:sz w:val="20"/>
                <w:szCs w:val="20"/>
                <w:color w:val="auto"/>
              </w:rPr>
            </w:pPr>
            <w:r>
              <w:rPr>
                <w:rFonts w:ascii="Arial" w:cs="Arial" w:eastAsia="Arial" w:hAnsi="Arial"/>
                <w:sz w:val="18"/>
                <w:szCs w:val="18"/>
                <w:color w:val="auto"/>
              </w:rPr>
              <w:t>Non-cash purchase of property and equipment</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5955665</wp:posOffset>
            </wp:positionH>
            <wp:positionV relativeFrom="paragraph">
              <wp:posOffset>-3370580</wp:posOffset>
            </wp:positionV>
            <wp:extent cx="68580" cy="145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-3370580</wp:posOffset>
            </wp:positionV>
            <wp:extent cx="68580" cy="145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-2689225</wp:posOffset>
            </wp:positionV>
            <wp:extent cx="7145020" cy="3035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5020" cy="303530"/>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-1426845</wp:posOffset>
            </wp:positionV>
            <wp:extent cx="68580"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-1426845</wp:posOffset>
            </wp:positionV>
            <wp:extent cx="6858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-1135380</wp:posOffset>
            </wp:positionV>
            <wp:extent cx="68580" cy="2654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-1135380</wp:posOffset>
            </wp:positionV>
            <wp:extent cx="68580" cy="2654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-733425</wp:posOffset>
            </wp:positionV>
            <wp:extent cx="6858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-733425</wp:posOffset>
            </wp:positionV>
            <wp:extent cx="6858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8" w:right="339" w:bottom="1440" w:gutter="0" w:footer="0" w:header="0"/>
        </w:sectPr>
      </w:pPr>
    </w:p>
    <w:bookmarkStart w:id="12" w:name="page13"/>
    <w:bookmarkEnd w:id="12"/>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spacing w:after="0" w:line="19"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Unaudited Reconciliations of Non-GAAP Financial Measures</w:t>
      </w:r>
    </w:p>
    <w:p>
      <w:pPr>
        <w:jc w:val="center"/>
        <w:spacing w:after="0"/>
        <w:rPr>
          <w:sz w:val="20"/>
          <w:szCs w:val="20"/>
          <w:color w:val="auto"/>
        </w:rPr>
      </w:pPr>
      <w:r>
        <w:rPr>
          <w:rFonts w:ascii="Arial" w:cs="Arial" w:eastAsia="Arial" w:hAnsi="Arial"/>
          <w:sz w:val="20"/>
          <w:szCs w:val="20"/>
          <w:color w:val="auto"/>
        </w:rPr>
        <w:t>(In thousands)</w:t>
      </w:r>
    </w:p>
    <w:tbl>
      <w:tblPr>
        <w:tblLayout w:type="fixed"/>
        <w:tblInd w:w="5680" w:type="dxa"/>
        <w:tblCellMar>
          <w:top w:w="0" w:type="dxa"/>
          <w:left w:w="0" w:type="dxa"/>
          <w:bottom w:w="0" w:type="dxa"/>
          <w:right w:w="0" w:type="dxa"/>
        </w:tblCellMar>
      </w:tblPr>
      <w:tr>
        <w:trPr>
          <w:trHeight w:val="173"/>
        </w:trPr>
        <w:tc>
          <w:tcPr>
            <w:tcW w:w="2600" w:type="dxa"/>
            <w:vAlign w:val="bottom"/>
            <w:gridSpan w:val="2"/>
          </w:tcPr>
          <w:p>
            <w:pPr>
              <w:ind w:left="360"/>
              <w:spacing w:after="0" w:line="173" w:lineRule="exact"/>
              <w:rPr>
                <w:sz w:val="20"/>
                <w:szCs w:val="20"/>
                <w:color w:val="auto"/>
              </w:rPr>
            </w:pPr>
            <w:r>
              <w:rPr>
                <w:rFonts w:ascii="Arial" w:cs="Arial" w:eastAsia="Arial" w:hAnsi="Arial"/>
                <w:sz w:val="18"/>
                <w:szCs w:val="18"/>
                <w:b w:val="1"/>
                <w:bCs w:val="1"/>
                <w:color w:val="auto"/>
              </w:rPr>
              <w:t>For the Three Months</w:t>
            </w:r>
          </w:p>
        </w:tc>
        <w:tc>
          <w:tcPr>
            <w:tcW w:w="220" w:type="dxa"/>
            <w:vAlign w:val="bottom"/>
          </w:tcPr>
          <w:p>
            <w:pPr>
              <w:spacing w:after="0"/>
              <w:rPr>
                <w:sz w:val="15"/>
                <w:szCs w:val="15"/>
                <w:color w:val="auto"/>
              </w:rPr>
            </w:pPr>
          </w:p>
        </w:tc>
        <w:tc>
          <w:tcPr>
            <w:tcW w:w="2580" w:type="dxa"/>
            <w:vAlign w:val="bottom"/>
            <w:gridSpan w:val="2"/>
          </w:tcPr>
          <w:p>
            <w:pPr>
              <w:ind w:left="420"/>
              <w:spacing w:after="0" w:line="173" w:lineRule="exact"/>
              <w:rPr>
                <w:sz w:val="20"/>
                <w:szCs w:val="20"/>
                <w:color w:val="auto"/>
              </w:rPr>
            </w:pPr>
            <w:r>
              <w:rPr>
                <w:rFonts w:ascii="Arial" w:cs="Arial" w:eastAsia="Arial" w:hAnsi="Arial"/>
                <w:sz w:val="18"/>
                <w:szCs w:val="18"/>
                <w:b w:val="1"/>
                <w:bCs w:val="1"/>
                <w:color w:val="auto"/>
              </w:rPr>
              <w:t>For the Nine Months</w:t>
            </w:r>
          </w:p>
        </w:tc>
      </w:tr>
      <w:tr>
        <w:trPr>
          <w:trHeight w:val="235"/>
        </w:trPr>
        <w:tc>
          <w:tcPr>
            <w:tcW w:w="2600" w:type="dxa"/>
            <w:vAlign w:val="bottom"/>
            <w:tcBorders>
              <w:bottom w:val="single" w:sz="8" w:color="auto"/>
            </w:tcBorders>
            <w:gridSpan w:val="2"/>
          </w:tcPr>
          <w:p>
            <w:pPr>
              <w:ind w:left="380"/>
              <w:spacing w:after="0"/>
              <w:rPr>
                <w:sz w:val="20"/>
                <w:szCs w:val="20"/>
                <w:color w:val="auto"/>
              </w:rPr>
            </w:pPr>
            <w:r>
              <w:rPr>
                <w:rFonts w:ascii="Arial" w:cs="Arial" w:eastAsia="Arial" w:hAnsi="Arial"/>
                <w:sz w:val="18"/>
                <w:szCs w:val="18"/>
                <w:b w:val="1"/>
                <w:bCs w:val="1"/>
                <w:color w:val="auto"/>
              </w:rPr>
              <w:t>Ended September 30,</w:t>
            </w:r>
          </w:p>
        </w:tc>
        <w:tc>
          <w:tcPr>
            <w:tcW w:w="220" w:type="dxa"/>
            <w:vAlign w:val="bottom"/>
          </w:tcPr>
          <w:p>
            <w:pPr>
              <w:spacing w:after="0"/>
              <w:rPr>
                <w:sz w:val="20"/>
                <w:szCs w:val="20"/>
                <w:color w:val="auto"/>
              </w:rPr>
            </w:pPr>
          </w:p>
        </w:tc>
        <w:tc>
          <w:tcPr>
            <w:tcW w:w="2580" w:type="dxa"/>
            <w:vAlign w:val="bottom"/>
            <w:tcBorders>
              <w:bottom w:val="single" w:sz="8" w:color="auto"/>
            </w:tcBorders>
            <w:gridSpan w:val="2"/>
          </w:tcPr>
          <w:p>
            <w:pPr>
              <w:ind w:left="380"/>
              <w:spacing w:after="0"/>
              <w:rPr>
                <w:sz w:val="20"/>
                <w:szCs w:val="20"/>
                <w:color w:val="auto"/>
              </w:rPr>
            </w:pPr>
            <w:r>
              <w:rPr>
                <w:rFonts w:ascii="Arial" w:cs="Arial" w:eastAsia="Arial" w:hAnsi="Arial"/>
                <w:sz w:val="18"/>
                <w:szCs w:val="18"/>
                <w:b w:val="1"/>
                <w:bCs w:val="1"/>
                <w:color w:val="auto"/>
              </w:rPr>
              <w:t>Ended September 30,</w:t>
            </w:r>
          </w:p>
        </w:tc>
      </w:tr>
      <w:tr>
        <w:trPr>
          <w:trHeight w:val="209"/>
        </w:trPr>
        <w:tc>
          <w:tcPr>
            <w:tcW w:w="1280" w:type="dxa"/>
            <w:vAlign w:val="bottom"/>
          </w:tcPr>
          <w:p>
            <w:pPr>
              <w:ind w:left="380"/>
              <w:spacing w:after="0"/>
              <w:rPr>
                <w:sz w:val="20"/>
                <w:szCs w:val="20"/>
                <w:color w:val="auto"/>
              </w:rPr>
            </w:pPr>
            <w:r>
              <w:rPr>
                <w:rFonts w:ascii="Arial" w:cs="Arial" w:eastAsia="Arial" w:hAnsi="Arial"/>
                <w:sz w:val="18"/>
                <w:szCs w:val="18"/>
                <w:b w:val="1"/>
                <w:bCs w:val="1"/>
                <w:color w:val="auto"/>
              </w:rPr>
              <w:t>2022</w:t>
            </w:r>
          </w:p>
        </w:tc>
        <w:tc>
          <w:tcPr>
            <w:tcW w:w="1320" w:type="dxa"/>
            <w:vAlign w:val="bottom"/>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280" w:type="dxa"/>
            <w:vAlign w:val="bottom"/>
          </w:tcPr>
          <w:p>
            <w:pPr>
              <w:ind w:left="380"/>
              <w:spacing w:after="0"/>
              <w:rPr>
                <w:sz w:val="20"/>
                <w:szCs w:val="20"/>
                <w:color w:val="auto"/>
              </w:rPr>
            </w:pPr>
            <w:r>
              <w:rPr>
                <w:rFonts w:ascii="Arial" w:cs="Arial" w:eastAsia="Arial" w:hAnsi="Arial"/>
                <w:sz w:val="18"/>
                <w:szCs w:val="18"/>
                <w:b w:val="1"/>
                <w:bCs w:val="1"/>
                <w:color w:val="auto"/>
              </w:rPr>
              <w:t>2022</w:t>
            </w:r>
          </w:p>
        </w:tc>
        <w:tc>
          <w:tcPr>
            <w:tcW w:w="1300" w:type="dxa"/>
            <w:vAlign w:val="bottom"/>
          </w:tcPr>
          <w:p>
            <w:pPr>
              <w:jc w:val="right"/>
              <w:ind w:right="310"/>
              <w:spacing w:after="0"/>
              <w:rPr>
                <w:sz w:val="20"/>
                <w:szCs w:val="20"/>
                <w:color w:val="auto"/>
              </w:rPr>
            </w:pPr>
            <w:r>
              <w:rPr>
                <w:rFonts w:ascii="Arial" w:cs="Arial" w:eastAsia="Arial" w:hAnsi="Arial"/>
                <w:sz w:val="18"/>
                <w:szCs w:val="18"/>
                <w:b w:val="1"/>
                <w:bCs w:val="1"/>
                <w:color w:val="auto"/>
              </w:rPr>
              <w:t>2021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560" w:type="dxa"/>
            <w:vAlign w:val="bottom"/>
            <w:gridSpan w:val="3"/>
            <w:shd w:val="clear" w:color="auto" w:fill="CFF0FC"/>
          </w:tcPr>
          <w:p>
            <w:pPr>
              <w:spacing w:after="0" w:line="169" w:lineRule="exact"/>
              <w:rPr>
                <w:sz w:val="20"/>
                <w:szCs w:val="20"/>
                <w:color w:val="auto"/>
              </w:rPr>
            </w:pPr>
            <w:r>
              <w:rPr>
                <w:rFonts w:ascii="Arial" w:cs="Arial" w:eastAsia="Arial" w:hAnsi="Arial"/>
                <w:sz w:val="18"/>
                <w:szCs w:val="18"/>
                <w:b w:val="1"/>
                <w:bCs w:val="1"/>
                <w:color w:val="auto"/>
              </w:rPr>
              <w:t>Adjusted EBITDA:</w:t>
            </w:r>
          </w:p>
        </w:tc>
        <w:tc>
          <w:tcPr>
            <w:tcW w:w="4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100" w:type="dxa"/>
            <w:vAlign w:val="bottom"/>
            <w:tcBorders>
              <w:right w:val="single" w:sz="8" w:color="CFF0FC"/>
            </w:tcBorders>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loss</w:t>
            </w:r>
          </w:p>
        </w:tc>
        <w:tc>
          <w:tcPr>
            <w:tcW w:w="4020" w:type="dxa"/>
            <w:vAlign w:val="bottom"/>
            <w:tcBorders>
              <w:top w:val="single" w:sz="8" w:color="CFF0FC"/>
            </w:tcBorders>
            <w:gridSpan w:val="2"/>
          </w:tcPr>
          <w:p>
            <w:pPr>
              <w:spacing w:after="0"/>
              <w:rPr>
                <w:sz w:val="18"/>
                <w:szCs w:val="18"/>
                <w:color w:val="auto"/>
              </w:rPr>
            </w:pPr>
          </w:p>
        </w:tc>
        <w:tc>
          <w:tcPr>
            <w:tcW w:w="20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CFF0FC"/>
            </w:tcBorders>
            <w:gridSpan w:val="3"/>
          </w:tcPr>
          <w:p>
            <w:pPr>
              <w:jc w:val="right"/>
              <w:ind w:right="81"/>
              <w:spacing w:after="0"/>
              <w:rPr>
                <w:sz w:val="20"/>
                <w:szCs w:val="20"/>
                <w:color w:val="auto"/>
              </w:rPr>
            </w:pPr>
            <w:r>
              <w:rPr>
                <w:rFonts w:ascii="Arial" w:cs="Arial" w:eastAsia="Arial" w:hAnsi="Arial"/>
                <w:sz w:val="18"/>
                <w:szCs w:val="18"/>
                <w:color w:val="auto"/>
              </w:rPr>
              <w:t>(15,041 )</w:t>
            </w:r>
          </w:p>
        </w:tc>
        <w:tc>
          <w:tcPr>
            <w:tcW w:w="20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CFF0FC"/>
            </w:tcBorders>
            <w:gridSpan w:val="2"/>
          </w:tcPr>
          <w:p>
            <w:pPr>
              <w:jc w:val="right"/>
              <w:ind w:right="81"/>
              <w:spacing w:after="0"/>
              <w:rPr>
                <w:sz w:val="20"/>
                <w:szCs w:val="20"/>
                <w:color w:val="auto"/>
              </w:rPr>
            </w:pPr>
            <w:r>
              <w:rPr>
                <w:rFonts w:ascii="Arial" w:cs="Arial" w:eastAsia="Arial" w:hAnsi="Arial"/>
                <w:sz w:val="18"/>
                <w:szCs w:val="18"/>
                <w:color w:val="auto"/>
              </w:rPr>
              <w:t>(14,711 )</w:t>
            </w:r>
          </w:p>
        </w:tc>
        <w:tc>
          <w:tcPr>
            <w:tcW w:w="1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CFF0FC"/>
            </w:tcBorders>
            <w:gridSpan w:val="3"/>
          </w:tcPr>
          <w:p>
            <w:pPr>
              <w:jc w:val="right"/>
              <w:ind w:right="180"/>
              <w:spacing w:after="0"/>
              <w:rPr>
                <w:sz w:val="20"/>
                <w:szCs w:val="20"/>
                <w:color w:val="auto"/>
              </w:rPr>
            </w:pPr>
            <w:r>
              <w:rPr>
                <w:rFonts w:ascii="Arial" w:cs="Arial" w:eastAsia="Arial" w:hAnsi="Arial"/>
                <w:sz w:val="18"/>
                <w:szCs w:val="18"/>
                <w:color w:val="auto"/>
              </w:rPr>
              <w:t>(51,585 )</w:t>
            </w:r>
          </w:p>
        </w:tc>
        <w:tc>
          <w:tcPr>
            <w:tcW w:w="220" w:type="dxa"/>
            <w:vAlign w:val="bottom"/>
            <w:tcBorders>
              <w:top w:val="single" w:sz="8" w:color="CFF0FC"/>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(37,476 )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5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Add (deduct):</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560" w:type="dxa"/>
            <w:vAlign w:val="bottom"/>
            <w:gridSpan w:val="3"/>
          </w:tcPr>
          <w:p>
            <w:pPr>
              <w:spacing w:after="0"/>
              <w:rPr>
                <w:sz w:val="20"/>
                <w:szCs w:val="20"/>
                <w:color w:val="auto"/>
              </w:rPr>
            </w:pPr>
            <w:r>
              <w:rPr>
                <w:rFonts w:ascii="Arial" w:cs="Arial" w:eastAsia="Arial" w:hAnsi="Arial"/>
                <w:sz w:val="18"/>
                <w:szCs w:val="18"/>
                <w:color w:val="auto"/>
              </w:rPr>
              <w:t>Interest expense, interest and dividend income and other expenses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2,991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560" w:type="dxa"/>
            <w:vAlign w:val="bottom"/>
            <w:gridSpan w:val="3"/>
            <w:shd w:val="clear" w:color="auto" w:fill="CFF0FC"/>
          </w:tcPr>
          <w:p>
            <w:pPr>
              <w:spacing w:after="0" w:line="216" w:lineRule="exact"/>
              <w:rPr>
                <w:sz w:val="20"/>
                <w:szCs w:val="20"/>
                <w:color w:val="auto"/>
              </w:rPr>
            </w:pPr>
            <w:r>
              <w:rPr>
                <w:rFonts w:ascii="Arial" w:cs="Arial" w:eastAsia="Arial" w:hAnsi="Arial"/>
                <w:sz w:val="18"/>
                <w:szCs w:val="18"/>
                <w:color w:val="auto"/>
              </w:rPr>
              <w:t>Depreciation and amortization expense</w:t>
            </w:r>
            <w:r>
              <w:rPr>
                <w:rFonts w:ascii="Arial" w:cs="Arial" w:eastAsia="Arial" w:hAnsi="Arial"/>
                <w:sz w:val="24"/>
                <w:szCs w:val="24"/>
                <w:color w:val="auto"/>
                <w:vertAlign w:val="superscript"/>
              </w:rPr>
              <w:t>(1)</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1,909</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5,716</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2,304</w:t>
            </w:r>
          </w:p>
        </w:tc>
        <w:tc>
          <w:tcPr>
            <w:tcW w:w="100" w:type="dxa"/>
            <w:vAlign w:val="bottom"/>
            <w:tcBorders>
              <w:right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560" w:type="dxa"/>
            <w:vAlign w:val="bottom"/>
            <w:gridSpan w:val="3"/>
          </w:tcPr>
          <w:p>
            <w:pPr>
              <w:spacing w:after="0"/>
              <w:rPr>
                <w:sz w:val="20"/>
                <w:szCs w:val="20"/>
                <w:color w:val="auto"/>
              </w:rPr>
            </w:pPr>
            <w:r>
              <w:rPr>
                <w:rFonts w:ascii="Arial" w:cs="Arial" w:eastAsia="Arial" w:hAnsi="Arial"/>
                <w:sz w:val="18"/>
                <w:szCs w:val="18"/>
                <w:color w:val="auto"/>
              </w:rPr>
              <w:t>Income tax benefit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jc w:val="right"/>
              <w:ind w:right="16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(559 )</w:t>
            </w:r>
          </w:p>
        </w:tc>
        <w:tc>
          <w:tcPr>
            <w:tcW w:w="22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5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Amortization of lease intangible</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333</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tcBorders>
              <w:right w:val="single" w:sz="8" w:color="CFF0FC"/>
            </w:tcBorders>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560" w:type="dxa"/>
            <w:vAlign w:val="bottom"/>
            <w:gridSpan w:val="3"/>
          </w:tcPr>
          <w:p>
            <w:pPr>
              <w:spacing w:after="0" w:line="216" w:lineRule="exact"/>
              <w:rPr>
                <w:sz w:val="20"/>
                <w:szCs w:val="20"/>
                <w:color w:val="auto"/>
              </w:rPr>
            </w:pPr>
            <w:r>
              <w:rPr>
                <w:rFonts w:ascii="Arial" w:cs="Arial" w:eastAsia="Arial" w:hAnsi="Arial"/>
                <w:sz w:val="18"/>
                <w:szCs w:val="18"/>
                <w:color w:val="auto"/>
              </w:rPr>
              <w:t>Stock-based compensation</w:t>
            </w:r>
            <w:r>
              <w:rPr>
                <w:rFonts w:ascii="Arial" w:cs="Arial" w:eastAsia="Arial" w:hAnsi="Arial"/>
                <w:sz w:val="24"/>
                <w:szCs w:val="24"/>
                <w:color w:val="auto"/>
                <w:vertAlign w:val="superscript"/>
              </w:rPr>
              <w:t>(2)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5,113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2,266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14,048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4,747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5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Charitable contribution of common stock</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987</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1,157</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2,272</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1,157</w:t>
            </w:r>
          </w:p>
        </w:tc>
        <w:tc>
          <w:tcPr>
            <w:tcW w:w="100" w:type="dxa"/>
            <w:vAlign w:val="bottom"/>
            <w:tcBorders>
              <w:right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560" w:type="dxa"/>
            <w:vAlign w:val="bottom"/>
            <w:gridSpan w:val="3"/>
          </w:tcPr>
          <w:p>
            <w:pPr>
              <w:spacing w:after="0"/>
              <w:rPr>
                <w:sz w:val="20"/>
                <w:szCs w:val="20"/>
                <w:color w:val="auto"/>
              </w:rPr>
            </w:pPr>
            <w:r>
              <w:rPr>
                <w:rFonts w:ascii="Arial" w:cs="Arial" w:eastAsia="Arial" w:hAnsi="Arial"/>
                <w:sz w:val="18"/>
                <w:szCs w:val="18"/>
                <w:color w:val="auto"/>
              </w:rPr>
              <w:t>Income from unconsolidated joint venture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jc w:val="right"/>
              <w:ind w:right="81"/>
              <w:spacing w:after="0"/>
              <w:rPr>
                <w:sz w:val="20"/>
                <w:szCs w:val="20"/>
                <w:color w:val="auto"/>
              </w:rPr>
            </w:pPr>
            <w:r>
              <w:rPr>
                <w:rFonts w:ascii="Arial" w:cs="Arial" w:eastAsia="Arial" w:hAnsi="Arial"/>
                <w:sz w:val="18"/>
                <w:szCs w:val="18"/>
                <w:color w:val="auto"/>
              </w:rPr>
              <w:t>(297 )</w:t>
            </w:r>
          </w:p>
        </w:tc>
        <w:tc>
          <w:tcPr>
            <w:tcW w:w="200" w:type="dxa"/>
            <w:vAlign w:val="bottom"/>
          </w:tcPr>
          <w:p>
            <w:pPr>
              <w:spacing w:after="0"/>
              <w:rPr>
                <w:sz w:val="18"/>
                <w:szCs w:val="18"/>
                <w:color w:val="auto"/>
              </w:rPr>
            </w:pPr>
          </w:p>
        </w:tc>
        <w:tc>
          <w:tcPr>
            <w:tcW w:w="122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(600 )</w:t>
            </w:r>
          </w:p>
        </w:tc>
        <w:tc>
          <w:tcPr>
            <w:tcW w:w="22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560" w:type="dxa"/>
            <w:vAlign w:val="bottom"/>
            <w:gridSpan w:val="3"/>
            <w:shd w:val="clear" w:color="auto" w:fill="CFF0FC"/>
          </w:tcPr>
          <w:p>
            <w:pPr>
              <w:spacing w:after="0" w:line="216" w:lineRule="exact"/>
              <w:rPr>
                <w:sz w:val="20"/>
                <w:szCs w:val="20"/>
                <w:color w:val="auto"/>
              </w:rPr>
            </w:pPr>
            <w:r>
              <w:rPr>
                <w:rFonts w:ascii="Arial" w:cs="Arial" w:eastAsia="Arial" w:hAnsi="Arial"/>
                <w:sz w:val="18"/>
                <w:szCs w:val="18"/>
                <w:color w:val="auto"/>
              </w:rPr>
              <w:t>Acquisition and other</w:t>
            </w:r>
            <w:r>
              <w:rPr>
                <w:rFonts w:ascii="Arial" w:cs="Arial" w:eastAsia="Arial" w:hAnsi="Arial"/>
                <w:sz w:val="24"/>
                <w:szCs w:val="24"/>
                <w:color w:val="auto"/>
                <w:vertAlign w:val="superscript"/>
              </w:rPr>
              <w:t>(3)</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(1,242 )</w:t>
            </w:r>
          </w:p>
        </w:tc>
        <w:tc>
          <w:tcPr>
            <w:tcW w:w="220" w:type="dxa"/>
            <w:vAlign w:val="bottom"/>
            <w:shd w:val="clear" w:color="auto" w:fill="CFF0FC"/>
          </w:tcPr>
          <w:p>
            <w:pPr>
              <w:spacing w:after="0"/>
              <w:rPr>
                <w:sz w:val="18"/>
                <w:szCs w:val="18"/>
                <w:color w:val="auto"/>
              </w:rPr>
            </w:pPr>
          </w:p>
        </w:tc>
        <w:tc>
          <w:tcPr>
            <w:tcW w:w="1060" w:type="dxa"/>
            <w:vAlign w:val="bottom"/>
            <w:tcBorders>
              <w:right w:val="single" w:sz="8" w:color="CFF0FC"/>
            </w:tcBorders>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560" w:type="dxa"/>
            <w:vAlign w:val="bottom"/>
            <w:gridSpan w:val="3"/>
          </w:tcPr>
          <w:p>
            <w:pPr>
              <w:spacing w:after="0"/>
              <w:rPr>
                <w:sz w:val="20"/>
                <w:szCs w:val="20"/>
                <w:color w:val="auto"/>
              </w:rPr>
            </w:pPr>
            <w:r>
              <w:rPr>
                <w:rFonts w:ascii="Arial" w:cs="Arial" w:eastAsia="Arial" w:hAnsi="Arial"/>
                <w:sz w:val="18"/>
                <w:szCs w:val="18"/>
                <w:color w:val="auto"/>
              </w:rPr>
              <w:t>Impairment of assets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325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56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b w:val="1"/>
                <w:bCs w:val="1"/>
                <w:color w:val="auto"/>
              </w:rPr>
              <w:t>Adjusted EBITDA</w:t>
            </w:r>
          </w:p>
        </w:tc>
        <w:tc>
          <w:tcPr>
            <w:tcW w:w="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(6,490</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(10,024</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(27,516</w:t>
            </w:r>
          </w:p>
        </w:tc>
        <w:tc>
          <w:tcPr>
            <w:tcW w:w="2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(27,905</w:t>
            </w:r>
          </w:p>
        </w:tc>
        <w:tc>
          <w:tcPr>
            <w:tcW w:w="100" w:type="dxa"/>
            <w:vAlign w:val="bottom"/>
            <w:tcBorders>
              <w:bottom w:val="single" w:sz="8" w:color="CFF0FC"/>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60" w:type="dxa"/>
            <w:vAlign w:val="bottom"/>
            <w:gridSpan w:val="6"/>
          </w:tcPr>
          <w:p>
            <w:pPr>
              <w:jc w:val="right"/>
              <w:ind w:right="541"/>
              <w:spacing w:after="0"/>
              <w:rPr>
                <w:sz w:val="20"/>
                <w:szCs w:val="20"/>
                <w:color w:val="auto"/>
              </w:rPr>
            </w:pPr>
            <w:r>
              <w:rPr>
                <w:rFonts w:ascii="Arial" w:cs="Arial" w:eastAsia="Arial" w:hAnsi="Arial"/>
                <w:sz w:val="18"/>
                <w:szCs w:val="18"/>
                <w:b w:val="1"/>
                <w:bCs w:val="1"/>
                <w:color w:val="auto"/>
              </w:rPr>
              <w:t>For the Three Months</w:t>
            </w:r>
          </w:p>
        </w:tc>
        <w:tc>
          <w:tcPr>
            <w:tcW w:w="180" w:type="dxa"/>
            <w:vAlign w:val="bottom"/>
          </w:tcPr>
          <w:p>
            <w:pPr>
              <w:spacing w:after="0"/>
              <w:rPr>
                <w:sz w:val="24"/>
                <w:szCs w:val="24"/>
                <w:color w:val="auto"/>
              </w:rPr>
            </w:pPr>
          </w:p>
        </w:tc>
        <w:tc>
          <w:tcPr>
            <w:tcW w:w="2560" w:type="dxa"/>
            <w:vAlign w:val="bottom"/>
            <w:gridSpan w:val="7"/>
          </w:tcPr>
          <w:p>
            <w:pPr>
              <w:jc w:val="right"/>
              <w:ind w:right="560"/>
              <w:spacing w:after="0"/>
              <w:rPr>
                <w:sz w:val="20"/>
                <w:szCs w:val="20"/>
                <w:color w:val="auto"/>
              </w:rPr>
            </w:pPr>
            <w:r>
              <w:rPr>
                <w:rFonts w:ascii="Arial" w:cs="Arial" w:eastAsia="Arial" w:hAnsi="Arial"/>
                <w:sz w:val="18"/>
                <w:szCs w:val="18"/>
                <w:b w:val="1"/>
                <w:bCs w:val="1"/>
                <w:color w:val="auto"/>
              </w:rPr>
              <w:t>For the Nine Months</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60" w:type="dxa"/>
            <w:vAlign w:val="bottom"/>
            <w:gridSpan w:val="6"/>
          </w:tcPr>
          <w:p>
            <w:pPr>
              <w:jc w:val="right"/>
              <w:ind w:right="541"/>
              <w:spacing w:after="0"/>
              <w:rPr>
                <w:sz w:val="20"/>
                <w:szCs w:val="20"/>
                <w:color w:val="auto"/>
              </w:rPr>
            </w:pPr>
            <w:r>
              <w:rPr>
                <w:rFonts w:ascii="Arial" w:cs="Arial" w:eastAsia="Arial" w:hAnsi="Arial"/>
                <w:sz w:val="18"/>
                <w:szCs w:val="18"/>
                <w:b w:val="1"/>
                <w:bCs w:val="1"/>
                <w:color w:val="auto"/>
              </w:rPr>
              <w:t>Ended September 30,</w:t>
            </w:r>
          </w:p>
        </w:tc>
        <w:tc>
          <w:tcPr>
            <w:tcW w:w="180" w:type="dxa"/>
            <w:vAlign w:val="bottom"/>
          </w:tcPr>
          <w:p>
            <w:pPr>
              <w:spacing w:after="0"/>
              <w:rPr>
                <w:sz w:val="20"/>
                <w:szCs w:val="20"/>
                <w:color w:val="auto"/>
              </w:rPr>
            </w:pPr>
          </w:p>
        </w:tc>
        <w:tc>
          <w:tcPr>
            <w:tcW w:w="2560" w:type="dxa"/>
            <w:vAlign w:val="bottom"/>
            <w:gridSpan w:val="7"/>
          </w:tcPr>
          <w:p>
            <w:pPr>
              <w:jc w:val="right"/>
              <w:ind w:right="500"/>
              <w:spacing w:after="0"/>
              <w:rPr>
                <w:sz w:val="20"/>
                <w:szCs w:val="20"/>
                <w:color w:val="auto"/>
              </w:rPr>
            </w:pPr>
            <w:r>
              <w:rPr>
                <w:rFonts w:ascii="Arial" w:cs="Arial" w:eastAsia="Arial" w:hAnsi="Arial"/>
                <w:sz w:val="18"/>
                <w:szCs w:val="18"/>
                <w:b w:val="1"/>
                <w:bCs w:val="1"/>
                <w:color w:val="auto"/>
              </w:rPr>
              <w:t>Ended September 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Non-GAAP Net Loss:</w:t>
            </w:r>
          </w:p>
        </w:tc>
        <w:tc>
          <w:tcPr>
            <w:tcW w:w="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2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5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56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Net loss</w:t>
            </w:r>
          </w:p>
        </w:tc>
        <w:tc>
          <w:tcPr>
            <w:tcW w:w="2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3"/>
            <w:shd w:val="clear" w:color="auto" w:fill="CFF0FC"/>
          </w:tcPr>
          <w:p>
            <w:pPr>
              <w:jc w:val="right"/>
              <w:ind w:right="101"/>
              <w:spacing w:after="0"/>
              <w:rPr>
                <w:sz w:val="20"/>
                <w:szCs w:val="20"/>
                <w:color w:val="auto"/>
              </w:rPr>
            </w:pPr>
            <w:r>
              <w:rPr>
                <w:rFonts w:ascii="Arial" w:cs="Arial" w:eastAsia="Arial" w:hAnsi="Arial"/>
                <w:sz w:val="18"/>
                <w:szCs w:val="18"/>
                <w:color w:val="auto"/>
              </w:rPr>
              <w:t>(15,041 )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(14,711 )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(51,585 )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(37,476 )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4"/>
          </w:tcPr>
          <w:p>
            <w:pPr>
              <w:spacing w:after="0"/>
              <w:rPr>
                <w:sz w:val="20"/>
                <w:szCs w:val="20"/>
                <w:color w:val="auto"/>
              </w:rPr>
            </w:pPr>
            <w:r>
              <w:rPr>
                <w:rFonts w:ascii="Arial" w:cs="Arial" w:eastAsia="Arial" w:hAnsi="Arial"/>
                <w:sz w:val="18"/>
                <w:szCs w:val="18"/>
                <w:color w:val="auto"/>
              </w:rPr>
              <w:t>Add (deduct):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5620" w:type="dxa"/>
            <w:vAlign w:val="bottom"/>
            <w:gridSpan w:val="4"/>
            <w:shd w:val="clear" w:color="auto" w:fill="CFF0FC"/>
          </w:tcPr>
          <w:p>
            <w:pPr>
              <w:spacing w:after="0" w:line="216" w:lineRule="exact"/>
              <w:rPr>
                <w:sz w:val="20"/>
                <w:szCs w:val="20"/>
                <w:color w:val="auto"/>
              </w:rPr>
            </w:pPr>
            <w:r>
              <w:rPr>
                <w:rFonts w:ascii="Arial" w:cs="Arial" w:eastAsia="Arial" w:hAnsi="Arial"/>
                <w:sz w:val="18"/>
                <w:szCs w:val="18"/>
                <w:color w:val="auto"/>
              </w:rPr>
              <w:t>Depreciation and amortization expense</w:t>
            </w:r>
            <w:r>
              <w:rPr>
                <w:rFonts w:ascii="Arial" w:cs="Arial" w:eastAsia="Arial" w:hAnsi="Arial"/>
                <w:sz w:val="24"/>
                <w:szCs w:val="24"/>
                <w:color w:val="auto"/>
                <w:vertAlign w:val="superscript"/>
              </w:rPr>
              <w:t>(1)</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1,909</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5,716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2,304</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4"/>
          </w:tcPr>
          <w:p>
            <w:pPr>
              <w:spacing w:after="0" w:line="216" w:lineRule="exact"/>
              <w:rPr>
                <w:sz w:val="20"/>
                <w:szCs w:val="20"/>
                <w:color w:val="auto"/>
              </w:rPr>
            </w:pPr>
            <w:r>
              <w:rPr>
                <w:rFonts w:ascii="Arial" w:cs="Arial" w:eastAsia="Arial" w:hAnsi="Arial"/>
                <w:sz w:val="18"/>
                <w:szCs w:val="18"/>
                <w:color w:val="auto"/>
              </w:rPr>
              <w:t>Stock-based compensation</w:t>
            </w:r>
            <w:r>
              <w:rPr>
                <w:rFonts w:ascii="Arial" w:cs="Arial" w:eastAsia="Arial" w:hAnsi="Arial"/>
                <w:sz w:val="24"/>
                <w:szCs w:val="24"/>
                <w:color w:val="auto"/>
                <w:vertAlign w:val="superscript"/>
              </w:rPr>
              <w:t>(2)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5,113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2,266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14,048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4,747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56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Amortization of lease intangible</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4"/>
          </w:tcPr>
          <w:p>
            <w:pPr>
              <w:spacing w:after="0"/>
              <w:rPr>
                <w:sz w:val="20"/>
                <w:szCs w:val="20"/>
                <w:color w:val="auto"/>
              </w:rPr>
            </w:pPr>
            <w:r>
              <w:rPr>
                <w:rFonts w:ascii="Arial" w:cs="Arial" w:eastAsia="Arial" w:hAnsi="Arial"/>
                <w:sz w:val="18"/>
                <w:szCs w:val="18"/>
                <w:color w:val="auto"/>
              </w:rPr>
              <w:t>Amortization of deferred costs on convertible notes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1,250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56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Unrealized loss on marketable securities</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1,659</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4"/>
          </w:tcPr>
          <w:p>
            <w:pPr>
              <w:spacing w:after="0" w:line="216" w:lineRule="exact"/>
              <w:rPr>
                <w:sz w:val="20"/>
                <w:szCs w:val="20"/>
                <w:color w:val="auto"/>
              </w:rPr>
            </w:pPr>
            <w:r>
              <w:rPr>
                <w:rFonts w:ascii="Arial" w:cs="Arial" w:eastAsia="Arial" w:hAnsi="Arial"/>
                <w:sz w:val="18"/>
                <w:szCs w:val="18"/>
                <w:color w:val="auto"/>
              </w:rPr>
              <w:t>Acquisition and other</w:t>
            </w:r>
            <w:r>
              <w:rPr>
                <w:rFonts w:ascii="Arial" w:cs="Arial" w:eastAsia="Arial" w:hAnsi="Arial"/>
                <w:sz w:val="24"/>
                <w:szCs w:val="24"/>
                <w:color w:val="auto"/>
                <w:vertAlign w:val="superscript"/>
              </w:rPr>
              <w:t>(3)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(1,242 )</w:t>
            </w:r>
          </w:p>
        </w:tc>
        <w:tc>
          <w:tcPr>
            <w:tcW w:w="220" w:type="dxa"/>
            <w:vAlign w:val="bottom"/>
          </w:tcPr>
          <w:p>
            <w:pPr>
              <w:spacing w:after="0"/>
              <w:rPr>
                <w:sz w:val="18"/>
                <w:szCs w:val="18"/>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56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Loss on sale of property and equipment</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4"/>
          </w:tcPr>
          <w:p>
            <w:pPr>
              <w:spacing w:after="0"/>
              <w:rPr>
                <w:sz w:val="20"/>
                <w:szCs w:val="20"/>
                <w:color w:val="auto"/>
              </w:rPr>
            </w:pPr>
            <w:r>
              <w:rPr>
                <w:rFonts w:ascii="Arial" w:cs="Arial" w:eastAsia="Arial" w:hAnsi="Arial"/>
                <w:sz w:val="18"/>
                <w:szCs w:val="18"/>
                <w:color w:val="auto"/>
              </w:rPr>
              <w:t>Charitable contribution of common stock</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2,272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FF0FC"/>
            </w:tcBorders>
            <w:shd w:val="clear" w:color="auto" w:fill="CFF0FC"/>
          </w:tcPr>
          <w:p>
            <w:pPr>
              <w:spacing w:after="0"/>
              <w:rPr>
                <w:sz w:val="18"/>
                <w:szCs w:val="18"/>
                <w:color w:val="auto"/>
              </w:rPr>
            </w:pPr>
          </w:p>
        </w:tc>
        <w:tc>
          <w:tcPr>
            <w:tcW w:w="5620" w:type="dxa"/>
            <w:vAlign w:val="bottom"/>
            <w:tcBorders>
              <w:bottom w:val="single" w:sz="8" w:color="CFF0FC"/>
            </w:tcBorders>
            <w:gridSpan w:val="4"/>
            <w:shd w:val="clear" w:color="auto" w:fill="CFF0FC"/>
          </w:tcPr>
          <w:p>
            <w:pPr>
              <w:spacing w:after="0"/>
              <w:rPr>
                <w:sz w:val="20"/>
                <w:szCs w:val="20"/>
                <w:color w:val="auto"/>
              </w:rPr>
            </w:pPr>
            <w:r>
              <w:rPr>
                <w:rFonts w:ascii="Arial" w:cs="Arial" w:eastAsia="Arial" w:hAnsi="Arial"/>
                <w:sz w:val="18"/>
                <w:szCs w:val="18"/>
                <w:color w:val="auto"/>
              </w:rPr>
              <w:t>Impairment of assets</w:t>
            </w:r>
          </w:p>
        </w:tc>
        <w:tc>
          <w:tcPr>
            <w:tcW w:w="4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20" w:type="dxa"/>
            <w:vAlign w:val="bottom"/>
            <w:gridSpan w:val="4"/>
          </w:tcPr>
          <w:p>
            <w:pPr>
              <w:spacing w:after="0"/>
              <w:rPr>
                <w:sz w:val="20"/>
                <w:szCs w:val="20"/>
                <w:color w:val="auto"/>
              </w:rPr>
            </w:pPr>
            <w:r>
              <w:rPr>
                <w:rFonts w:ascii="Arial" w:cs="Arial" w:eastAsia="Arial" w:hAnsi="Arial"/>
                <w:sz w:val="18"/>
                <w:szCs w:val="18"/>
                <w:b w:val="1"/>
                <w:bCs w:val="1"/>
                <w:color w:val="auto"/>
              </w:rPr>
              <w:t>Non-GAAP Net Loss</w:t>
            </w:r>
          </w:p>
        </w:tc>
        <w:tc>
          <w:tcPr>
            <w:tcW w:w="200" w:type="dxa"/>
            <w:vAlign w:val="bottom"/>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3"/>
          </w:tcPr>
          <w:p>
            <w:pPr>
              <w:jc w:val="right"/>
              <w:ind w:right="101"/>
              <w:spacing w:after="0"/>
              <w:rPr>
                <w:sz w:val="20"/>
                <w:szCs w:val="20"/>
                <w:color w:val="auto"/>
              </w:rPr>
            </w:pPr>
            <w:r>
              <w:rPr>
                <w:rFonts w:ascii="Arial" w:cs="Arial" w:eastAsia="Arial" w:hAnsi="Arial"/>
                <w:sz w:val="18"/>
                <w:szCs w:val="18"/>
                <w:color w:val="auto"/>
              </w:rPr>
              <w:t>(5,394 )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(10,223 )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(26,368 )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(29,021 )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FF0FC"/>
          </w:tcPr>
          <w:p>
            <w:pPr>
              <w:spacing w:after="0"/>
              <w:rPr>
                <w:sz w:val="14"/>
                <w:szCs w:val="14"/>
                <w:color w:val="auto"/>
              </w:rPr>
            </w:pPr>
          </w:p>
        </w:tc>
        <w:tc>
          <w:tcPr>
            <w:tcW w:w="5620" w:type="dxa"/>
            <w:vAlign w:val="bottom"/>
            <w:gridSpan w:val="4"/>
            <w:shd w:val="clear" w:color="auto" w:fill="CFF0FC"/>
          </w:tcPr>
          <w:p>
            <w:pPr>
              <w:spacing w:after="0" w:line="170" w:lineRule="exact"/>
              <w:rPr>
                <w:sz w:val="20"/>
                <w:szCs w:val="20"/>
                <w:color w:val="auto"/>
              </w:rPr>
            </w:pPr>
            <w:r>
              <w:rPr>
                <w:rFonts w:ascii="Arial" w:cs="Arial" w:eastAsia="Arial" w:hAnsi="Arial"/>
                <w:sz w:val="18"/>
                <w:szCs w:val="18"/>
                <w:color w:val="auto"/>
              </w:rPr>
              <w:t>Weighted-average number of shares outstanding used to compute</w:t>
            </w: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47,303,090</w:t>
            </w: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43,962,863</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47,057,521</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60" w:type="dxa"/>
            <w:vAlign w:val="bottom"/>
            <w:tcBorders>
              <w:right w:val="single" w:sz="8" w:color="CFF0FC"/>
            </w:tcBorders>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20,092,600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Borders>
              <w:bottom w:val="single" w:sz="8" w:color="CFF0FC"/>
            </w:tcBorders>
            <w:shd w:val="clear" w:color="auto" w:fill="CFF0FC"/>
          </w:tcPr>
          <w:p>
            <w:pPr>
              <w:spacing w:after="0"/>
              <w:rPr>
                <w:sz w:val="19"/>
                <w:szCs w:val="19"/>
                <w:color w:val="auto"/>
              </w:rPr>
            </w:pPr>
          </w:p>
        </w:tc>
        <w:tc>
          <w:tcPr>
            <w:tcW w:w="5620" w:type="dxa"/>
            <w:vAlign w:val="bottom"/>
            <w:tcBorders>
              <w:bottom w:val="single" w:sz="8" w:color="CFF0FC"/>
            </w:tcBorders>
            <w:gridSpan w:val="4"/>
            <w:shd w:val="clear" w:color="auto" w:fill="CFF0FC"/>
          </w:tcPr>
          <w:p>
            <w:pPr>
              <w:spacing w:after="0"/>
              <w:rPr>
                <w:sz w:val="20"/>
                <w:szCs w:val="20"/>
                <w:color w:val="auto"/>
              </w:rPr>
            </w:pPr>
            <w:r>
              <w:rPr>
                <w:rFonts w:ascii="Arial" w:cs="Arial" w:eastAsia="Arial" w:hAnsi="Arial"/>
                <w:sz w:val="18"/>
                <w:szCs w:val="18"/>
                <w:color w:val="auto"/>
              </w:rPr>
              <w:t>Non-GAAP Net Loss per share, basic and diluted</w:t>
            </w:r>
          </w:p>
        </w:tc>
        <w:tc>
          <w:tcPr>
            <w:tcW w:w="4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vMerge w:val="continue"/>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gridSpan w:val="2"/>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right w:val="single" w:sz="8" w:color="CFF0FC"/>
            </w:tcBorders>
            <w:gridSpan w:val="2"/>
            <w:vMerge w:val="continue"/>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5620" w:type="dxa"/>
            <w:vAlign w:val="bottom"/>
            <w:gridSpan w:val="4"/>
          </w:tcPr>
          <w:p>
            <w:pPr>
              <w:spacing w:after="0"/>
              <w:rPr>
                <w:sz w:val="20"/>
                <w:szCs w:val="20"/>
                <w:color w:val="auto"/>
              </w:rPr>
            </w:pPr>
            <w:r>
              <w:rPr>
                <w:rFonts w:ascii="Arial" w:cs="Arial" w:eastAsia="Arial" w:hAnsi="Arial"/>
                <w:sz w:val="18"/>
                <w:szCs w:val="18"/>
                <w:color w:val="auto"/>
              </w:rPr>
              <w:t>Non-GAAP EPS, basic and diluted</w:t>
            </w:r>
          </w:p>
        </w:tc>
        <w:tc>
          <w:tcPr>
            <w:tcW w:w="200" w:type="dxa"/>
            <w:vAlign w:val="bottom"/>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3"/>
          </w:tcPr>
          <w:p>
            <w:pPr>
              <w:jc w:val="right"/>
              <w:ind w:right="101"/>
              <w:spacing w:after="0"/>
              <w:rPr>
                <w:sz w:val="20"/>
                <w:szCs w:val="20"/>
                <w:color w:val="auto"/>
              </w:rPr>
            </w:pPr>
            <w:r>
              <w:rPr>
                <w:rFonts w:ascii="Arial" w:cs="Arial" w:eastAsia="Arial" w:hAnsi="Arial"/>
                <w:sz w:val="18"/>
                <w:szCs w:val="18"/>
                <w:color w:val="auto"/>
              </w:rPr>
              <w:t>(0.11 )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(0.23 )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(0.56 )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(1.44 )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-3073400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4354830</wp:posOffset>
            </wp:positionH>
            <wp:positionV relativeFrom="paragraph">
              <wp:posOffset>-3056255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-3073400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-3056255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-3073400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-3056255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-3073400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-3056255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-864235</wp:posOffset>
            </wp:positionV>
            <wp:extent cx="76835" cy="3079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30797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-864235</wp:posOffset>
            </wp:positionV>
            <wp:extent cx="68580" cy="3079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30797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-864235</wp:posOffset>
            </wp:positionV>
            <wp:extent cx="68580" cy="3079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3079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-864235</wp:posOffset>
            </wp:positionV>
            <wp:extent cx="68580" cy="3079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307975"/>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-307340</wp:posOffset>
            </wp:positionV>
            <wp:extent cx="76835" cy="3079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30797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-307340</wp:posOffset>
            </wp:positionV>
            <wp:extent cx="68580" cy="3079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30797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-307340</wp:posOffset>
            </wp:positionV>
            <wp:extent cx="68580" cy="3079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3079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-307340</wp:posOffset>
            </wp:positionV>
            <wp:extent cx="68580" cy="3079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307975"/>
                    </a:xfrm>
                    <a:prstGeom prst="rect">
                      <a:avLst/>
                    </a:prstGeom>
                    <a:noFill/>
                  </pic:spPr>
                </pic:pic>
              </a:graphicData>
            </a:graphic>
          </wp:anchor>
        </w:drawing>
      </w:r>
    </w:p>
    <w:p>
      <w:pPr>
        <w:spacing w:after="0" w:line="161" w:lineRule="exact"/>
        <w:rPr>
          <w:sz w:val="20"/>
          <w:szCs w:val="20"/>
          <w:color w:val="auto"/>
        </w:rPr>
      </w:pPr>
    </w:p>
    <w:p>
      <w:pPr>
        <w:ind w:left="380" w:right="320" w:hanging="372"/>
        <w:spacing w:after="0" w:line="248" w:lineRule="auto"/>
        <w:tabs>
          <w:tab w:leader="none" w:pos="380" w:val="left"/>
        </w:tabs>
        <w:numPr>
          <w:ilvl w:val="0"/>
          <w:numId w:val="8"/>
        </w:numPr>
        <w:rPr>
          <w:rFonts w:ascii="Arial" w:cs="Arial" w:eastAsia="Arial" w:hAnsi="Arial"/>
          <w:sz w:val="20"/>
          <w:szCs w:val="20"/>
          <w:color w:val="auto"/>
        </w:rPr>
      </w:pPr>
      <w:r>
        <w:rPr>
          <w:rFonts w:ascii="Arial" w:cs="Arial" w:eastAsia="Arial" w:hAnsi="Arial"/>
          <w:sz w:val="20"/>
          <w:szCs w:val="20"/>
          <w:color w:val="auto"/>
        </w:rPr>
        <w:t>Represents depreciation expense of the Company’s long-lived tangible assets and amortization expense of its finite-lived intangible assets, as included in the Company’s GAAP results of operations.</w:t>
      </w:r>
    </w:p>
    <w:p>
      <w:pPr>
        <w:spacing w:after="0" w:line="1" w:lineRule="exact"/>
        <w:rPr>
          <w:rFonts w:ascii="Arial" w:cs="Arial" w:eastAsia="Arial" w:hAnsi="Arial"/>
          <w:sz w:val="20"/>
          <w:szCs w:val="20"/>
          <w:color w:val="auto"/>
        </w:rPr>
      </w:pPr>
    </w:p>
    <w:p>
      <w:pPr>
        <w:ind w:left="380" w:right="520" w:hanging="372"/>
        <w:spacing w:after="0" w:line="239" w:lineRule="auto"/>
        <w:tabs>
          <w:tab w:leader="none" w:pos="380" w:val="left"/>
        </w:tabs>
        <w:numPr>
          <w:ilvl w:val="0"/>
          <w:numId w:val="8"/>
        </w:numPr>
        <w:rPr>
          <w:rFonts w:ascii="Arial" w:cs="Arial" w:eastAsia="Arial" w:hAnsi="Arial"/>
          <w:sz w:val="20"/>
          <w:szCs w:val="20"/>
          <w:color w:val="auto"/>
        </w:rPr>
      </w:pPr>
      <w:r>
        <w:rPr>
          <w:rFonts w:ascii="Arial" w:cs="Arial" w:eastAsia="Arial" w:hAnsi="Arial"/>
          <w:sz w:val="20"/>
          <w:szCs w:val="20"/>
          <w:color w:val="auto"/>
        </w:rPr>
        <w:t>Represents the non-cash expense related to stock-based awards granted to employees, as included in the Company’s GAAP results of operations.</w:t>
      </w:r>
    </w:p>
    <w:p>
      <w:pPr>
        <w:ind w:left="380" w:hanging="372"/>
        <w:spacing w:after="0"/>
        <w:tabs>
          <w:tab w:leader="none" w:pos="380" w:val="left"/>
        </w:tabs>
        <w:numPr>
          <w:ilvl w:val="0"/>
          <w:numId w:val="8"/>
        </w:numPr>
        <w:rPr>
          <w:rFonts w:ascii="Arial" w:cs="Arial" w:eastAsia="Arial" w:hAnsi="Arial"/>
          <w:sz w:val="20"/>
          <w:szCs w:val="20"/>
          <w:color w:val="auto"/>
        </w:rPr>
      </w:pPr>
      <w:r>
        <w:rPr>
          <w:rFonts w:ascii="Arial" w:cs="Arial" w:eastAsia="Arial" w:hAnsi="Arial"/>
          <w:sz w:val="20"/>
          <w:szCs w:val="20"/>
          <w:color w:val="auto"/>
        </w:rPr>
        <w:t>Includes adjustments related to purchase accounting, the revaluation of contingent consideration and transaction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8" w:right="339" w:bottom="1440" w:gutter="0" w:footer="0" w:header="0"/>
        </w:sectPr>
      </w:pPr>
    </w:p>
    <w:bookmarkStart w:id="13" w:name="page14"/>
    <w:bookmarkEnd w:id="13"/>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Segment Results</w:t>
      </w:r>
    </w:p>
    <w:p>
      <w:pPr>
        <w:jc w:val="center"/>
        <w:spacing w:after="0"/>
        <w:rPr>
          <w:sz w:val="20"/>
          <w:szCs w:val="20"/>
          <w:color w:val="auto"/>
        </w:rPr>
      </w:pPr>
      <w:r>
        <w:rPr>
          <w:rFonts w:ascii="Arial" w:cs="Arial" w:eastAsia="Arial" w:hAnsi="Arial"/>
          <w:sz w:val="20"/>
          <w:szCs w:val="20"/>
          <w:color w:val="auto"/>
        </w:rPr>
        <w:t>(In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6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99"/>
              </w:rPr>
              <w:t>For the Three Months Ended</w:t>
            </w:r>
          </w:p>
        </w:tc>
        <w:tc>
          <w:tcPr>
            <w:tcW w:w="240" w:type="dxa"/>
            <w:vAlign w:val="bottom"/>
          </w:tcPr>
          <w:p>
            <w:pPr>
              <w:spacing w:after="0"/>
              <w:rPr>
                <w:sz w:val="17"/>
                <w:szCs w:val="17"/>
                <w:color w:val="auto"/>
              </w:rPr>
            </w:pPr>
          </w:p>
        </w:tc>
        <w:tc>
          <w:tcPr>
            <w:tcW w:w="302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9"/>
              </w:rPr>
              <w:t>For the Nine Months Ended</w:t>
            </w:r>
          </w:p>
        </w:tc>
      </w:tr>
      <w:tr>
        <w:trPr>
          <w:trHeight w:val="235"/>
        </w:trPr>
        <w:tc>
          <w:tcPr>
            <w:tcW w:w="4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99"/>
              </w:rPr>
              <w:t>September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2021</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8"/>
                <w:szCs w:val="18"/>
                <w:color w:val="auto"/>
              </w:rPr>
            </w:pPr>
          </w:p>
        </w:tc>
      </w:tr>
      <w:tr>
        <w:trPr>
          <w:trHeight w:val="209"/>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Segment Revenue:</w:t>
            </w:r>
          </w:p>
        </w:tc>
        <w:tc>
          <w:tcPr>
            <w:tcW w:w="220" w:type="dxa"/>
            <w:vAlign w:val="bottom"/>
            <w:shd w:val="clear" w:color="auto" w:fill="CFF0FC"/>
          </w:tcPr>
          <w:p>
            <w:pPr>
              <w:spacing w:after="0"/>
              <w:rPr>
                <w:sz w:val="18"/>
                <w:szCs w:val="18"/>
                <w:color w:val="auto"/>
              </w:rPr>
            </w:pPr>
          </w:p>
        </w:tc>
        <w:tc>
          <w:tcPr>
            <w:tcW w:w="1980" w:type="dxa"/>
            <w:vAlign w:val="bottom"/>
            <w:gridSpan w:val="3"/>
            <w:shd w:val="clear" w:color="auto" w:fill="CFF0FC"/>
          </w:tcPr>
          <w:p>
            <w:pPr>
              <w:jc w:val="center"/>
              <w:ind w:left="630"/>
              <w:spacing w:after="0"/>
              <w:rPr>
                <w:sz w:val="20"/>
                <w:szCs w:val="20"/>
                <w:color w:val="auto"/>
              </w:rPr>
            </w:pPr>
            <w:r>
              <w:rPr>
                <w:rFonts w:ascii="Arial" w:cs="Arial" w:eastAsia="Arial" w:hAnsi="Arial"/>
                <w:sz w:val="18"/>
                <w:szCs w:val="18"/>
                <w:b w:val="1"/>
                <w:bCs w:val="1"/>
                <w:color w:val="auto"/>
                <w:w w:val="99"/>
              </w:rPr>
              <w:t>(unaudited)</w:t>
            </w: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940" w:type="dxa"/>
            <w:vAlign w:val="bottom"/>
            <w:gridSpan w:val="3"/>
            <w:shd w:val="clear" w:color="auto" w:fill="CFF0FC"/>
          </w:tcPr>
          <w:p>
            <w:pPr>
              <w:jc w:val="center"/>
              <w:ind w:left="630"/>
              <w:spacing w:after="0"/>
              <w:rPr>
                <w:sz w:val="20"/>
                <w:szCs w:val="20"/>
                <w:color w:val="auto"/>
              </w:rPr>
            </w:pPr>
            <w:r>
              <w:rPr>
                <w:rFonts w:ascii="Arial" w:cs="Arial" w:eastAsia="Arial" w:hAnsi="Arial"/>
                <w:sz w:val="18"/>
                <w:szCs w:val="18"/>
                <w:b w:val="1"/>
                <w:bCs w:val="1"/>
                <w:color w:val="auto"/>
                <w:w w:val="99"/>
              </w:rPr>
              <w:t>(unaudited)</w:t>
            </w: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8"/>
                <w:szCs w:val="18"/>
                <w:color w:val="auto"/>
              </w:rPr>
              <w:t>U.S.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94,829</w:t>
            </w:r>
          </w:p>
        </w:tc>
        <w:tc>
          <w:tcPr>
            <w:tcW w:w="30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51,739</w:t>
            </w:r>
          </w:p>
        </w:tc>
        <w:tc>
          <w:tcPr>
            <w:tcW w:w="26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258,553</w:t>
            </w:r>
          </w:p>
        </w:tc>
        <w:tc>
          <w:tcPr>
            <w:tcW w:w="240" w:type="dxa"/>
            <w:vAlign w:val="bottom"/>
          </w:tcPr>
          <w:p>
            <w:pPr>
              <w:spacing w:after="0"/>
              <w:rPr>
                <w:sz w:val="18"/>
                <w:szCs w:val="18"/>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140,266</w:t>
            </w:r>
          </w:p>
        </w:tc>
        <w:tc>
          <w:tcPr>
            <w:tcW w:w="100" w:type="dxa"/>
            <w:vAlign w:val="bottom"/>
          </w:tcPr>
          <w:p>
            <w:pPr>
              <w:spacing w:after="0"/>
              <w:rPr>
                <w:sz w:val="18"/>
                <w:szCs w:val="18"/>
                <w:color w:val="auto"/>
              </w:rPr>
            </w:pPr>
          </w:p>
        </w:tc>
      </w:tr>
      <w:tr>
        <w:trPr>
          <w:trHeight w:val="216"/>
        </w:trPr>
        <w:tc>
          <w:tcPr>
            <w:tcW w:w="4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8,742</w:t>
            </w:r>
          </w:p>
        </w:tc>
        <w:tc>
          <w:tcPr>
            <w:tcW w:w="30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4,988</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24,304</w:t>
            </w:r>
          </w:p>
        </w:tc>
        <w:tc>
          <w:tcPr>
            <w:tcW w:w="24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10,972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60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103,571</w:t>
            </w:r>
          </w:p>
        </w:tc>
        <w:tc>
          <w:tcPr>
            <w:tcW w:w="300" w:type="dxa"/>
            <w:vAlign w:val="bottom"/>
          </w:tcPr>
          <w:p>
            <w:pPr>
              <w:spacing w:after="0"/>
              <w:rPr>
                <w:sz w:val="18"/>
                <w:szCs w:val="18"/>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56,727</w:t>
            </w:r>
          </w:p>
        </w:tc>
        <w:tc>
          <w:tcPr>
            <w:tcW w:w="260" w:type="dxa"/>
            <w:vAlign w:val="bottom"/>
          </w:tcPr>
          <w:p>
            <w:pPr>
              <w:spacing w:after="0"/>
              <w:rPr>
                <w:sz w:val="18"/>
                <w:szCs w:val="18"/>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282,857</w:t>
            </w:r>
          </w:p>
        </w:tc>
        <w:tc>
          <w:tcPr>
            <w:tcW w:w="240" w:type="dxa"/>
            <w:vAlign w:val="bottom"/>
          </w:tcPr>
          <w:p>
            <w:pPr>
              <w:spacing w:after="0"/>
              <w:rPr>
                <w:sz w:val="18"/>
                <w:szCs w:val="18"/>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151,238</w:t>
            </w:r>
          </w:p>
        </w:tc>
        <w:tc>
          <w:tcPr>
            <w:tcW w:w="100" w:type="dxa"/>
            <w:vAlign w:val="bottom"/>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Segment Net Loss:</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8"/>
                <w:szCs w:val="18"/>
                <w:color w:val="auto"/>
              </w:rPr>
              <w:t>U.S.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(10,732 )</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(12,550 )</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(36,977 )</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(30,152 )</w:t>
            </w:r>
          </w:p>
        </w:tc>
      </w:tr>
      <w:tr>
        <w:trPr>
          <w:trHeight w:val="216"/>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International</w:t>
            </w: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(4,305 )</w:t>
            </w:r>
          </w:p>
        </w:tc>
        <w:tc>
          <w:tcPr>
            <w:tcW w:w="5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(2,161 )</w:t>
            </w:r>
          </w:p>
        </w:tc>
        <w:tc>
          <w:tcPr>
            <w:tcW w:w="2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(14,625 )</w:t>
            </w:r>
          </w:p>
        </w:tc>
        <w:tc>
          <w:tcPr>
            <w:tcW w:w="5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(7,324 )</w:t>
            </w:r>
          </w:p>
        </w:tc>
      </w:tr>
      <w:tr>
        <w:trPr>
          <w:trHeight w:val="20"/>
        </w:trPr>
        <w:tc>
          <w:tcPr>
            <w:tcW w:w="46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600" w:type="dxa"/>
            <w:vAlign w:val="bottom"/>
          </w:tcPr>
          <w:p>
            <w:pPr>
              <w:ind w:left="280"/>
              <w:spacing w:after="0"/>
              <w:rPr>
                <w:sz w:val="20"/>
                <w:szCs w:val="20"/>
                <w:color w:val="auto"/>
              </w:rPr>
            </w:pPr>
            <w:r>
              <w:rPr>
                <w:rFonts w:ascii="Arial" w:cs="Arial" w:eastAsia="Arial" w:hAnsi="Arial"/>
                <w:sz w:val="18"/>
                <w:szCs w:val="18"/>
                <w:color w:val="auto"/>
              </w:rPr>
              <w:t>Total net loss attributable to common stockholders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(15,037 )</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(14,711 )</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(51,602 )</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(37,476 )</w:t>
            </w:r>
          </w:p>
        </w:tc>
      </w:tr>
      <w:tr>
        <w:trPr>
          <w:trHeight w:val="20"/>
        </w:trPr>
        <w:tc>
          <w:tcPr>
            <w:tcW w:w="4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3815080</wp:posOffset>
            </wp:positionH>
            <wp:positionV relativeFrom="paragraph">
              <wp:posOffset>-889635</wp:posOffset>
            </wp:positionV>
            <wp:extent cx="76835" cy="3079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307975"/>
                    </a:xfrm>
                    <a:prstGeom prst="rect">
                      <a:avLst/>
                    </a:prstGeom>
                    <a:noFill/>
                  </pic:spPr>
                </pic:pic>
              </a:graphicData>
            </a:graphic>
          </wp:anchor>
        </w:drawing>
        <w:drawing>
          <wp:anchor simplePos="0" relativeHeight="251657728" behindDoc="1" locked="0" layoutInCell="0" allowOverlap="1">
            <wp:simplePos x="0" y="0"/>
            <wp:positionH relativeFrom="column">
              <wp:posOffset>4902835</wp:posOffset>
            </wp:positionH>
            <wp:positionV relativeFrom="paragraph">
              <wp:posOffset>-889635</wp:posOffset>
            </wp:positionV>
            <wp:extent cx="68580" cy="3079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30797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-889635</wp:posOffset>
            </wp:positionV>
            <wp:extent cx="68580" cy="3079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3079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-889635</wp:posOffset>
            </wp:positionV>
            <wp:extent cx="68580" cy="3079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307975"/>
                    </a:xfrm>
                    <a:prstGeom prst="rect">
                      <a:avLst/>
                    </a:prstGeom>
                    <a:noFill/>
                  </pic:spPr>
                </pic:pic>
              </a:graphicData>
            </a:graphic>
          </wp:anchor>
        </w:drawing>
        <w:drawing>
          <wp:anchor simplePos="0" relativeHeight="251657728" behindDoc="1" locked="0" layoutInCell="0" allowOverlap="1">
            <wp:simplePos x="0" y="0"/>
            <wp:positionH relativeFrom="column">
              <wp:posOffset>3815080</wp:posOffset>
            </wp:positionH>
            <wp:positionV relativeFrom="paragraph">
              <wp:posOffset>-170815</wp:posOffset>
            </wp:positionV>
            <wp:extent cx="76835"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4902835</wp:posOffset>
            </wp:positionH>
            <wp:positionV relativeFrom="paragraph">
              <wp:posOffset>-170815</wp:posOffset>
            </wp:positionV>
            <wp:extent cx="6858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-170815</wp:posOffset>
            </wp:positionV>
            <wp:extent cx="6858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8" w:right="339" w:bottom="1440" w:gutter="0" w:footer="0" w:header="0"/>
        </w:sectPr>
      </w:pPr>
    </w:p>
    <w:bookmarkStart w:id="14" w:name="page15"/>
    <w:bookmarkEnd w:id="14"/>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Unaudited Supplemental Information</w:t>
      </w:r>
    </w:p>
    <w:p>
      <w:pPr>
        <w:jc w:val="center"/>
        <w:spacing w:after="0"/>
        <w:rPr>
          <w:sz w:val="20"/>
          <w:szCs w:val="20"/>
          <w:color w:val="auto"/>
        </w:rPr>
      </w:pPr>
      <w:r>
        <w:rPr>
          <w:rFonts w:ascii="Arial" w:cs="Arial" w:eastAsia="Arial" w:hAnsi="Arial"/>
          <w:sz w:val="20"/>
          <w:szCs w:val="20"/>
          <w:color w:val="auto"/>
        </w:rPr>
        <w:t>(In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auto"/>
                <w:w w:val="99"/>
              </w:rPr>
              <w:t>For the Three Months</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60" w:type="dxa"/>
            <w:vAlign w:val="bottom"/>
            <w:gridSpan w:val="4"/>
          </w:tcPr>
          <w:p>
            <w:pPr>
              <w:jc w:val="center"/>
              <w:ind w:right="210"/>
              <w:spacing w:after="0"/>
              <w:rPr>
                <w:sz w:val="20"/>
                <w:szCs w:val="20"/>
                <w:color w:val="auto"/>
              </w:rPr>
            </w:pPr>
            <w:r>
              <w:rPr>
                <w:rFonts w:ascii="Arial" w:cs="Arial" w:eastAsia="Arial" w:hAnsi="Arial"/>
                <w:sz w:val="18"/>
                <w:szCs w:val="18"/>
                <w:b w:val="1"/>
                <w:bCs w:val="1"/>
                <w:color w:val="auto"/>
                <w:w w:val="99"/>
              </w:rPr>
              <w:t>For the Nine Months</w:t>
            </w:r>
          </w:p>
        </w:tc>
        <w:tc>
          <w:tcPr>
            <w:tcW w:w="100" w:type="dxa"/>
            <w:vAlign w:val="bottom"/>
          </w:tcPr>
          <w:p>
            <w:pPr>
              <w:spacing w:after="0"/>
              <w:rPr>
                <w:sz w:val="17"/>
                <w:szCs w:val="17"/>
                <w:color w:val="auto"/>
              </w:rPr>
            </w:pPr>
          </w:p>
        </w:tc>
      </w:tr>
      <w:tr>
        <w:trPr>
          <w:trHeight w:val="235"/>
        </w:trPr>
        <w:tc>
          <w:tcPr>
            <w:tcW w:w="5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center"/>
              <w:ind w:left="130"/>
              <w:spacing w:after="0"/>
              <w:rPr>
                <w:sz w:val="20"/>
                <w:szCs w:val="20"/>
                <w:color w:val="auto"/>
              </w:rPr>
            </w:pPr>
            <w:r>
              <w:rPr>
                <w:rFonts w:ascii="Arial" w:cs="Arial" w:eastAsia="Arial" w:hAnsi="Arial"/>
                <w:sz w:val="18"/>
                <w:szCs w:val="18"/>
                <w:b w:val="1"/>
                <w:bCs w:val="1"/>
                <w:color w:val="auto"/>
                <w:w w:val="99"/>
              </w:rPr>
              <w:t>Ended September 30,</w:t>
            </w:r>
          </w:p>
        </w:tc>
        <w:tc>
          <w:tcPr>
            <w:tcW w:w="4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center"/>
              <w:ind w:right="190"/>
              <w:spacing w:after="0"/>
              <w:rPr>
                <w:sz w:val="20"/>
                <w:szCs w:val="20"/>
                <w:color w:val="auto"/>
              </w:rPr>
            </w:pPr>
            <w:r>
              <w:rPr>
                <w:rFonts w:ascii="Arial" w:cs="Arial" w:eastAsia="Arial" w:hAnsi="Arial"/>
                <w:sz w:val="18"/>
                <w:szCs w:val="18"/>
                <w:b w:val="1"/>
                <w:bCs w:val="1"/>
                <w:color w:val="auto"/>
              </w:rPr>
              <w:t>Ended September 30,</w:t>
            </w:r>
          </w:p>
        </w:tc>
        <w:tc>
          <w:tcPr>
            <w:tcW w:w="100" w:type="dxa"/>
            <w:vAlign w:val="bottom"/>
          </w:tcPr>
          <w:p>
            <w:pPr>
              <w:spacing w:after="0"/>
              <w:rPr>
                <w:sz w:val="20"/>
                <w:szCs w:val="20"/>
                <w:color w:val="auto"/>
              </w:rPr>
            </w:pPr>
          </w:p>
        </w:tc>
      </w:tr>
      <w:tr>
        <w:trPr>
          <w:trHeight w:val="209"/>
        </w:trPr>
        <w:tc>
          <w:tcPr>
            <w:tcW w:w="5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Summary of Stock-based Compensation Expense</w:t>
            </w:r>
          </w:p>
        </w:tc>
        <w:tc>
          <w:tcPr>
            <w:tcW w:w="240" w:type="dxa"/>
            <w:vAlign w:val="bottom"/>
            <w:shd w:val="clear" w:color="auto" w:fill="CFF0FC"/>
          </w:tcPr>
          <w:p>
            <w:pPr>
              <w:spacing w:after="0"/>
              <w:rPr>
                <w:sz w:val="18"/>
                <w:szCs w:val="18"/>
                <w:color w:val="auto"/>
              </w:rPr>
            </w:pPr>
          </w:p>
        </w:tc>
        <w:tc>
          <w:tcPr>
            <w:tcW w:w="2200" w:type="dxa"/>
            <w:vAlign w:val="bottom"/>
            <w:gridSpan w:val="3"/>
            <w:shd w:val="clear" w:color="auto" w:fill="CFF0FC"/>
          </w:tcPr>
          <w:p>
            <w:pPr>
              <w:jc w:val="center"/>
              <w:ind w:left="130"/>
              <w:spacing w:after="0"/>
              <w:rPr>
                <w:sz w:val="20"/>
                <w:szCs w:val="20"/>
                <w:color w:val="auto"/>
              </w:rPr>
            </w:pPr>
            <w:r>
              <w:rPr>
                <w:rFonts w:ascii="Arial" w:cs="Arial" w:eastAsia="Arial" w:hAnsi="Arial"/>
                <w:sz w:val="18"/>
                <w:szCs w:val="18"/>
                <w:b w:val="1"/>
                <w:bCs w:val="1"/>
                <w:color w:val="auto"/>
                <w:w w:val="99"/>
              </w:rPr>
              <w:t>(unaudited)</w:t>
            </w: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60" w:type="dxa"/>
            <w:vAlign w:val="bottom"/>
            <w:gridSpan w:val="3"/>
            <w:shd w:val="clear" w:color="auto" w:fill="CFF0FC"/>
          </w:tcPr>
          <w:p>
            <w:pPr>
              <w:jc w:val="center"/>
              <w:ind w:left="510"/>
              <w:spacing w:after="0"/>
              <w:rPr>
                <w:sz w:val="20"/>
                <w:szCs w:val="20"/>
                <w:color w:val="auto"/>
              </w:rPr>
            </w:pPr>
            <w:r>
              <w:rPr>
                <w:rFonts w:ascii="Arial" w:cs="Arial" w:eastAsia="Arial" w:hAnsi="Arial"/>
                <w:sz w:val="18"/>
                <w:szCs w:val="18"/>
                <w:b w:val="1"/>
                <w:bCs w:val="1"/>
                <w:color w:val="auto"/>
                <w:w w:val="99"/>
              </w:rPr>
              <w:t>(unaudited)</w:t>
            </w: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1,135</w:t>
            </w:r>
          </w:p>
        </w:tc>
        <w:tc>
          <w:tcPr>
            <w:tcW w:w="114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335</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3,071</w:t>
            </w:r>
          </w:p>
        </w:tc>
        <w:tc>
          <w:tcPr>
            <w:tcW w:w="6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Operations and support</w:t>
            </w: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1,715</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4,879</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1,364</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8"/>
                <w:szCs w:val="18"/>
                <w:color w:val="auto"/>
              </w:rPr>
              <w:t>Product development</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1,097</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3,119</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Pr>
          <w:p>
            <w:pPr>
              <w:spacing w:after="0"/>
              <w:rPr>
                <w:sz w:val="18"/>
                <w:szCs w:val="18"/>
                <w:color w:val="auto"/>
              </w:rPr>
            </w:pPr>
          </w:p>
        </w:tc>
      </w:tr>
      <w:tr>
        <w:trPr>
          <w:trHeight w:val="216"/>
        </w:trPr>
        <w:tc>
          <w:tcPr>
            <w:tcW w:w="5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1,166</w:t>
            </w:r>
          </w:p>
        </w:tc>
        <w:tc>
          <w:tcPr>
            <w:tcW w:w="26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2,979</w:t>
            </w:r>
          </w:p>
        </w:tc>
        <w:tc>
          <w:tcPr>
            <w:tcW w:w="2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16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5,113</w:t>
            </w:r>
          </w:p>
        </w:tc>
        <w:tc>
          <w:tcPr>
            <w:tcW w:w="114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2,266</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14,048</w:t>
            </w:r>
          </w:p>
        </w:tc>
        <w:tc>
          <w:tcPr>
            <w:tcW w:w="6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4,747</w:t>
            </w:r>
          </w:p>
        </w:tc>
        <w:tc>
          <w:tcPr>
            <w:tcW w:w="100" w:type="dxa"/>
            <w:vAlign w:val="bottom"/>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Summary of Depreciation and Amortization Expense</w:t>
            </w: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41</w:t>
            </w:r>
          </w:p>
        </w:tc>
        <w:tc>
          <w:tcPr>
            <w:tcW w:w="114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99</w:t>
            </w:r>
          </w:p>
        </w:tc>
        <w:tc>
          <w:tcPr>
            <w:tcW w:w="6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2,326</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8"/>
                <w:szCs w:val="18"/>
                <w:color w:val="auto"/>
              </w:rPr>
              <w:t>Operations and support</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development</w:t>
            </w: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2,437</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1,913</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2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r>
      <w:tr>
        <w:trPr>
          <w:trHeight w:val="249"/>
        </w:trPr>
        <w:tc>
          <w:tcPr>
            <w:tcW w:w="5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depreciation and amortization expense</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1,909</w:t>
            </w:r>
          </w:p>
        </w:tc>
        <w:tc>
          <w:tcPr>
            <w:tcW w:w="26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816</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5,716</w:t>
            </w:r>
          </w:p>
        </w:tc>
        <w:tc>
          <w:tcPr>
            <w:tcW w:w="2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41"/>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51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4106545</wp:posOffset>
            </wp:positionH>
            <wp:positionV relativeFrom="paragraph">
              <wp:posOffset>-1797685</wp:posOffset>
            </wp:positionV>
            <wp:extent cx="76835" cy="3079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30797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-1797685</wp:posOffset>
            </wp:positionV>
            <wp:extent cx="68580" cy="3079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30797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-1797685</wp:posOffset>
            </wp:positionV>
            <wp:extent cx="68580" cy="3079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3079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-1797685</wp:posOffset>
            </wp:positionV>
            <wp:extent cx="68580" cy="3079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307975"/>
                    </a:xfrm>
                    <a:prstGeom prst="rect">
                      <a:avLst/>
                    </a:prstGeom>
                    <a:noFill/>
                  </pic:spPr>
                </pic:pic>
              </a:graphicData>
            </a:graphic>
          </wp:anchor>
        </w:drawing>
        <w:drawing>
          <wp:anchor simplePos="0" relativeHeight="251657728" behindDoc="1" locked="0" layoutInCell="0" allowOverlap="1">
            <wp:simplePos x="0" y="0"/>
            <wp:positionH relativeFrom="column">
              <wp:posOffset>4106545</wp:posOffset>
            </wp:positionH>
            <wp:positionV relativeFrom="paragraph">
              <wp:posOffset>-521970</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4106545</wp:posOffset>
            </wp:positionH>
            <wp:positionV relativeFrom="paragraph">
              <wp:posOffset>-504825</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-521970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-504825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-521970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-504825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18" w:right="339" w:bottom="1440" w:gutter="0" w:footer="0" w:header="0"/>
        </w:sectPr>
      </w:pPr>
    </w:p>
    <w:bookmarkStart w:id="15" w:name="page16"/>
    <w:bookmarkEnd w:id="1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2"/>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2022-11-10T06:26:58Z</dcterms:created>
  <dcterms:modified xsi:type="dcterms:W3CDTF">2022-11-10T06:26:58Z</dcterms:modified>
</cp:coreProperties>
</file>