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357505</wp:posOffset>
            </wp:positionH>
            <wp:positionV relativeFrom="page">
              <wp:posOffset>164465</wp:posOffset>
            </wp:positionV>
            <wp:extent cx="68421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206375</wp:posOffset>
            </wp:positionV>
            <wp:extent cx="68421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2125" cy="8255"/>
                    </a:xfrm>
                    <a:prstGeom prst="rect">
                      <a:avLst/>
                    </a:prstGeom>
                    <a:noFill/>
                  </pic:spPr>
                </pic:pic>
              </a:graphicData>
            </a:graphic>
          </wp:anchor>
        </w:drawing>
        <w:t>UNITED STATES</w:t>
      </w:r>
    </w:p>
    <w:p>
      <w:pPr>
        <w:spacing w:after="0" w:line="3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142240</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7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165100</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32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53"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160020</wp:posOffset>
            </wp:positionV>
            <wp:extent cx="1433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301"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42"/>
          <w:szCs w:val="42"/>
          <w:b w:val="1"/>
          <w:bCs w:val="1"/>
          <w:color w:val="auto"/>
        </w:rPr>
        <w:t>Xometry, Inc.</w:t>
      </w:r>
    </w:p>
    <w:p>
      <w:pPr>
        <w:spacing w:after="0" w:line="5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144145</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ectPr>
          <w:pgSz w:w="11900" w:h="16838" w:orient="portrait"/>
          <w:cols w:equalWidth="0" w:num="1">
            <w:col w:w="10783"/>
          </w:cols>
          <w:pgMar w:left="557" w:top="370" w:right="559" w:bottom="1440" w:gutter="0" w:footer="0" w:header="0"/>
        </w:sectPr>
      </w:pPr>
    </w:p>
    <w:p>
      <w:pPr>
        <w:spacing w:after="0" w:line="378" w:lineRule="exact"/>
        <w:rPr>
          <w:sz w:val="24"/>
          <w:szCs w:val="24"/>
          <w:color w:val="auto"/>
        </w:rPr>
      </w:pPr>
    </w:p>
    <w:p>
      <w:pPr>
        <w:ind w:left="1483"/>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001-40546</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32-0415449</w:t>
      </w:r>
    </w:p>
    <w:p>
      <w:pPr>
        <w:spacing w:after="0" w:line="14" w:lineRule="exact"/>
        <w:rPr>
          <w:sz w:val="24"/>
          <w:szCs w:val="24"/>
          <w:color w:val="auto"/>
        </w:rPr>
      </w:pPr>
    </w:p>
    <w:p>
      <w:pPr>
        <w:sectPr>
          <w:pgSz w:w="11900" w:h="16838" w:orient="portrait"/>
          <w:cols w:equalWidth="0" w:num="3">
            <w:col w:w="4403" w:space="720"/>
            <w:col w:w="2780" w:space="720"/>
            <w:col w:w="2160"/>
          </w:cols>
          <w:pgMar w:left="557" w:top="370" w:right="559" w:bottom="1440" w:gutter="0" w:footer="0" w:header="0"/>
          <w:type w:val="continuous"/>
        </w:sectPr>
      </w:pPr>
    </w:p>
    <w:p>
      <w:pPr>
        <w:spacing w:after="0" w:line="11" w:lineRule="exact"/>
        <w:rPr>
          <w:sz w:val="24"/>
          <w:szCs w:val="24"/>
          <w:color w:val="auto"/>
        </w:rPr>
      </w:pPr>
    </w:p>
    <w:p>
      <w:pPr>
        <w:jc w:val="center"/>
        <w:ind w:right="717"/>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717"/>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5" w:lineRule="exact"/>
        <w:rPr>
          <w:sz w:val="24"/>
          <w:szCs w:val="24"/>
          <w:color w:val="auto"/>
        </w:rPr>
      </w:pPr>
    </w:p>
    <w:p>
      <w:pPr>
        <w:sectPr>
          <w:pgSz w:w="11900" w:h="16838" w:orient="portrait"/>
          <w:cols w:equalWidth="0" w:num="3">
            <w:col w:w="4383" w:space="720"/>
            <w:col w:w="2680" w:space="720"/>
            <w:col w:w="2280"/>
          </w:cols>
          <w:pgMar w:left="557" w:top="370" w:right="559" w:bottom="1440" w:gutter="0" w:footer="0" w:header="0"/>
          <w:type w:val="continuous"/>
        </w:sectPr>
      </w:pPr>
    </w:p>
    <w:p>
      <w:pPr>
        <w:jc w:val="center"/>
        <w:ind w:right="1797"/>
        <w:spacing w:after="0"/>
        <w:rPr>
          <w:sz w:val="20"/>
          <w:szCs w:val="20"/>
          <w:color w:val="auto"/>
        </w:rPr>
      </w:pPr>
      <w:r>
        <w:rPr>
          <w:rFonts w:ascii="Times New Roman" w:cs="Times New Roman" w:eastAsia="Times New Roman" w:hAnsi="Times New Roman"/>
          <w:sz w:val="18"/>
          <w:szCs w:val="18"/>
          <w:b w:val="1"/>
          <w:bCs w:val="1"/>
          <w:color w:val="auto"/>
        </w:rPr>
        <w:t>6116 Executive Blvd,</w:t>
      </w:r>
    </w:p>
    <w:p>
      <w:pPr>
        <w:spacing w:after="0" w:line="24" w:lineRule="exact"/>
        <w:rPr>
          <w:sz w:val="24"/>
          <w:szCs w:val="24"/>
          <w:color w:val="auto"/>
        </w:rPr>
      </w:pPr>
    </w:p>
    <w:p>
      <w:pPr>
        <w:jc w:val="center"/>
        <w:ind w:right="1797"/>
        <w:spacing w:after="0"/>
        <w:rPr>
          <w:sz w:val="20"/>
          <w:szCs w:val="20"/>
          <w:color w:val="auto"/>
        </w:rPr>
      </w:pPr>
      <w:r>
        <w:rPr>
          <w:rFonts w:ascii="Times New Roman" w:cs="Times New Roman" w:eastAsia="Times New Roman" w:hAnsi="Times New Roman"/>
          <w:sz w:val="18"/>
          <w:szCs w:val="18"/>
          <w:b w:val="1"/>
          <w:bCs w:val="1"/>
          <w:color w:val="auto"/>
        </w:rPr>
        <w:t>Suite 800</w:t>
      </w:r>
    </w:p>
    <w:p>
      <w:pPr>
        <w:spacing w:after="0" w:line="4" w:lineRule="exact"/>
        <w:rPr>
          <w:sz w:val="24"/>
          <w:szCs w:val="24"/>
          <w:color w:val="auto"/>
        </w:rPr>
      </w:pPr>
    </w:p>
    <w:p>
      <w:pPr>
        <w:jc w:val="center"/>
        <w:ind w:right="1797"/>
        <w:spacing w:after="0"/>
        <w:rPr>
          <w:sz w:val="20"/>
          <w:szCs w:val="20"/>
          <w:color w:val="auto"/>
        </w:rPr>
      </w:pPr>
      <w:r>
        <w:rPr>
          <w:rFonts w:ascii="Times New Roman" w:cs="Times New Roman" w:eastAsia="Times New Roman" w:hAnsi="Times New Roman"/>
          <w:sz w:val="17"/>
          <w:szCs w:val="17"/>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20852</w:t>
      </w:r>
    </w:p>
    <w:p>
      <w:pPr>
        <w:spacing w:after="0" w:line="35" w:lineRule="exact"/>
        <w:rPr>
          <w:sz w:val="24"/>
          <w:szCs w:val="24"/>
          <w:color w:val="auto"/>
        </w:rPr>
      </w:pPr>
    </w:p>
    <w:p>
      <w:pPr>
        <w:sectPr>
          <w:pgSz w:w="11900" w:h="16838" w:orient="portrait"/>
          <w:cols w:equalWidth="0" w:num="2">
            <w:col w:w="7223" w:space="720"/>
            <w:col w:w="2840"/>
          </w:cols>
          <w:pgMar w:left="557" w:top="370" w:right="559" w:bottom="1440" w:gutter="0" w:footer="0" w:header="0"/>
          <w:type w:val="continuous"/>
        </w:sectPr>
      </w:pPr>
    </w:p>
    <w:p>
      <w:pPr>
        <w:ind w:left="15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147" w:lineRule="exact"/>
        <w:rPr>
          <w:sz w:val="24"/>
          <w:szCs w:val="24"/>
          <w:color w:val="auto"/>
        </w:rPr>
      </w:pPr>
    </w:p>
    <w:p>
      <w:pPr>
        <w:sectPr>
          <w:pgSz w:w="11900" w:h="16838" w:orient="portrait"/>
          <w:cols w:equalWidth="0" w:num="2">
            <w:col w:w="7123" w:space="720"/>
            <w:col w:w="2940"/>
          </w:cols>
          <w:pgMar w:left="557" w:top="370" w:right="559" w:bottom="1440" w:gutter="0" w:footer="0" w:header="0"/>
          <w:type w:val="continuous"/>
        </w:sect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18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8"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2703830</wp:posOffset>
            </wp:positionH>
            <wp:positionV relativeFrom="paragraph">
              <wp:posOffset>136525</wp:posOffset>
            </wp:positionV>
            <wp:extent cx="1433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296" w:lineRule="exact"/>
        <w:rPr>
          <w:sz w:val="24"/>
          <w:szCs w:val="24"/>
          <w:color w:val="auto"/>
        </w:rPr>
      </w:pPr>
    </w:p>
    <w:p>
      <w:pPr>
        <w:ind w:left="3" w:right="480"/>
        <w:spacing w:after="0" w:line="27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18"/>
          <w:szCs w:val="18"/>
          <w:color w:val="auto"/>
        </w:rPr>
      </w:pPr>
    </w:p>
    <w:p>
      <w:pPr>
        <w:ind w:left="423" w:hanging="423"/>
        <w:spacing w:after="0"/>
        <w:tabs>
          <w:tab w:leader="none" w:pos="4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ind w:lef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4" w:lineRule="exact"/>
        <w:rPr>
          <w:sz w:val="24"/>
          <w:szCs w:val="24"/>
          <w:color w:val="auto"/>
        </w:rPr>
      </w:pPr>
    </w:p>
    <w:tbl>
      <w:tblPr>
        <w:tblLayout w:type="fixed"/>
        <w:tblInd w:w="3" w:type="dxa"/>
        <w:tblCellMar>
          <w:top w:w="0" w:type="dxa"/>
          <w:left w:w="0" w:type="dxa"/>
          <w:bottom w:w="0" w:type="dxa"/>
          <w:right w:w="0" w:type="dxa"/>
        </w:tblCellMar>
      </w:tblPr>
      <w:tr>
        <w:trPr>
          <w:trHeight w:val="161"/>
        </w:trPr>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6"/>
        </w:trPr>
        <w:tc>
          <w:tcPr>
            <w:tcW w:w="366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Class A Common Stock, $0.000001 par value per</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6"/>
                <w:szCs w:val="16"/>
                <w:color w:val="auto"/>
              </w:rPr>
            </w:pPr>
          </w:p>
        </w:tc>
        <w:tc>
          <w:tcPr>
            <w:tcW w:w="344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The Nasdaq Global Select Market</w:t>
            </w:r>
          </w:p>
        </w:tc>
        <w:tc>
          <w:tcPr>
            <w:tcW w:w="0" w:type="dxa"/>
            <w:vAlign w:val="bottom"/>
          </w:tcPr>
          <w:p>
            <w:pPr>
              <w:spacing w:after="0"/>
              <w:rPr>
                <w:sz w:val="1"/>
                <w:szCs w:val="1"/>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ind w:left="3" w:right="260"/>
        <w:spacing w:after="0" w:line="27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0" w:lineRule="exact"/>
        <w:rPr>
          <w:sz w:val="24"/>
          <w:szCs w:val="24"/>
          <w:color w:val="auto"/>
        </w:rPr>
      </w:pPr>
    </w:p>
    <w:p>
      <w:pPr>
        <w:ind w:left="3"/>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4" w:lineRule="exact"/>
        <w:rPr>
          <w:sz w:val="24"/>
          <w:szCs w:val="24"/>
          <w:color w:val="auto"/>
        </w:rPr>
      </w:pPr>
    </w:p>
    <w:p>
      <w:pPr>
        <w:ind w:left="3" w:right="300"/>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6842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175895</wp:posOffset>
            </wp:positionV>
            <wp:extent cx="6842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ectPr>
          <w:pgSz w:w="11900" w:h="16838" w:orient="portrait"/>
          <w:cols w:equalWidth="0" w:num="1">
            <w:col w:w="10783"/>
          </w:cols>
          <w:pgMar w:left="557" w:top="370" w:right="55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Agreement.</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Indenture and Notes</w:t>
      </w:r>
    </w:p>
    <w:p>
      <w:pPr>
        <w:spacing w:after="0" w:line="110" w:lineRule="exact"/>
        <w:rPr>
          <w:sz w:val="20"/>
          <w:szCs w:val="20"/>
          <w:color w:val="auto"/>
        </w:rPr>
      </w:pPr>
    </w:p>
    <w:p>
      <w:pPr>
        <w:ind w:right="100" w:firstLine="431"/>
        <w:spacing w:after="0" w:line="254" w:lineRule="auto"/>
        <w:rPr>
          <w:sz w:val="20"/>
          <w:szCs w:val="20"/>
          <w:color w:val="auto"/>
        </w:rPr>
      </w:pPr>
      <w:r>
        <w:rPr>
          <w:rFonts w:ascii="Times New Roman" w:cs="Times New Roman" w:eastAsia="Times New Roman" w:hAnsi="Times New Roman"/>
          <w:sz w:val="18"/>
          <w:szCs w:val="18"/>
          <w:color w:val="auto"/>
        </w:rPr>
        <w:t>On June 12, 2025, Xometry,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completed its previously announced private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of $250.0 million aggregate principal amount of 0.75% Convertible Senior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including the exercise in full of the initial purchasers’ option to purchase up to an additional $25.0 million principal amount of the Notes. The Notes were issued pursuant to an indenture, dated June 12, 2025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U.S. Bank Trust Company, National Association, as trustee.</w:t>
      </w:r>
    </w:p>
    <w:p>
      <w:pPr>
        <w:spacing w:after="0" w:line="184" w:lineRule="exact"/>
        <w:rPr>
          <w:sz w:val="20"/>
          <w:szCs w:val="20"/>
          <w:color w:val="auto"/>
        </w:rPr>
      </w:pPr>
    </w:p>
    <w:p>
      <w:pPr>
        <w:ind w:firstLine="431"/>
        <w:spacing w:after="0" w:line="246" w:lineRule="auto"/>
        <w:rPr>
          <w:sz w:val="20"/>
          <w:szCs w:val="20"/>
          <w:color w:val="auto"/>
        </w:rPr>
      </w:pPr>
      <w:r>
        <w:rPr>
          <w:rFonts w:ascii="Times New Roman" w:cs="Times New Roman" w:eastAsia="Times New Roman" w:hAnsi="Times New Roman"/>
          <w:sz w:val="18"/>
          <w:szCs w:val="18"/>
          <w:color w:val="auto"/>
        </w:rPr>
        <w:t>The Notes are general unsecured obligations of the Company and will mature on June 15, 2030, unless earlier converted, redeemed or repurchased. Interest on the Notes will accrue at a rate of 0.75% per year from June 12, 2025 and will be payable semiannually in arrears on June 15 and December 15 of each year, beginning on December 15, 2025. The Notes are convertible at the option of the holders at any time prior to the close of business on the business day immediately preceding March 15, 2030, only under the following conditions: (1) during any calendar quarter commencing after the calendar quarter ending on September 30, 2025 (and only during such calendar quarter), if the last reported sale price of the Company’s Class A common stock, $0.000001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(2) during the five business day period after any ten consecutive trading day period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in which the trading price (as defined in the Indenture) per $1,000 principal amount of the Notes for each trading day of the measurement period was less than 98% of the product of the last reported sale price of the Common Stock and the conversion rate for the Notes on each such trading day; (3) if the Company calls such Notes for redemption, at any time prior to the close of business on the second scheduled trading day immediately preceding the redemption date, but only with respect to the Notes called (or deemed called) for redemption; and (4) upon the occurrence of specified corporate events as set forth in the Indenture. On or after March 15, 2030, until the close of business on the second scheduled trading day immediately preceding the maturity date, holders of the Notes may convert all or any portion of their Notes at any time, at the option of the holder regardless of the foregoing conditions. Upon conversion, the Company may satisfy its conversion obligation by paying or delivering, as the case may be, cash, shares of Common Stock or a combination of cash and shares of Common Stock, at the Company’s election, in the manner and subject to the terms and conditions provided in the Indenture.</w:t>
      </w:r>
    </w:p>
    <w:p>
      <w:pPr>
        <w:spacing w:after="0" w:line="196" w:lineRule="exact"/>
        <w:rPr>
          <w:sz w:val="20"/>
          <w:szCs w:val="20"/>
          <w:color w:val="auto"/>
        </w:rPr>
      </w:pPr>
    </w:p>
    <w:p>
      <w:pPr>
        <w:ind w:right="100" w:firstLine="431"/>
        <w:spacing w:after="0" w:line="248" w:lineRule="auto"/>
        <w:rPr>
          <w:sz w:val="20"/>
          <w:szCs w:val="20"/>
          <w:color w:val="auto"/>
        </w:rPr>
      </w:pPr>
      <w:r>
        <w:rPr>
          <w:rFonts w:ascii="Times New Roman" w:cs="Times New Roman" w:eastAsia="Times New Roman" w:hAnsi="Times New Roman"/>
          <w:sz w:val="18"/>
          <w:szCs w:val="18"/>
          <w:color w:val="auto"/>
        </w:rPr>
        <w:t>The conversion rate for the Notes will initially be 21.2495 shares of Common Stock per $1,000 principal amount of Notes, which is equivalent to an initial conversion price of approximately $47.06 per share of Common Stock. The initial conversion price of the Notes represents a premium of approximately 30.0% over the last reported sale price of the Common Stock of $36.20 per share on The Nasdaq Global Select Market on June 9, 2025. The conversion rate for the Notes is subject to adjustment in some events in accordance with the terms of the Indenture but will not be adjusted for any accrued and unpaid interest. In addition, following certain corporate events that occur prior to the maturity date of the Notes or if the Company delivers a notice of redemption in respect of the Notes, the Company will, under certain circumstances, increase the conversion rate of the Notes for a holder who elects to convert its Notes in connection with such a corporate event or convert its Notes called (or deemed called) for redemption in connection with such notice of redemption, as the case may be.</w:t>
      </w:r>
    </w:p>
    <w:p>
      <w:pPr>
        <w:spacing w:after="0" w:line="190"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The Company may not redeem the Notes prior to June 20, 2028. The Company may redeem for cash all or any portion of the Notes (subject to certain limitations described in the Indenture), at its option, on or after June 20, 2028,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if any, to, but excluding, the redemption date. If the Company redeems less than all the outstanding Notes, at least $100 million aggregate principal amount of Notes must be outstanding and not subject to redemption as of, and after giving effect to, delivery of the relevant notice of redemption. No sinking fund is provided for the Notes.</w:t>
      </w:r>
    </w:p>
    <w:p>
      <w:pPr>
        <w:spacing w:after="0" w:line="190" w:lineRule="exact"/>
        <w:rPr>
          <w:sz w:val="20"/>
          <w:szCs w:val="20"/>
          <w:color w:val="auto"/>
        </w:rPr>
      </w:pPr>
    </w:p>
    <w:p>
      <w:pPr>
        <w:ind w:right="180" w:firstLine="431"/>
        <w:spacing w:after="0" w:line="253"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accrued and unpaid interest, if any, to, but excluding, the fundamental change repurchase date.</w:t>
      </w:r>
    </w:p>
    <w:p>
      <w:pPr>
        <w:sectPr>
          <w:pgSz w:w="11900" w:h="16838" w:orient="portrait"/>
          <w:cols w:equalWidth="0" w:num="1">
            <w:col w:w="10760"/>
          </w:cols>
          <w:pgMar w:left="560" w:top="291" w:right="579" w:bottom="1440" w:gutter="0" w:footer="0" w:header="0"/>
        </w:sectPr>
      </w:pPr>
    </w:p>
    <w:bookmarkStart w:id="2" w:name="page3"/>
    <w:bookmarkEnd w:id="2"/>
    <w:p>
      <w:pPr>
        <w:ind w:right="440" w:firstLine="431"/>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The Indenture includes customary covenants and sets forth certain events of default. The following events are considered “events of default” under the Indenture:</w:t>
      </w:r>
    </w:p>
    <w:p>
      <w:pPr>
        <w:spacing w:after="0" w:line="76" w:lineRule="exact"/>
        <w:rPr>
          <w:sz w:val="20"/>
          <w:szCs w:val="20"/>
          <w:color w:val="auto"/>
        </w:rPr>
      </w:pPr>
    </w:p>
    <w:p>
      <w:pPr>
        <w:ind w:left="940" w:hanging="41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w:t>
      </w:r>
    </w:p>
    <w:p>
      <w:pPr>
        <w:spacing w:after="0" w:line="123" w:lineRule="exact"/>
        <w:rPr>
          <w:rFonts w:ascii="Times New Roman" w:cs="Times New Roman" w:eastAsia="Times New Roman" w:hAnsi="Times New Roman"/>
          <w:sz w:val="18"/>
          <w:szCs w:val="18"/>
          <w:color w:val="auto"/>
        </w:rPr>
      </w:pPr>
    </w:p>
    <w:p>
      <w:pPr>
        <w:ind w:left="940" w:right="140" w:hanging="415"/>
        <w:spacing w:after="0" w:line="27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Note when due and payable at its stated maturity, upon optional redemption, upon any required repurchase, upon declaration of acceleration or otherwise;</w:t>
      </w:r>
    </w:p>
    <w:p>
      <w:pPr>
        <w:spacing w:after="0" w:line="75" w:lineRule="exact"/>
        <w:rPr>
          <w:rFonts w:ascii="Times New Roman" w:cs="Times New Roman" w:eastAsia="Times New Roman" w:hAnsi="Times New Roman"/>
          <w:sz w:val="18"/>
          <w:szCs w:val="18"/>
          <w:color w:val="auto"/>
        </w:rPr>
      </w:pPr>
    </w:p>
    <w:p>
      <w:pPr>
        <w:ind w:left="940" w:right="300" w:hanging="415"/>
        <w:spacing w:after="0" w:line="27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the Indenture upon exercise of a holder’s conversion right, and such failure continues for three business days;</w:t>
      </w:r>
    </w:p>
    <w:p>
      <w:pPr>
        <w:spacing w:after="0" w:line="75" w:lineRule="exact"/>
        <w:rPr>
          <w:rFonts w:ascii="Times New Roman" w:cs="Times New Roman" w:eastAsia="Times New Roman" w:hAnsi="Times New Roman"/>
          <w:sz w:val="18"/>
          <w:szCs w:val="18"/>
          <w:color w:val="auto"/>
        </w:rPr>
      </w:pPr>
    </w:p>
    <w:p>
      <w:pPr>
        <w:ind w:left="940" w:right="240" w:hanging="415"/>
        <w:spacing w:after="0" w:line="257"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notice or notice of a make-whole fundamental change, in either case when due and such failure continues for two business days, or (ii) notice of certain specified corporate events, and such failure continues for one business day;</w:t>
      </w:r>
    </w:p>
    <w:p>
      <w:pPr>
        <w:spacing w:after="0" w:line="87"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in respect of any consolidation, merger or sale of assets;</w:t>
      </w:r>
    </w:p>
    <w:p>
      <w:pPr>
        <w:spacing w:after="0" w:line="123" w:lineRule="exact"/>
        <w:rPr>
          <w:rFonts w:ascii="Times New Roman" w:cs="Times New Roman" w:eastAsia="Times New Roman" w:hAnsi="Times New Roman"/>
          <w:sz w:val="18"/>
          <w:szCs w:val="18"/>
          <w:color w:val="auto"/>
        </w:rPr>
      </w:pPr>
    </w:p>
    <w:p>
      <w:pPr>
        <w:ind w:left="940" w:right="400" w:hanging="415"/>
        <w:spacing w:after="0" w:line="270"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any of the other agreements in the Indenture for 60 days after receipt of written notice of such failure from the trustee or the holders of at least 25% in principal amount of the Notes then outstanding;</w:t>
      </w:r>
    </w:p>
    <w:p>
      <w:pPr>
        <w:spacing w:after="0" w:line="75" w:lineRule="exact"/>
        <w:rPr>
          <w:rFonts w:ascii="Times New Roman" w:cs="Times New Roman" w:eastAsia="Times New Roman" w:hAnsi="Times New Roman"/>
          <w:sz w:val="18"/>
          <w:szCs w:val="18"/>
          <w:color w:val="auto"/>
        </w:rPr>
      </w:pPr>
    </w:p>
    <w:p>
      <w:pPr>
        <w:ind w:left="940" w:right="20" w:hanging="415"/>
        <w:spacing w:after="0" w:line="247"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$50,000,000 (or its foreign currency equivalent), in the aggregate of the Company and/or any of the Company’s significant subsidiaries,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the Notes then outstanding in accordance with the Indenture; and</w:t>
      </w:r>
    </w:p>
    <w:p>
      <w:pPr>
        <w:spacing w:after="0" w:line="101" w:lineRule="exact"/>
        <w:rPr>
          <w:rFonts w:ascii="Times New Roman" w:cs="Times New Roman" w:eastAsia="Times New Roman" w:hAnsi="Times New Roman"/>
          <w:sz w:val="18"/>
          <w:szCs w:val="18"/>
          <w:color w:val="auto"/>
        </w:rPr>
      </w:pPr>
    </w:p>
    <w:p>
      <w:pPr>
        <w:ind w:left="940" w:hanging="415"/>
        <w:spacing w:after="0"/>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Company or any of the Company’s significant subsidiaries.</w:t>
      </w:r>
    </w:p>
    <w:p>
      <w:pPr>
        <w:spacing w:after="0" w:line="216" w:lineRule="exact"/>
        <w:rPr>
          <w:sz w:val="20"/>
          <w:szCs w:val="20"/>
          <w:color w:val="auto"/>
        </w:rPr>
      </w:pPr>
    </w:p>
    <w:p>
      <w:pPr>
        <w:ind w:right="100" w:firstLine="431"/>
        <w:spacing w:after="0" w:line="248"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occur with respect to the Company, the principal of, and accrued and unpaid interest, if any,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interest, if any, on, all the outstanding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Notes.</w:t>
      </w:r>
    </w:p>
    <w:p>
      <w:pPr>
        <w:spacing w:after="0" w:line="190"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organized and existing under the laws of the United States of America, any State thereof or the District of Columbia, and such person (if not the Company) expressly assumes by supplemental indenture all of the Company’s obligations under the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460" w:firstLine="431"/>
        <w:spacing w:after="0" w:line="270" w:lineRule="auto"/>
        <w:rPr>
          <w:sz w:val="20"/>
          <w:szCs w:val="20"/>
          <w:color w:val="auto"/>
        </w:rPr>
      </w:pPr>
      <w:r>
        <w:rPr>
          <w:rFonts w:ascii="Times New Roman" w:cs="Times New Roman" w:eastAsia="Times New Roman" w:hAnsi="Times New Roman"/>
          <w:sz w:val="18"/>
          <w:szCs w:val="18"/>
          <w:color w:val="auto"/>
        </w:rPr>
        <w:t>A copy of the Indenture is attached hereto as Exhibit 4.1 (including the form of the Notes attached hereto as Exhibit 4.2) and is incorporated herein by reference (and this description is qualified in its entirety by reference to such document).</w:t>
      </w:r>
    </w:p>
    <w:p>
      <w:pPr>
        <w:sectPr>
          <w:pgSz w:w="11900" w:h="16838" w:orient="portrait"/>
          <w:cols w:equalWidth="0" w:num="1">
            <w:col w:w="10760"/>
          </w:cols>
          <w:pgMar w:left="560" w:top="293" w:right="579" w:bottom="1440" w:gutter="0" w:footer="0" w:header="0"/>
        </w:sectPr>
      </w:pPr>
    </w:p>
    <w:bookmarkStart w:id="3" w:name="page4"/>
    <w:bookmarkEnd w:id="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Capped Call Transactions</w:t>
      </w:r>
    </w:p>
    <w:p>
      <w:pPr>
        <w:spacing w:after="0" w:line="114"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On June 9, 2025, in connection with the pricing of the Notes, and on June 10, 2025, in connection with the exercise in full by the initial purchasers of their option to purchase additional Notes, the Company entered into capped call transactions with certain of the initial purchasers of the Notes or affiliates thereof and other financial institutions, pursuant to capped call confirmations in substantially the form filed as Exhibit 10.1 to this Current Report on Form 8-K, which is incorporated herein by reference (and this description is qualified in its entirety by reference to such document). The capped call transactions are expected generally to reduce the potential dilution to the Common Stock upon any conversion of the Notes and/or offset any cash payments the Company is required to make in excess of the principal amount of converted Notes, as the case may be, with such reduction and/or offset subject to a cap based on a cap price initially equal to $63.35 per share (which represents a premium of 75% over the last reported sale price of the Common Stock of $36.20 per share on The Nasdaq Global Select Market on June 9, 2025), and is subject to certain adjustments under the terms of the capped call transactions.</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net proceeds from the Offering were approximately $241.2 million, after deducting the initial purchasers’ discounts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commissions and estimated offering expenses payable by the Company. The Company used approximately $17.5 million of the net proceeds from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Offering to pay the cost of the capped call transactions described above. In addition, the Company used approximately $8.0 million of the net proceeds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Offering, together with cash on hand, to repurchase shares of Common Stock from purchasers of the Notes in the Offering in privately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negotiated transactions effected through one of the initial purchasers or one of its affiliates concurrently with the pricing of the Offering . The 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expects to use the net proceeds from the Offering, together with cash on hand, to repurchase for approximately $216.7 million in cash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$201.7 million in aggregate principal amount of its 1.00% Convertible Senior Notes due 2027 (the “</w:t>
      </w:r>
      <w:r>
        <w:rPr>
          <w:rFonts w:ascii="Times New Roman" w:cs="Times New Roman" w:eastAsia="Times New Roman" w:hAnsi="Times New Roman"/>
          <w:sz w:val="17"/>
          <w:szCs w:val="17"/>
          <w:b w:val="1"/>
          <w:bCs w:val="1"/>
          <w:i w:val="1"/>
          <w:iCs w:val="1"/>
          <w:color w:val="auto"/>
        </w:rPr>
        <w:t>2027 Notes</w:t>
      </w:r>
      <w:r>
        <w:rPr>
          <w:rFonts w:ascii="Times New Roman" w:cs="Times New Roman" w:eastAsia="Times New Roman" w:hAnsi="Times New Roman"/>
          <w:sz w:val="17"/>
          <w:szCs w:val="17"/>
          <w:color w:val="auto"/>
        </w:rPr>
        <w:t>”) (including accrued and unpaid interest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in privately negotiated transactions effected through one of the initial purchasers or one of its affiliates concurrently with the pricing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 The Company intends to cancel the repurchased 2027 Notes and, after such cancellation of repurchased 2027 Notes, approximately</w:t>
      </w:r>
    </w:p>
    <w:p>
      <w:pPr>
        <w:spacing w:after="0" w:line="4"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$85.8 million aggregate principal amounts of 2027 Notes will remain outstanding. The Company expects to use the remaining net proceeds from the Offering for working capital and other general corporate purposes, which may include additional repurchases of the 2027 Notes from time to time following the Offering, and acquisitions of, or strategic investments in, complementary businesses, products, services or technologies. However, the Company does not have agreements or commitments with respect to any such acquisition or strategic investment at this time.</w:t>
      </w:r>
    </w:p>
    <w:p>
      <w:pPr>
        <w:spacing w:after="0" w:line="3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35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 of Equity Securities.</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16" w:lineRule="exact"/>
        <w:rPr>
          <w:sz w:val="20"/>
          <w:szCs w:val="20"/>
          <w:color w:val="auto"/>
        </w:rPr>
      </w:pPr>
    </w:p>
    <w:p>
      <w:pPr>
        <w:ind w:right="20" w:firstLine="431"/>
        <w:spacing w:after="0" w:line="251" w:lineRule="auto"/>
        <w:rPr>
          <w:sz w:val="20"/>
          <w:szCs w:val="20"/>
          <w:color w:val="auto"/>
        </w:rPr>
      </w:pPr>
      <w:r>
        <w:rPr>
          <w:rFonts w:ascii="Times New Roman" w:cs="Times New Roman" w:eastAsia="Times New Roman" w:hAnsi="Times New Roman"/>
          <w:sz w:val="18"/>
          <w:szCs w:val="18"/>
          <w:color w:val="auto"/>
        </w:rPr>
        <w:t>The Company offered and sold the Notes to the initial purchasers in reliance 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 dated June 9, 2025 by and among the Company and the initial purchasers.</w:t>
      </w:r>
    </w:p>
    <w:p>
      <w:pPr>
        <w:spacing w:after="0" w:line="185" w:lineRule="exact"/>
        <w:rPr>
          <w:sz w:val="20"/>
          <w:szCs w:val="20"/>
          <w:color w:val="auto"/>
        </w:rPr>
      </w:pPr>
    </w:p>
    <w:p>
      <w:pPr>
        <w:ind w:right="180" w:firstLine="431"/>
        <w:spacing w:after="0" w:line="270" w:lineRule="auto"/>
        <w:rPr>
          <w:sz w:val="20"/>
          <w:szCs w:val="20"/>
          <w:color w:val="auto"/>
        </w:rPr>
      </w:pPr>
      <w:r>
        <w:rPr>
          <w:rFonts w:ascii="Times New Roman" w:cs="Times New Roman" w:eastAsia="Times New Roman" w:hAnsi="Times New Roman"/>
          <w:sz w:val="18"/>
          <w:szCs w:val="18"/>
          <w:color w:val="auto"/>
        </w:rPr>
        <w:t>The Notes and the shares of Common Stock issuable upon conversion of the Notes, if any, have not been registered under the Securities Act and may not be offered or sold in the United States absent registration or an applicable exemption from registration requirements.</w:t>
      </w:r>
    </w:p>
    <w:p>
      <w:pPr>
        <w:spacing w:after="0" w:line="168" w:lineRule="exact"/>
        <w:rPr>
          <w:sz w:val="20"/>
          <w:szCs w:val="20"/>
          <w:color w:val="auto"/>
        </w:rPr>
      </w:pPr>
    </w:p>
    <w:p>
      <w:pPr>
        <w:ind w:right="240" w:firstLine="431"/>
        <w:spacing w:after="0" w:line="251" w:lineRule="auto"/>
        <w:rPr>
          <w:sz w:val="20"/>
          <w:szCs w:val="20"/>
          <w:color w:val="auto"/>
        </w:rPr>
      </w:pPr>
      <w:r>
        <w:rPr>
          <w:rFonts w:ascii="Times New Roman" w:cs="Times New Roman" w:eastAsia="Times New Roman" w:hAnsi="Times New Roman"/>
          <w:sz w:val="18"/>
          <w:szCs w:val="18"/>
          <w:color w:val="auto"/>
        </w:rPr>
        <w:t>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 Initially, a maximum of 6,906,075 shares of Common Stock may be issued upon conversion of the Notes based on the initial maximum conversion rate of 27.6243 shares of Common Stock per $1,000 principal amount of Notes, which is subject to customary anti-dilution adjustment provisions.</w:t>
      </w:r>
    </w:p>
    <w:p>
      <w:pPr>
        <w:sectPr>
          <w:pgSz w:w="11900" w:h="16838" w:orient="portrait"/>
          <w:cols w:equalWidth="0" w:num="1">
            <w:col w:w="10760"/>
          </w:cols>
          <w:pgMar w:left="560" w:top="289" w:right="579" w:bottom="1440" w:gutter="0" w:footer="0" w:header="0"/>
        </w:sectPr>
      </w:pPr>
    </w:p>
    <w:bookmarkStart w:id="4" w:name="page5"/>
    <w:bookmarkEnd w:id="4"/>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2" w:lineRule="exact"/>
        <w:rPr>
          <w:sz w:val="20"/>
          <w:szCs w:val="20"/>
          <w:color w:val="auto"/>
        </w:rPr>
      </w:pPr>
    </w:p>
    <w:p>
      <w:pPr>
        <w:ind w:right="80" w:firstLine="431"/>
        <w:spacing w:after="0" w:line="270" w:lineRule="auto"/>
        <w:rPr>
          <w:sz w:val="20"/>
          <w:szCs w:val="20"/>
          <w:color w:val="auto"/>
        </w:rPr>
      </w:pPr>
      <w:r>
        <w:rPr>
          <w:rFonts w:ascii="Times New Roman" w:cs="Times New Roman" w:eastAsia="Times New Roman" w:hAnsi="Times New Roman"/>
          <w:sz w:val="18"/>
          <w:szCs w:val="18"/>
          <w:color w:val="auto"/>
        </w:rPr>
        <w:t>On June 9, 2025, the Company issued a press release announcing the proposed Offering. A copy of the press release is attached hereto as Exhibit 99.1 and incorporated herein by reference.</w:t>
      </w:r>
    </w:p>
    <w:p>
      <w:pPr>
        <w:spacing w:after="0" w:line="168" w:lineRule="exact"/>
        <w:rPr>
          <w:sz w:val="20"/>
          <w:szCs w:val="20"/>
          <w:color w:val="auto"/>
        </w:rPr>
      </w:pPr>
    </w:p>
    <w:p>
      <w:pPr>
        <w:ind w:right="260" w:firstLine="431"/>
        <w:spacing w:after="0" w:line="270" w:lineRule="auto"/>
        <w:rPr>
          <w:sz w:val="20"/>
          <w:szCs w:val="20"/>
          <w:color w:val="auto"/>
        </w:rPr>
      </w:pPr>
      <w:r>
        <w:rPr>
          <w:rFonts w:ascii="Times New Roman" w:cs="Times New Roman" w:eastAsia="Times New Roman" w:hAnsi="Times New Roman"/>
          <w:sz w:val="18"/>
          <w:szCs w:val="18"/>
          <w:color w:val="auto"/>
        </w:rPr>
        <w:t>On June 10, 2025, the Company issued a press release announcing the pricing of the Offering. A copy of the press release is attached hereto as Exhibit 99.2 and is incorporated herein by reference.</w:t>
      </w: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2" w:lineRule="exact"/>
        <w:rPr>
          <w:sz w:val="20"/>
          <w:szCs w:val="20"/>
          <w:color w:val="auto"/>
        </w:rPr>
      </w:pPr>
    </w:p>
    <w:p>
      <w:pPr>
        <w:ind w:right="80" w:firstLine="431"/>
        <w:spacing w:after="0" w:line="24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as that term is defined under the federal securities laws, including but not limited to statements regarding the Offering, the effects of the capped call transactions, the note repurchase transactions and the Company’s expectations regarding the expected net proceeds from the Offering and the use of those net proceeds. These forward-looking statements are based on the Company’s current assumptions, expectations and beliefs and are subject to substantial risks, uncertainties, assumptions and changes in circumstances that may cause the Company’s plans to differ materially from those expressed or implied in any forward-looking statement. These risks include, but are not limited to, market risks, trends and conditions, and those risks described in the Company’s filings with the Securities and Exchange Commission (“SEC”) from time to time, particularly under the captions “Risk Factors” and “Management’s Discussion and Analysis of Financial Condition and Results of Operations,” including the Annual Report on Form 10-K for the fiscal year ended December 31, 2024. Copies of these documents may be obtained by visiting the SEC’s website at www.sec.gov. These forward-looking statements represent the Company’s estimates and assumptions only as of the date of this Current Report on Form 8-K. The Company assumes no obligation and does not intend to update these forward-looking statements, except as required by law.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70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17"/>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vMerge w:val="restart"/>
          </w:tcPr>
          <w:p>
            <w:pPr>
              <w:spacing w:after="0"/>
              <w:rPr>
                <w:sz w:val="24"/>
                <w:szCs w:val="24"/>
                <w:color w:val="auto"/>
              </w:rPr>
            </w:pPr>
          </w:p>
        </w:tc>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520" w:type="dxa"/>
            <w:vAlign w:val="bottom"/>
            <w:gridSpan w:val="5"/>
            <w:vMerge w:val="restart"/>
          </w:tcPr>
          <w:p>
            <w:pPr>
              <w:spacing w:after="0" w:line="185" w:lineRule="exact"/>
              <w:rPr>
                <w:sz w:val="20"/>
                <w:szCs w:val="20"/>
                <w:color w:val="auto"/>
              </w:rPr>
            </w:pPr>
            <w:r>
              <w:rPr>
                <w:rFonts w:ascii="Times New Roman" w:cs="Times New Roman" w:eastAsia="Times New Roman" w:hAnsi="Times New Roman"/>
                <w:sz w:val="18"/>
                <w:szCs w:val="18"/>
                <w:color w:val="0000EE"/>
                <w:w w:val="98"/>
              </w:rPr>
              <w:t>Indenture, dated as of June 12, 2025, by and between Xometry,</w:t>
            </w:r>
          </w:p>
        </w:tc>
        <w:tc>
          <w:tcPr>
            <w:tcW w:w="7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8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  4.1</w:t>
            </w:r>
          </w:p>
        </w:tc>
        <w:tc>
          <w:tcPr>
            <w:tcW w:w="520" w:type="dxa"/>
            <w:vAlign w:val="bottom"/>
            <w:vMerge w:val="continue"/>
          </w:tcPr>
          <w:p>
            <w:pPr>
              <w:spacing w:after="0"/>
              <w:rPr>
                <w:sz w:val="14"/>
                <w:szCs w:val="14"/>
                <w:color w:val="auto"/>
              </w:rPr>
            </w:pPr>
          </w:p>
        </w:tc>
        <w:tc>
          <w:tcPr>
            <w:tcW w:w="4520" w:type="dxa"/>
            <w:vAlign w:val="bottom"/>
            <w:tcBorders>
              <w:bottom w:val="single" w:sz="8" w:color="0000EE"/>
            </w:tcBorders>
            <w:gridSpan w:val="5"/>
            <w:vMerge w:val="continue"/>
          </w:tcPr>
          <w:p>
            <w:pPr>
              <w:spacing w:after="0"/>
              <w:rPr>
                <w:sz w:val="14"/>
                <w:szCs w:val="14"/>
                <w:color w:val="auto"/>
              </w:rPr>
            </w:pPr>
          </w:p>
        </w:tc>
        <w:tc>
          <w:tcPr>
            <w:tcW w:w="476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EE"/>
                <w:w w:val="96"/>
              </w:rPr>
              <w:t>Inc. and U.S. Bank Trust Company, National Association as Trustee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4.2</w:t>
            </w:r>
          </w:p>
        </w:tc>
        <w:tc>
          <w:tcPr>
            <w:tcW w:w="97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Form of Global Note representing Xometry, Inc.’s 0.75% Convertible Senior Notes due 2030 (included as Exhibit A to the Indenture filed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0000EE"/>
              </w:rPr>
              <w:t>as Exhibit 4.1)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Form of Confirmation for Capped Call Transactions</w:t>
            </w:r>
          </w:p>
        </w:tc>
        <w:tc>
          <w:tcPr>
            <w:tcW w:w="0" w:type="dxa"/>
            <w:vAlign w:val="bottom"/>
          </w:tcPr>
          <w:p>
            <w:pPr>
              <w:spacing w:after="0"/>
              <w:rPr>
                <w:sz w:val="1"/>
                <w:szCs w:val="1"/>
                <w:color w:val="auto"/>
              </w:rPr>
            </w:pPr>
          </w:p>
        </w:tc>
      </w:tr>
      <w:tr>
        <w:trPr>
          <w:trHeight w:val="29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36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June 9, 2025</w:t>
            </w:r>
          </w:p>
        </w:tc>
        <w:tc>
          <w:tcPr>
            <w:tcW w:w="6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4"/>
                <w:szCs w:val="24"/>
                <w:color w:val="auto"/>
              </w:rPr>
            </w:pPr>
          </w:p>
        </w:tc>
        <w:tc>
          <w:tcPr>
            <w:tcW w:w="2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Press release, dated June 10, 2025</w:t>
            </w:r>
          </w:p>
        </w:tc>
        <w:tc>
          <w:tcPr>
            <w:tcW w:w="7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9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720"/>
          </w:cols>
          <w:pgMar w:left="560" w:top="291" w:right="619" w:bottom="1440" w:gutter="0" w:footer="0" w:header="0"/>
        </w:sectPr>
      </w:pPr>
    </w:p>
    <w:bookmarkStart w:id="5" w:name="page6"/>
    <w:bookmarkEnd w:id="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SIGNATURES</w:t>
      </w:r>
    </w:p>
    <w:p>
      <w:pPr>
        <w:spacing w:after="0" w:line="218"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18" w:lineRule="exact"/>
        <w:rPr>
          <w:sz w:val="20"/>
          <w:szCs w:val="20"/>
          <w:color w:val="auto"/>
        </w:rPr>
      </w:pPr>
    </w:p>
    <w:p>
      <w:pPr>
        <w:spacing w:after="0"/>
        <w:tabs>
          <w:tab w:leader="none" w:pos="5480" w:val="left"/>
          <w:tab w:leader="none" w:pos="5900" w:val="left"/>
        </w:tabs>
        <w:rPr>
          <w:sz w:val="20"/>
          <w:szCs w:val="20"/>
          <w:color w:val="auto"/>
        </w:rPr>
      </w:pPr>
      <w:r>
        <w:rPr>
          <w:rFonts w:ascii="Times New Roman" w:cs="Times New Roman" w:eastAsia="Times New Roman" w:hAnsi="Times New Roman"/>
          <w:sz w:val="18"/>
          <w:szCs w:val="18"/>
          <w:color w:val="auto"/>
        </w:rPr>
        <w:t>Date: June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14605</wp:posOffset>
            </wp:positionV>
            <wp:extent cx="3077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480"/>
          </w:cols>
          <w:pgMar w:left="560" w:top="291" w:right="8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176530</wp:posOffset>
            </wp:positionV>
            <wp:extent cx="6842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218440</wp:posOffset>
            </wp:positionV>
            <wp:extent cx="6842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XOMETRY, INC.</w:t>
      </w: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2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as Trustee</w:t>
      </w: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INDENTURE</w:t>
      </w: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Dated as of June 12, 2025</w:t>
      </w:r>
    </w:p>
    <w:p>
      <w:pPr>
        <w:spacing w:after="0" w:line="21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0.75% Convertible Senior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182245</wp:posOffset>
            </wp:positionV>
            <wp:extent cx="6842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2125" cy="8255"/>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224155</wp:posOffset>
            </wp:positionV>
            <wp:extent cx="6842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2125" cy="8255"/>
                    </a:xfrm>
                    <a:prstGeom prst="rect">
                      <a:avLst/>
                    </a:prstGeom>
                    <a:noFill/>
                  </pic:spPr>
                </pic:pic>
              </a:graphicData>
            </a:graphic>
          </wp:anchor>
        </w:drawing>
      </w:r>
    </w:p>
    <w:p>
      <w:pPr>
        <w:sectPr>
          <w:pgSz w:w="11900" w:h="16838" w:orient="portrait"/>
          <w:cols w:equalWidth="0" w:num="1">
            <w:col w:w="9900"/>
          </w:cols>
          <w:pgMar w:left="1440" w:top="119"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440" w:type="dxa"/>
            <w:vAlign w:val="bottom"/>
          </w:tcPr>
          <w:p>
            <w:pPr>
              <w:spacing w:after="0"/>
              <w:rPr>
                <w:sz w:val="24"/>
                <w:szCs w:val="24"/>
                <w:color w:val="auto"/>
              </w:rPr>
            </w:pPr>
          </w:p>
        </w:tc>
        <w:tc>
          <w:tcPr>
            <w:tcW w:w="1880" w:type="dxa"/>
            <w:vAlign w:val="bottom"/>
            <w:tcBorders>
              <w:top w:val="single" w:sz="8" w:color="auto"/>
            </w:tcBorders>
            <w:vMerge w:val="restart"/>
          </w:tcPr>
          <w:p>
            <w:pPr>
              <w:jc w:val="center"/>
              <w:ind w:right="492"/>
              <w:spacing w:after="0"/>
              <w:rPr>
                <w:sz w:val="20"/>
                <w:szCs w:val="20"/>
                <w:color w:val="auto"/>
              </w:rPr>
            </w:pPr>
            <w:r>
              <w:rPr>
                <w:rFonts w:ascii="Times New Roman" w:cs="Times New Roman" w:eastAsia="Times New Roman" w:hAnsi="Times New Roman"/>
                <w:sz w:val="18"/>
                <w:szCs w:val="18"/>
                <w:color w:val="auto"/>
                <w:w w:val="96"/>
              </w:rPr>
              <w:t>ARTICLE 1</w:t>
            </w:r>
          </w:p>
        </w:tc>
        <w:tc>
          <w:tcPr>
            <w:tcW w:w="2820" w:type="dxa"/>
            <w:vAlign w:val="bottom"/>
            <w:vMerge w:val="restart"/>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880" w:type="dxa"/>
            <w:vAlign w:val="bottom"/>
            <w:tcBorders>
              <w:top w:val="single" w:sz="8" w:color="auto"/>
            </w:tcBorders>
            <w:vMerge w:val="continue"/>
          </w:tcPr>
          <w:p>
            <w:pPr>
              <w:spacing w:after="0"/>
              <w:rPr>
                <w:sz w:val="15"/>
                <w:szCs w:val="15"/>
                <w:color w:val="auto"/>
              </w:rPr>
            </w:pPr>
          </w:p>
        </w:tc>
        <w:tc>
          <w:tcPr>
            <w:tcW w:w="282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470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References to Interest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4"/>
                <w:szCs w:val="24"/>
                <w:color w:val="auto"/>
              </w:rPr>
            </w:pPr>
          </w:p>
        </w:tc>
        <w:tc>
          <w:tcPr>
            <w:tcW w:w="470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w w:val="96"/>
              </w:rPr>
              <w:t>ARTICLE 2</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140" w:type="dxa"/>
            <w:vAlign w:val="bottom"/>
            <w:gridSpan w:val="3"/>
          </w:tcPr>
          <w:p>
            <w:pPr>
              <w:jc w:val="center"/>
              <w:ind w:left="952"/>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Amount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Form of Notes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Date and Denomination of Notes; Payments of Interest and Defaulted Amounts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Execution, Authentication and Delivery of Notes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Exchange and Registration of Transfer of Notes; Restrictions on Transfer; Depositary</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Mutilated, Destroyed, Lost or Stolen Notes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Temporary Notes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Cancellation of Notes Paid, Converted, Etc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CUSIP Numbers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Additional Notes; Repurchases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4"/>
                <w:szCs w:val="24"/>
                <w:color w:val="auto"/>
              </w:rPr>
            </w:pPr>
          </w:p>
        </w:tc>
        <w:tc>
          <w:tcPr>
            <w:tcW w:w="470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w w:val="96"/>
              </w:rPr>
              <w:t>ARTICLE 3</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140" w:type="dxa"/>
            <w:vAlign w:val="bottom"/>
            <w:gridSpan w:val="3"/>
          </w:tcPr>
          <w:p>
            <w:pPr>
              <w:jc w:val="center"/>
              <w:ind w:left="95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Satisfaction and Discharge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05"/>
        </w:trPr>
        <w:tc>
          <w:tcPr>
            <w:tcW w:w="4440" w:type="dxa"/>
            <w:vAlign w:val="bottom"/>
          </w:tcPr>
          <w:p>
            <w:pPr>
              <w:spacing w:after="0"/>
              <w:rPr>
                <w:sz w:val="24"/>
                <w:szCs w:val="24"/>
                <w:color w:val="auto"/>
              </w:rPr>
            </w:pPr>
          </w:p>
        </w:tc>
        <w:tc>
          <w:tcPr>
            <w:tcW w:w="4700" w:type="dxa"/>
            <w:vAlign w:val="bottom"/>
            <w:gridSpan w:val="2"/>
          </w:tcPr>
          <w:p>
            <w:pPr>
              <w:jc w:val="center"/>
              <w:ind w:right="3400"/>
              <w:spacing w:after="0"/>
              <w:rPr>
                <w:sz w:val="20"/>
                <w:szCs w:val="20"/>
                <w:color w:val="auto"/>
              </w:rPr>
            </w:pPr>
            <w:r>
              <w:rPr>
                <w:rFonts w:ascii="Times New Roman" w:cs="Times New Roman" w:eastAsia="Times New Roman" w:hAnsi="Times New Roman"/>
                <w:sz w:val="18"/>
                <w:szCs w:val="18"/>
                <w:color w:val="auto"/>
                <w:w w:val="96"/>
              </w:rPr>
              <w:t>ARTICLE 4</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140" w:type="dxa"/>
            <w:vAlign w:val="bottom"/>
            <w:gridSpan w:val="3"/>
          </w:tcPr>
          <w:p>
            <w:pPr>
              <w:jc w:val="center"/>
              <w:ind w:left="952"/>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Principal and Interest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Appointments to Fill Vacancies in Trustee’s Office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Provisions as to Paying Agent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Existence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Rule 144A Information Requirement and Annual Reports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Stay, Extension and Usury Laws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Compliance Certificate; Statements as to Defaults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1"/>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Further Instruments and Acts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720"/>
          </w:cols>
          <w:pgMar w:left="560" w:top="249" w:right="619" w:bottom="1440" w:gutter="0" w:footer="0" w:header="0"/>
        </w:sectPr>
      </w:pPr>
    </w:p>
    <w:bookmarkStart w:id="8" w:name="page9"/>
    <w:bookmarkEnd w:id="8"/>
    <w:p>
      <w:pPr>
        <w:jc w:val="center"/>
        <w:ind w:right="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ARTICLE 5</w:t>
      </w:r>
    </w:p>
    <w:p>
      <w:pPr>
        <w:spacing w:after="0" w:line="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Lists of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Preservation and Disclosure of Lists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05"/>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ARTICLE 6</w:t>
            </w:r>
          </w:p>
        </w:tc>
        <w:tc>
          <w:tcPr>
            <w:tcW w:w="1380" w:type="dxa"/>
            <w:vAlign w:val="bottom"/>
          </w:tcPr>
          <w:p>
            <w:pPr>
              <w:spacing w:after="0"/>
              <w:rPr>
                <w:sz w:val="24"/>
                <w:szCs w:val="24"/>
                <w:color w:val="auto"/>
              </w:rPr>
            </w:pPr>
          </w:p>
        </w:tc>
      </w:tr>
      <w:tr>
        <w:trPr>
          <w:trHeight w:val="229"/>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tc>
        <w:tc>
          <w:tcPr>
            <w:tcW w:w="1380" w:type="dxa"/>
            <w:vAlign w:val="bottom"/>
          </w:tcPr>
          <w:p>
            <w:pPr>
              <w:spacing w:after="0"/>
              <w:rPr>
                <w:sz w:val="19"/>
                <w:szCs w:val="19"/>
                <w:color w:val="auto"/>
              </w:rPr>
            </w:pPr>
          </w:p>
        </w:tc>
      </w:tr>
      <w:tr>
        <w:trPr>
          <w:trHeight w:val="40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Additional Interest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Payments of Notes on Default; Suit Therefor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Application of Monies Collected by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Proceedings by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Proceedings by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Remedies Cumulative and Continuing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Direction of Proceedings and Waiver of Defaults by Majority of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Notice of Defaults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to Pay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05"/>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ARTICLE 7</w:t>
            </w:r>
          </w:p>
        </w:tc>
        <w:tc>
          <w:tcPr>
            <w:tcW w:w="1380" w:type="dxa"/>
            <w:vAlign w:val="bottom"/>
          </w:tcPr>
          <w:p>
            <w:pPr>
              <w:spacing w:after="0"/>
              <w:rPr>
                <w:sz w:val="24"/>
                <w:szCs w:val="24"/>
                <w:color w:val="auto"/>
              </w:rPr>
            </w:pPr>
          </w:p>
        </w:tc>
      </w:tr>
      <w:tr>
        <w:trPr>
          <w:trHeight w:val="229"/>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tc>
        <w:tc>
          <w:tcPr>
            <w:tcW w:w="1380" w:type="dxa"/>
            <w:vAlign w:val="bottom"/>
          </w:tcPr>
          <w:p>
            <w:pPr>
              <w:spacing w:after="0"/>
              <w:rPr>
                <w:sz w:val="19"/>
                <w:szCs w:val="19"/>
                <w:color w:val="auto"/>
              </w:rPr>
            </w:pPr>
          </w:p>
        </w:tc>
      </w:tr>
      <w:tr>
        <w:trPr>
          <w:trHeight w:val="40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and Responsibilities of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Reliance on Documents, Opinions, Etc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No Responsibility for Recitals, Etc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 Paying Agents, Conversion Agents, Bid Solicitation Agent or Note Registrar May Own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Monies and Shares of Class A Common Stock to Be Held in Trust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Expenses of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Officer’s Certificate as Evidence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Eligibility of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Resignation or Removal of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Acceptance by Successor Trustee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Succession by Merger, Etc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Trustee’s Application for Instructions from the Company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05"/>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ARTICLE 8</w:t>
            </w:r>
          </w:p>
        </w:tc>
        <w:tc>
          <w:tcPr>
            <w:tcW w:w="1380" w:type="dxa"/>
            <w:vAlign w:val="bottom"/>
          </w:tcPr>
          <w:p>
            <w:pPr>
              <w:spacing w:after="0"/>
              <w:rPr>
                <w:sz w:val="24"/>
                <w:szCs w:val="24"/>
                <w:color w:val="auto"/>
              </w:rPr>
            </w:pPr>
          </w:p>
        </w:tc>
      </w:tr>
      <w:tr>
        <w:trPr>
          <w:trHeight w:val="229"/>
        </w:trPr>
        <w:tc>
          <w:tcPr>
            <w:tcW w:w="934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380" w:type="dxa"/>
            <w:vAlign w:val="bottom"/>
          </w:tcPr>
          <w:p>
            <w:pPr>
              <w:spacing w:after="0"/>
              <w:rPr>
                <w:sz w:val="19"/>
                <w:szCs w:val="19"/>
                <w:color w:val="auto"/>
              </w:rPr>
            </w:pPr>
          </w:p>
        </w:tc>
      </w:tr>
      <w:tr>
        <w:trPr>
          <w:trHeight w:val="40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Action by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Proof of Execution by Holders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Who Are Deemed Absolute Owners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Company-Owned Notes Disregarded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1"/>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Revocation of Consents; Future Holders Bound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20"/>
          </w:cols>
          <w:pgMar w:left="560" w:top="266" w:right="6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1"/>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ARTICLE 9</w:t>
            </w:r>
          </w:p>
        </w:tc>
        <w:tc>
          <w:tcPr>
            <w:tcW w:w="360" w:type="dxa"/>
            <w:vAlign w:val="bottom"/>
          </w:tcPr>
          <w:p>
            <w:pPr>
              <w:spacing w:after="0"/>
              <w:rPr>
                <w:sz w:val="18"/>
                <w:szCs w:val="18"/>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tc>
        <w:tc>
          <w:tcPr>
            <w:tcW w:w="360" w:type="dxa"/>
            <w:vAlign w:val="bottom"/>
          </w:tcPr>
          <w:p>
            <w:pPr>
              <w:spacing w:after="0"/>
              <w:rPr>
                <w:sz w:val="19"/>
                <w:szCs w:val="19"/>
                <w:color w:val="auto"/>
              </w:rPr>
            </w:pPr>
          </w:p>
        </w:tc>
      </w:tr>
      <w:tr>
        <w:trPr>
          <w:trHeight w:val="40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Purpose of Meetings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Call of Meetings by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Call of Meetings by Company or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Qualifications for Voting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Regulations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Voting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No Delay of Rights by Meeting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05"/>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10</w:t>
            </w:r>
          </w:p>
        </w:tc>
        <w:tc>
          <w:tcPr>
            <w:tcW w:w="360" w:type="dxa"/>
            <w:vAlign w:val="bottom"/>
          </w:tcPr>
          <w:p>
            <w:pPr>
              <w:spacing w:after="0"/>
              <w:rPr>
                <w:sz w:val="24"/>
                <w:szCs w:val="24"/>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tc>
        <w:tc>
          <w:tcPr>
            <w:tcW w:w="360" w:type="dxa"/>
            <w:vAlign w:val="bottom"/>
          </w:tcPr>
          <w:p>
            <w:pPr>
              <w:spacing w:after="0"/>
              <w:rPr>
                <w:sz w:val="19"/>
                <w:szCs w:val="19"/>
                <w:color w:val="auto"/>
              </w:rPr>
            </w:pPr>
          </w:p>
        </w:tc>
      </w:tr>
      <w:tr>
        <w:trPr>
          <w:trHeight w:val="40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Supplemental Indentures Without Consent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Supplemental Indentures with Consent of 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Effect of Supplemental Indentures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Notation on Notes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Evidence of Compliance of Supplemental Indenture to Be Furnished to Trustee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05"/>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ARTICLE 11</w:t>
            </w:r>
          </w:p>
        </w:tc>
        <w:tc>
          <w:tcPr>
            <w:tcW w:w="360" w:type="dxa"/>
            <w:vAlign w:val="bottom"/>
          </w:tcPr>
          <w:p>
            <w:pPr>
              <w:spacing w:after="0"/>
              <w:rPr>
                <w:sz w:val="24"/>
                <w:szCs w:val="24"/>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tc>
        <w:tc>
          <w:tcPr>
            <w:tcW w:w="360" w:type="dxa"/>
            <w:vAlign w:val="bottom"/>
          </w:tcPr>
          <w:p>
            <w:pPr>
              <w:spacing w:after="0"/>
              <w:rPr>
                <w:sz w:val="19"/>
                <w:szCs w:val="19"/>
                <w:color w:val="auto"/>
              </w:rPr>
            </w:pPr>
          </w:p>
        </w:tc>
      </w:tr>
      <w:tr>
        <w:trPr>
          <w:trHeight w:val="40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Company May Consolidate, Etc. on Certain Terms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Successor Entity to Be Substituted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05"/>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12</w:t>
            </w:r>
          </w:p>
        </w:tc>
        <w:tc>
          <w:tcPr>
            <w:tcW w:w="360" w:type="dxa"/>
            <w:vAlign w:val="bottom"/>
          </w:tcPr>
          <w:p>
            <w:pPr>
              <w:spacing w:after="0"/>
              <w:rPr>
                <w:sz w:val="24"/>
                <w:szCs w:val="24"/>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tc>
        <w:tc>
          <w:tcPr>
            <w:tcW w:w="360" w:type="dxa"/>
            <w:vAlign w:val="bottom"/>
          </w:tcPr>
          <w:p>
            <w:pPr>
              <w:spacing w:after="0"/>
              <w:rPr>
                <w:sz w:val="19"/>
                <w:szCs w:val="19"/>
                <w:color w:val="auto"/>
              </w:rPr>
            </w:pPr>
          </w:p>
        </w:tc>
      </w:tr>
      <w:tr>
        <w:trPr>
          <w:trHeight w:val="42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Indenture and Notes Solely Corporate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405"/>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13</w:t>
            </w:r>
          </w:p>
        </w:tc>
        <w:tc>
          <w:tcPr>
            <w:tcW w:w="360" w:type="dxa"/>
            <w:vAlign w:val="bottom"/>
          </w:tcPr>
          <w:p>
            <w:pPr>
              <w:spacing w:after="0"/>
              <w:rPr>
                <w:sz w:val="24"/>
                <w:szCs w:val="24"/>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r>
      <w:tr>
        <w:trPr>
          <w:trHeight w:val="405"/>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14</w:t>
            </w:r>
          </w:p>
        </w:tc>
        <w:tc>
          <w:tcPr>
            <w:tcW w:w="360" w:type="dxa"/>
            <w:vAlign w:val="bottom"/>
          </w:tcPr>
          <w:p>
            <w:pPr>
              <w:spacing w:after="0"/>
              <w:rPr>
                <w:sz w:val="24"/>
                <w:szCs w:val="24"/>
                <w:color w:val="auto"/>
              </w:rPr>
            </w:pPr>
          </w:p>
        </w:tc>
      </w:tr>
      <w:tr>
        <w:trPr>
          <w:trHeight w:val="229"/>
        </w:trPr>
        <w:tc>
          <w:tcPr>
            <w:tcW w:w="10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60" w:type="dxa"/>
            <w:vAlign w:val="bottom"/>
          </w:tcPr>
          <w:p>
            <w:pPr>
              <w:spacing w:after="0"/>
              <w:rPr>
                <w:sz w:val="19"/>
                <w:szCs w:val="19"/>
                <w:color w:val="auto"/>
              </w:rPr>
            </w:pPr>
          </w:p>
        </w:tc>
      </w:tr>
      <w:tr>
        <w:trPr>
          <w:trHeight w:val="403"/>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i w:val="1"/>
                <w:iCs w:val="1"/>
                <w:color w:val="auto"/>
              </w:rPr>
              <w:t>Conversion Privilege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i w:val="1"/>
                <w:iCs w:val="1"/>
                <w:color w:val="auto"/>
              </w:rPr>
              <w:t>Conversion Procedure; Settlement Upon Conversion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w w:val="98"/>
              </w:rPr>
              <w:t xml:space="preserve">Section 14.03. </w:t>
            </w:r>
            <w:r>
              <w:rPr>
                <w:rFonts w:ascii="Times New Roman" w:cs="Times New Roman" w:eastAsia="Times New Roman" w:hAnsi="Times New Roman"/>
                <w:sz w:val="18"/>
                <w:szCs w:val="18"/>
                <w:i w:val="1"/>
                <w:iCs w:val="1"/>
                <w:color w:val="auto"/>
                <w:w w:val="98"/>
              </w:rPr>
              <w:t>Increased Conversion Rate Applicable to Certain Notes Surrendered in Connection with Make-Whole Fundamental Changes or a</w:t>
            </w:r>
          </w:p>
        </w:tc>
        <w:tc>
          <w:tcPr>
            <w:tcW w:w="360" w:type="dxa"/>
            <w:vAlign w:val="bottom"/>
          </w:tcPr>
          <w:p>
            <w:pPr>
              <w:spacing w:after="0"/>
              <w:rPr>
                <w:sz w:val="18"/>
                <w:szCs w:val="18"/>
                <w:color w:val="auto"/>
              </w:rPr>
            </w:pPr>
          </w:p>
        </w:tc>
      </w:tr>
      <w:tr>
        <w:trPr>
          <w:trHeight w:val="224"/>
        </w:trPr>
        <w:tc>
          <w:tcPr>
            <w:tcW w:w="10360" w:type="dxa"/>
            <w:vAlign w:val="bottom"/>
          </w:tcPr>
          <w:p>
            <w:pPr>
              <w:ind w:left="1060"/>
              <w:spacing w:after="0"/>
              <w:rPr>
                <w:sz w:val="20"/>
                <w:szCs w:val="20"/>
                <w:color w:val="auto"/>
              </w:rPr>
            </w:pPr>
            <w:r>
              <w:rPr>
                <w:rFonts w:ascii="Times New Roman" w:cs="Times New Roman" w:eastAsia="Times New Roman" w:hAnsi="Times New Roman"/>
                <w:sz w:val="18"/>
                <w:szCs w:val="18"/>
                <w:i w:val="1"/>
                <w:iCs w:val="1"/>
                <w:color w:val="auto"/>
              </w:rPr>
              <w:t>Notice of Redemption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i w:val="1"/>
                <w:iCs w:val="1"/>
                <w:color w:val="auto"/>
              </w:rPr>
              <w:t>Adjustment of Conversion Rate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Adjustments of Prices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1"/>
        </w:trPr>
        <w:tc>
          <w:tcPr>
            <w:tcW w:w="10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Shares to Be Fully Paid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720"/>
          </w:cols>
          <w:pgMar w:left="560" w:top="266" w:right="6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Effect of Recapitalizations, Reclassifications and Changes of the Class A Common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14.08. </w:t>
            </w:r>
            <w:r>
              <w:rPr>
                <w:rFonts w:ascii="Times New Roman" w:cs="Times New Roman" w:eastAsia="Times New Roman" w:hAnsi="Times New Roman"/>
                <w:sz w:val="18"/>
                <w:szCs w:val="18"/>
                <w:i w:val="1"/>
                <w:iCs w:val="1"/>
                <w:color w:val="auto"/>
              </w:rPr>
              <w:t>Certain Covenants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Responsibility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[Intentionally Omitted]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14.11. </w:t>
            </w:r>
            <w:r>
              <w:rPr>
                <w:rFonts w:ascii="Times New Roman" w:cs="Times New Roman" w:eastAsia="Times New Roman" w:hAnsi="Times New Roman"/>
                <w:sz w:val="18"/>
                <w:szCs w:val="18"/>
                <w:i w:val="1"/>
                <w:iCs w:val="1"/>
                <w:color w:val="auto"/>
              </w:rPr>
              <w:t>Stockholder Rights Plans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Exchange in Lieu of Conversion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05"/>
        </w:trPr>
        <w:tc>
          <w:tcPr>
            <w:tcW w:w="93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5"/>
              </w:rPr>
              <w:t>ARTICLE 15</w:t>
            </w:r>
          </w:p>
        </w:tc>
        <w:tc>
          <w:tcPr>
            <w:tcW w:w="1420" w:type="dxa"/>
            <w:vAlign w:val="bottom"/>
          </w:tcPr>
          <w:p>
            <w:pPr>
              <w:spacing w:after="0"/>
              <w:rPr>
                <w:sz w:val="24"/>
                <w:szCs w:val="24"/>
                <w:color w:val="auto"/>
              </w:rPr>
            </w:pPr>
          </w:p>
        </w:tc>
      </w:tr>
      <w:tr>
        <w:trPr>
          <w:trHeight w:val="229"/>
        </w:trPr>
        <w:tc>
          <w:tcPr>
            <w:tcW w:w="93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tc>
        <w:tc>
          <w:tcPr>
            <w:tcW w:w="1420" w:type="dxa"/>
            <w:vAlign w:val="bottom"/>
          </w:tcPr>
          <w:p>
            <w:pPr>
              <w:spacing w:after="0"/>
              <w:rPr>
                <w:sz w:val="19"/>
                <w:szCs w:val="19"/>
                <w:color w:val="auto"/>
              </w:rPr>
            </w:pPr>
          </w:p>
        </w:tc>
      </w:tr>
      <w:tr>
        <w:trPr>
          <w:trHeight w:val="40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i w:val="1"/>
                <w:iCs w:val="1"/>
                <w:color w:val="auto"/>
              </w:rPr>
              <w:t>[Intentionally Omitted]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i w:val="1"/>
                <w:iCs w:val="1"/>
                <w:color w:val="auto"/>
              </w:rPr>
              <w:t>Repurchase at Option of Holders Upon a Fundamental Change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i w:val="1"/>
                <w:iCs w:val="1"/>
                <w:color w:val="auto"/>
              </w:rPr>
              <w:t>Withdrawal of Fundamental Change Repurchase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i w:val="1"/>
                <w:iCs w:val="1"/>
                <w:color w:val="auto"/>
              </w:rPr>
              <w:t>Deposit of Fundamental Change Repurchase Price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05"/>
        </w:trPr>
        <w:tc>
          <w:tcPr>
            <w:tcW w:w="93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5"/>
              </w:rPr>
              <w:t>ARTICLE 16</w:t>
            </w:r>
          </w:p>
        </w:tc>
        <w:tc>
          <w:tcPr>
            <w:tcW w:w="1420" w:type="dxa"/>
            <w:vAlign w:val="bottom"/>
          </w:tcPr>
          <w:p>
            <w:pPr>
              <w:spacing w:after="0"/>
              <w:rPr>
                <w:sz w:val="24"/>
                <w:szCs w:val="24"/>
                <w:color w:val="auto"/>
              </w:rPr>
            </w:pPr>
          </w:p>
        </w:tc>
      </w:tr>
      <w:tr>
        <w:trPr>
          <w:trHeight w:val="229"/>
        </w:trPr>
        <w:tc>
          <w:tcPr>
            <w:tcW w:w="930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tc>
        <w:tc>
          <w:tcPr>
            <w:tcW w:w="1420" w:type="dxa"/>
            <w:vAlign w:val="bottom"/>
          </w:tcPr>
          <w:p>
            <w:pPr>
              <w:spacing w:after="0"/>
              <w:rPr>
                <w:sz w:val="19"/>
                <w:szCs w:val="19"/>
                <w:color w:val="auto"/>
              </w:rPr>
            </w:pPr>
          </w:p>
        </w:tc>
      </w:tr>
      <w:tr>
        <w:trPr>
          <w:trHeight w:val="40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i w:val="1"/>
                <w:iCs w:val="1"/>
                <w:color w:val="auto"/>
              </w:rPr>
              <w:t>Notice of Optional Redemption; Selection of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Redemption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i w:val="1"/>
                <w:iCs w:val="1"/>
                <w:color w:val="auto"/>
              </w:rPr>
              <w:t>Restrictions on Redemption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05"/>
        </w:trPr>
        <w:tc>
          <w:tcPr>
            <w:tcW w:w="93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5"/>
              </w:rPr>
              <w:t>ARTICLE 17</w:t>
            </w:r>
          </w:p>
        </w:tc>
        <w:tc>
          <w:tcPr>
            <w:tcW w:w="1420" w:type="dxa"/>
            <w:vAlign w:val="bottom"/>
          </w:tcPr>
          <w:p>
            <w:pPr>
              <w:spacing w:after="0"/>
              <w:rPr>
                <w:sz w:val="24"/>
                <w:szCs w:val="24"/>
                <w:color w:val="auto"/>
              </w:rPr>
            </w:pPr>
          </w:p>
        </w:tc>
      </w:tr>
      <w:tr>
        <w:trPr>
          <w:trHeight w:val="229"/>
        </w:trPr>
        <w:tc>
          <w:tcPr>
            <w:tcW w:w="930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tc>
        <w:tc>
          <w:tcPr>
            <w:tcW w:w="1420" w:type="dxa"/>
            <w:vAlign w:val="bottom"/>
          </w:tcPr>
          <w:p>
            <w:pPr>
              <w:spacing w:after="0"/>
              <w:rPr>
                <w:sz w:val="19"/>
                <w:szCs w:val="19"/>
                <w:color w:val="auto"/>
              </w:rPr>
            </w:pPr>
          </w:p>
        </w:tc>
      </w:tr>
      <w:tr>
        <w:trPr>
          <w:trHeight w:val="403"/>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i w:val="1"/>
                <w:iCs w:val="1"/>
                <w:color w:val="auto"/>
              </w:rPr>
              <w:t>Provisions Binding on Company’s Successors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i w:val="1"/>
                <w:iCs w:val="1"/>
                <w:color w:val="auto"/>
              </w:rPr>
              <w:t>Official Acts by Successor Entity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i w:val="1"/>
                <w:iCs w:val="1"/>
                <w:color w:val="auto"/>
              </w:rPr>
              <w:t>Addresses for Notices,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i w:val="1"/>
                <w:iCs w:val="1"/>
                <w:color w:val="auto"/>
              </w:rPr>
              <w:t>Governing Law; Jurisdiction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i w:val="1"/>
                <w:iCs w:val="1"/>
                <w:color w:val="auto"/>
              </w:rPr>
              <w:t>Evidence of Compliance with Conditions Precedent; Certificates and Opinions of Counsel to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i w:val="1"/>
                <w:iCs w:val="1"/>
                <w:color w:val="auto"/>
              </w:rPr>
              <w:t>Legal Holidays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i w:val="1"/>
                <w:iCs w:val="1"/>
                <w:color w:val="auto"/>
              </w:rPr>
              <w:t>No Security Interest Created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i w:val="1"/>
                <w:iCs w:val="1"/>
                <w:color w:val="auto"/>
              </w:rPr>
              <w:t>Benefits of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i w:val="1"/>
                <w:iCs w:val="1"/>
                <w:color w:val="auto"/>
              </w:rPr>
              <w:t>Table of Contents, Headings,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i w:val="1"/>
                <w:iCs w:val="1"/>
                <w:color w:val="auto"/>
              </w:rPr>
              <w:t>Authenticating Agent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i w:val="1"/>
                <w:iCs w:val="1"/>
                <w:color w:val="auto"/>
              </w:rPr>
              <w:t>Execution in Counterparts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i w:val="1"/>
                <w:iCs w:val="1"/>
                <w:color w:val="auto"/>
              </w:rPr>
              <w:t>Severability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i w:val="1"/>
                <w:iCs w:val="1"/>
                <w:color w:val="auto"/>
              </w:rPr>
              <w:t>Waiver of Jury Trial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i w:val="1"/>
                <w:iCs w:val="1"/>
                <w:color w:val="auto"/>
              </w:rPr>
              <w:t>Force Majeure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17.15. </w:t>
            </w:r>
            <w:r>
              <w:rPr>
                <w:rFonts w:ascii="Times New Roman" w:cs="Times New Roman" w:eastAsia="Times New Roman" w:hAnsi="Times New Roman"/>
                <w:sz w:val="18"/>
                <w:szCs w:val="18"/>
                <w:i w:val="1"/>
                <w:iCs w:val="1"/>
                <w:color w:val="auto"/>
              </w:rPr>
              <w:t>Calculations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1"/>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17.17. </w:t>
            </w:r>
            <w:r>
              <w:rPr>
                <w:rFonts w:ascii="Times New Roman" w:cs="Times New Roman" w:eastAsia="Times New Roman" w:hAnsi="Times New Roman"/>
                <w:sz w:val="18"/>
                <w:szCs w:val="18"/>
                <w:i w:val="1"/>
                <w:iCs w:val="1"/>
                <w:color w:val="auto"/>
              </w:rPr>
              <w:t>Electronic Signatures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720"/>
          </w:cols>
          <w:pgMar w:left="560" w:top="264" w:right="6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EXHIBIT</w:t>
      </w:r>
    </w:p>
    <w:p>
      <w:pPr>
        <w:spacing w:after="0" w:line="244" w:lineRule="exact"/>
        <w:rPr>
          <w:sz w:val="20"/>
          <w:szCs w:val="20"/>
          <w:color w:val="auto"/>
        </w:rPr>
      </w:pPr>
    </w:p>
    <w:p>
      <w:pPr>
        <w:spacing w:after="0"/>
        <w:tabs>
          <w:tab w:leader="none" w:pos="1060" w:val="left"/>
          <w:tab w:leader="none" w:pos="104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Note</w:t>
      </w:r>
      <w:r>
        <w:rPr>
          <w:sz w:val="20"/>
          <w:szCs w:val="20"/>
          <w:color w:val="auto"/>
        </w:rPr>
        <w:tab/>
      </w:r>
      <w:r>
        <w:rPr>
          <w:rFonts w:ascii="Times New Roman" w:cs="Times New Roman" w:eastAsia="Times New Roman" w:hAnsi="Times New Roman"/>
          <w:sz w:val="17"/>
          <w:szCs w:val="17"/>
          <w:color w:val="auto"/>
        </w:rPr>
        <w:t>A-1</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780"/>
          </w:cols>
          <w:pgMar w:left="560" w:top="264" w:right="559" w:bottom="1440" w:gutter="0" w:footer="0" w:header="0"/>
        </w:sectPr>
      </w:pPr>
    </w:p>
    <w:bookmarkStart w:id="12" w:name="page13"/>
    <w:bookmarkEnd w:id="12"/>
    <w:p>
      <w:pPr>
        <w:ind w:right="40"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INDENTURE dated as of June 12, 2025 between XOMETRY, INC., a Delaware corporation, as issuer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more fully set forth in Section 1.01) and U.S. BANK TRUST COMPANY, NATIONAL ASSOCIATION, a national banking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more fully set forth in Section 1.01).</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16" w:lineRule="exact"/>
        <w:rPr>
          <w:sz w:val="20"/>
          <w:szCs w:val="20"/>
          <w:color w:val="auto"/>
        </w:rPr>
      </w:pPr>
    </w:p>
    <w:p>
      <w:pPr>
        <w:jc w:val="both"/>
        <w:ind w:firstLine="431"/>
        <w:spacing w:after="0" w:line="257" w:lineRule="auto"/>
        <w:rPr>
          <w:sz w:val="20"/>
          <w:szCs w:val="20"/>
          <w:color w:val="auto"/>
        </w:rPr>
      </w:pPr>
      <w:r>
        <w:rPr>
          <w:rFonts w:ascii="Times New Roman" w:cs="Times New Roman" w:eastAsia="Times New Roman" w:hAnsi="Times New Roman"/>
          <w:sz w:val="18"/>
          <w:szCs w:val="18"/>
          <w:color w:val="auto"/>
        </w:rPr>
        <w:t>WHEREAS, for its lawful corporate purposes, the Company has duly authorized the issuance of its 0.75%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initially in an aggregate principal amount not to exceed $250,000,000, and in order to provide the terms and conditions upon which the Notes are to be authenticated, issued and delivered, the Company has duly authorized the execution and delivery of this Indenture; and</w:t>
      </w:r>
    </w:p>
    <w:p>
      <w:pPr>
        <w:spacing w:after="0" w:line="180" w:lineRule="exact"/>
        <w:rPr>
          <w:sz w:val="20"/>
          <w:szCs w:val="20"/>
          <w:color w:val="auto"/>
        </w:rPr>
      </w:pPr>
    </w:p>
    <w:p>
      <w:pPr>
        <w:jc w:val="both"/>
        <w:ind w:right="640" w:firstLine="431"/>
        <w:spacing w:after="0" w:line="257" w:lineRule="auto"/>
        <w:rPr>
          <w:sz w:val="20"/>
          <w:szCs w:val="20"/>
          <w:color w:val="auto"/>
        </w:rPr>
      </w:pPr>
      <w:r>
        <w:rPr>
          <w:rFonts w:ascii="Times New Roman" w:cs="Times New Roman" w:eastAsia="Times New Roman" w:hAnsi="Times New Roman"/>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0" w:lineRule="exact"/>
        <w:rPr>
          <w:sz w:val="20"/>
          <w:szCs w:val="20"/>
          <w:color w:val="auto"/>
        </w:rPr>
      </w:pPr>
    </w:p>
    <w:p>
      <w:pPr>
        <w:ind w:right="40" w:firstLine="431"/>
        <w:spacing w:after="0" w:line="253" w:lineRule="auto"/>
        <w:rPr>
          <w:sz w:val="20"/>
          <w:szCs w:val="20"/>
          <w:color w:val="auto"/>
        </w:rPr>
      </w:pPr>
      <w:r>
        <w:rPr>
          <w:rFonts w:ascii="Times New Roman" w:cs="Times New Roman" w:eastAsia="Times New Roman" w:hAnsi="Times New Roman"/>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0" w:lineRule="exact"/>
        <w:rPr>
          <w:sz w:val="20"/>
          <w:szCs w:val="20"/>
          <w:color w:val="auto"/>
        </w:rPr>
      </w:pPr>
    </w:p>
    <w:p>
      <w:pPr>
        <w:ind w:right="20" w:firstLine="431"/>
        <w:spacing w:after="0" w:line="279" w:lineRule="auto"/>
        <w:rPr>
          <w:sz w:val="20"/>
          <w:szCs w:val="20"/>
          <w:color w:val="auto"/>
        </w:rPr>
      </w:pPr>
      <w:r>
        <w:rPr>
          <w:rFonts w:ascii="Times New Roman" w:cs="Times New Roman" w:eastAsia="Times New Roman" w:hAnsi="Times New Roman"/>
          <w:sz w:val="17"/>
          <w:szCs w:val="17"/>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p>
      <w:pPr>
        <w:spacing w:after="0" w:line="196" w:lineRule="exact"/>
        <w:rPr>
          <w:sz w:val="20"/>
          <w:szCs w:val="20"/>
          <w:color w:val="auto"/>
        </w:rPr>
      </w:pPr>
    </w:p>
    <w:p>
      <w:pPr>
        <w:jc w:val="both"/>
        <w:ind w:right="220" w:firstLine="431"/>
        <w:spacing w:after="0" w:line="254"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0760"/>
          </w:cols>
          <w:pgMar w:left="560" w:top="264" w:right="579" w:bottom="1440" w:gutter="0" w:footer="0" w:header="0"/>
        </w:sectPr>
      </w:pPr>
    </w:p>
    <w:bookmarkStart w:id="13" w:name="page14"/>
    <w:bookmarkEnd w:id="13"/>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Additional Interest</w:t>
      </w:r>
      <w:r>
        <w:rPr>
          <w:rFonts w:ascii="Times New Roman" w:cs="Times New Roman" w:eastAsia="Times New Roman" w:hAnsi="Times New Roman"/>
          <w:sz w:val="18"/>
          <w:szCs w:val="18"/>
          <w:color w:val="auto"/>
        </w:rPr>
        <w:t>” means all amounts, if any, payable pursuant to Section 4.06(d), Section 4.06(e) and Section 6.03, as applicable.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shall have the meaning specified in Section 14.03(a).</w:t>
      </w:r>
    </w:p>
    <w:p>
      <w:pPr>
        <w:spacing w:after="0" w:line="216" w:lineRule="exact"/>
        <w:rPr>
          <w:sz w:val="20"/>
          <w:szCs w:val="20"/>
          <w:color w:val="auto"/>
        </w:rPr>
      </w:pPr>
    </w:p>
    <w:p>
      <w:pPr>
        <w:ind w:right="140" w:firstLine="43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another Person for purposes of this Indenture shall be made based on the facts at the time such determination is made or required to be made, as the case may be, hereunder.</w:t>
      </w:r>
    </w:p>
    <w:p>
      <w:pPr>
        <w:spacing w:after="0" w:line="185" w:lineRule="exact"/>
        <w:rPr>
          <w:sz w:val="20"/>
          <w:szCs w:val="20"/>
          <w:color w:val="auto"/>
        </w:rPr>
      </w:pPr>
    </w:p>
    <w:p>
      <w:pPr>
        <w:ind w:right="52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Solicitation Agent</w:t>
      </w:r>
      <w:r>
        <w:rPr>
          <w:rFonts w:ascii="Times New Roman" w:cs="Times New Roman" w:eastAsia="Times New Roman" w:hAnsi="Times New Roman"/>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for it hereunder.</w:t>
      </w:r>
    </w:p>
    <w:p>
      <w:pPr>
        <w:spacing w:after="0" w:line="216" w:lineRule="exact"/>
        <w:rPr>
          <w:sz w:val="20"/>
          <w:szCs w:val="20"/>
          <w:color w:val="auto"/>
        </w:rPr>
      </w:pPr>
    </w:p>
    <w:p>
      <w:pPr>
        <w:jc w:val="both"/>
        <w:ind w:right="10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shall have the meaning specified in Section 11.01.</w:t>
      </w:r>
    </w:p>
    <w:p>
      <w:pPr>
        <w:spacing w:after="0" w:line="216" w:lineRule="exact"/>
        <w:rPr>
          <w:sz w:val="20"/>
          <w:szCs w:val="20"/>
          <w:color w:val="auto"/>
        </w:rPr>
      </w:pPr>
    </w:p>
    <w:p>
      <w:pPr>
        <w:ind w:right="22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Called Notes</w:t>
      </w:r>
      <w:r>
        <w:rPr>
          <w:rFonts w:ascii="Times New Roman" w:cs="Times New Roman" w:eastAsia="Times New Roman" w:hAnsi="Times New Roman"/>
          <w:sz w:val="18"/>
          <w:szCs w:val="18"/>
          <w:color w:val="auto"/>
        </w:rPr>
        <w:t>” means Notes called for Optional Redemption pursuant to Article 16 or subject to a Deemed Redemption.</w:t>
      </w:r>
    </w:p>
    <w:p>
      <w:pPr>
        <w:spacing w:after="0" w:line="216" w:lineRule="exact"/>
        <w:rPr>
          <w:sz w:val="20"/>
          <w:szCs w:val="20"/>
          <w:color w:val="auto"/>
        </w:rPr>
      </w:pPr>
    </w:p>
    <w:p>
      <w:pPr>
        <w:jc w:val="both"/>
        <w:ind w:right="8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shall have the meaning specified in Section 14.02(a).</w:t>
      </w:r>
    </w:p>
    <w:p>
      <w:pPr>
        <w:spacing w:after="0" w:line="216" w:lineRule="exact"/>
        <w:rPr>
          <w:sz w:val="20"/>
          <w:szCs w:val="20"/>
          <w:color w:val="auto"/>
        </w:rPr>
      </w:pPr>
    </w:p>
    <w:p>
      <w:pPr>
        <w:ind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Class A common stock of the Company, par value $0.000001 per share, at the date of this Indenture, subject to Section 14.07.</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40"/>
          </w:cols>
          <w:pgMar w:left="560" w:top="264" w:right="599" w:bottom="1440" w:gutter="0" w:footer="0" w:header="0"/>
        </w:sectPr>
      </w:pPr>
    </w:p>
    <w:bookmarkStart w:id="14" w:name="page15"/>
    <w:bookmarkEnd w:id="1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means the Class B common stock of the Company, par value $0.000001 per share.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shall have the meaning specified in Section 14.02(a).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16" w:lineRule="exact"/>
        <w:rPr>
          <w:sz w:val="20"/>
          <w:szCs w:val="20"/>
          <w:color w:val="auto"/>
        </w:rPr>
      </w:pPr>
    </w:p>
    <w:p>
      <w:pPr>
        <w:ind w:right="2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8" w:lineRule="exact"/>
        <w:rPr>
          <w:sz w:val="20"/>
          <w:szCs w:val="20"/>
          <w:color w:val="auto"/>
        </w:rPr>
      </w:pPr>
    </w:p>
    <w:p>
      <w:pPr>
        <w:ind w:right="1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specified in the first paragraph of this Indenture, and subject to the provisions of Article 11, shall include its successors and assigns.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Order</w:t>
      </w:r>
      <w:r>
        <w:rPr>
          <w:rFonts w:ascii="Times New Roman" w:cs="Times New Roman" w:eastAsia="Times New Roman" w:hAnsi="Times New Roman"/>
          <w:sz w:val="18"/>
          <w:szCs w:val="18"/>
          <w:color w:val="auto"/>
        </w:rPr>
        <w:t>” means a written order of the Company signed by any of its Officers and delivered to the Trustee.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Agent</w:t>
      </w:r>
      <w:r>
        <w:rPr>
          <w:rFonts w:ascii="Times New Roman" w:cs="Times New Roman" w:eastAsia="Times New Roman" w:hAnsi="Times New Roman"/>
          <w:sz w:val="18"/>
          <w:szCs w:val="18"/>
          <w:color w:val="auto"/>
        </w:rPr>
        <w:t>” shall have the meaning specified in Section 4.02.</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shall have the meaning specified in Section 14.12(a).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shall have the meaning specified in Section 14.02(c).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shall have the meaning specified in Section 14.01(a).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means as of any time, $1,000,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Conversion Rate as of such time.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shall have the meaning specified in Section 14.01(a).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shall have the meaning specified in Section 14.01(b)(iii).</w:t>
      </w:r>
    </w:p>
    <w:p>
      <w:pPr>
        <w:spacing w:after="0" w:line="216" w:lineRule="exact"/>
        <w:rPr>
          <w:sz w:val="20"/>
          <w:szCs w:val="20"/>
          <w:color w:val="auto"/>
        </w:rPr>
      </w:pPr>
    </w:p>
    <w:p>
      <w:pPr>
        <w:ind w:firstLine="431"/>
        <w:spacing w:after="0" w:line="22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Trust Office</w:t>
      </w:r>
      <w:r>
        <w:rPr>
          <w:rFonts w:ascii="Times New Roman" w:cs="Times New Roman" w:eastAsia="Times New Roman" w:hAnsi="Times New Roman"/>
          <w:sz w:val="18"/>
          <w:szCs w:val="18"/>
          <w:color w:val="auto"/>
        </w:rPr>
        <w:t>” means the designated office of the Trustee at which at any time this Indenture shall be administered, which office at the date hereof is located at U.S. Bank Trust Company, National Association, 633 West Fifth Street,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Los Angeles, CA 90071, Attention: B. Scarbrough (Xometry, Inc. Administrator),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560" w:top="264" w:right="579" w:bottom="1440" w:gutter="0" w:footer="0" w:header="0"/>
        </w:sectPr>
      </w:pPr>
    </w:p>
    <w:bookmarkStart w:id="15" w:name="page16"/>
    <w:bookmarkEnd w:id="15"/>
    <w:p>
      <w:pPr>
        <w:ind w:right="560" w:firstLine="431"/>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Trustee, as custodian for The Depository Trust Company, with respect to the Global Notes, or any successor entity thereto.</w:t>
      </w:r>
    </w:p>
    <w:p>
      <w:pPr>
        <w:spacing w:after="0" w:line="165" w:lineRule="exact"/>
        <w:rPr>
          <w:sz w:val="20"/>
          <w:szCs w:val="20"/>
          <w:color w:val="auto"/>
        </w:rPr>
      </w:pPr>
    </w:p>
    <w:p>
      <w:pPr>
        <w:ind w:right="2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Conversion Value</w:t>
      </w:r>
      <w:r>
        <w:rPr>
          <w:rFonts w:ascii="Times New Roman" w:cs="Times New Roman" w:eastAsia="Times New Roman" w:hAnsi="Times New Roman"/>
          <w:sz w:val="18"/>
          <w:szCs w:val="18"/>
          <w:color w:val="auto"/>
        </w:rPr>
        <w:t>” means, for each of the 40 consecutive Trading Days during the relevant Observation Period, 2.5% of the product of (a) the Conversion Rate on such Trading Day and (b) the Daily VWAP for such Trading Day.</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Measurement Value</w:t>
      </w:r>
      <w:r>
        <w:rPr>
          <w:rFonts w:ascii="Times New Roman" w:cs="Times New Roman" w:eastAsia="Times New Roman" w:hAnsi="Times New Roman"/>
          <w:sz w:val="18"/>
          <w:szCs w:val="18"/>
          <w:color w:val="auto"/>
        </w:rPr>
        <w:t xml:space="preserve">” means the Specified Dollar Amount (if any),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40.</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Settlement Amount</w:t>
      </w:r>
      <w:r>
        <w:rPr>
          <w:rFonts w:ascii="Times New Roman" w:cs="Times New Roman" w:eastAsia="Times New Roman" w:hAnsi="Times New Roman"/>
          <w:sz w:val="18"/>
          <w:szCs w:val="18"/>
          <w:color w:val="auto"/>
        </w:rPr>
        <w:t>,” for each of the 40 consecutive Trading Days during the relevant Observation Period, shall consist of:</w:t>
      </w:r>
    </w:p>
    <w:p>
      <w:pPr>
        <w:spacing w:after="0" w:line="112" w:lineRule="exact"/>
        <w:rPr>
          <w:sz w:val="20"/>
          <w:szCs w:val="20"/>
          <w:color w:val="auto"/>
        </w:rPr>
      </w:pPr>
    </w:p>
    <w:p>
      <w:pPr>
        <w:ind w:left="1080" w:hanging="239"/>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 an amount equal to the lesser of (i) the Daily Measurement Value and (ii) the Daily Conversion Value on such Trading Day; and</w:t>
      </w:r>
    </w:p>
    <w:p>
      <w:pPr>
        <w:spacing w:after="0" w:line="121" w:lineRule="exact"/>
        <w:rPr>
          <w:rFonts w:ascii="Times New Roman" w:cs="Times New Roman" w:eastAsia="Times New Roman" w:hAnsi="Times New Roman"/>
          <w:sz w:val="17"/>
          <w:szCs w:val="17"/>
          <w:color w:val="auto"/>
        </w:rPr>
      </w:pPr>
    </w:p>
    <w:p>
      <w:pPr>
        <w:ind w:left="420" w:right="180" w:firstLine="421"/>
        <w:spacing w:after="0" w:line="257" w:lineRule="auto"/>
        <w:tabs>
          <w:tab w:leader="none" w:pos="10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Daily Conversion Value on such Trading Day exceeds the Daily Measurement Value, a number of shares of Class A Common Stock equal to (i) the difference between the Daily Conversion Value on such Trading Day and the Daily Measurement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Daily VWAP for such Trading Day.</w:t>
      </w:r>
    </w:p>
    <w:p>
      <w:pPr>
        <w:spacing w:after="0" w:line="178"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each of the 40 consecutive Trading Days during the relevant Observation Period, the per share volume-weighted average price as displayed under the heading “Bloomberg VWAP” on Bloomberg page “XMTR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Class A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shall have the meaning specified in Section 14.01(b)(v).</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16" w:lineRule="exact"/>
        <w:rPr>
          <w:sz w:val="20"/>
          <w:szCs w:val="20"/>
          <w:color w:val="auto"/>
        </w:rPr>
      </w:pPr>
    </w:p>
    <w:p>
      <w:pPr>
        <w:ind w:right="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Settlement Method</w:t>
      </w:r>
      <w:r>
        <w:rPr>
          <w:rFonts w:ascii="Times New Roman" w:cs="Times New Roman" w:eastAsia="Times New Roman" w:hAnsi="Times New Roman"/>
          <w:sz w:val="18"/>
          <w:szCs w:val="18"/>
          <w:color w:val="auto"/>
        </w:rPr>
        <w:t>” means, initially, Combination Settlement with a Specified Dollar Amount per $1,000 principal amount of Notes of $1,000, subject to Section 14.02(a).</w:t>
      </w:r>
    </w:p>
    <w:p>
      <w:pPr>
        <w:spacing w:after="0" w:line="165" w:lineRule="exact"/>
        <w:rPr>
          <w:sz w:val="20"/>
          <w:szCs w:val="20"/>
          <w:color w:val="auto"/>
        </w:rPr>
      </w:pPr>
    </w:p>
    <w:p>
      <w:pPr>
        <w:ind w:right="80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Defaulted Amounts</w:t>
      </w:r>
      <w:r>
        <w:rPr>
          <w:rFonts w:ascii="Times New Roman" w:cs="Times New Roman" w:eastAsia="Times New Roman" w:hAnsi="Times New Roman"/>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560" w:top="264" w:right="579" w:bottom="1440" w:gutter="0" w:footer="0" w:header="0"/>
        </w:sectPr>
      </w:pPr>
    </w:p>
    <w:bookmarkStart w:id="16" w:name="page17"/>
    <w:bookmarkEnd w:id="16"/>
    <w:p>
      <w:pPr>
        <w:ind w:right="80" w:firstLine="431"/>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De-Legending Deadline Date</w:t>
      </w:r>
      <w:r>
        <w:rPr>
          <w:rFonts w:ascii="Times New Roman" w:cs="Times New Roman" w:eastAsia="Times New Roman" w:hAnsi="Times New Roman"/>
          <w:sz w:val="18"/>
          <w:szCs w:val="18"/>
          <w:color w:val="auto"/>
        </w:rPr>
        <w:t xml:space="preserve">” means, with respect to any Notes issued pursuant to the Purchase Agreement (or any Notes issued in exchange therefor or in substitution thereof) or any additional Notes issued pursuant to Section 2.10 (or any Notes issued in exchange therefor or in substitution thereof), the 380th day after the last date of original issuance of such Notes or additional Notes,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380th day is after a Regular Record Date and on or before the next Interest Payment Date, then the “De-Legending Deadline Date” for such Notes will instead be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immediately after such Interest Payment Date.</w:t>
      </w:r>
    </w:p>
    <w:p>
      <w:pPr>
        <w:spacing w:after="0" w:line="51" w:lineRule="exact"/>
        <w:rPr>
          <w:sz w:val="20"/>
          <w:szCs w:val="20"/>
          <w:color w:val="auto"/>
        </w:rPr>
      </w:pPr>
    </w:p>
    <w:p>
      <w:pPr>
        <w:jc w:val="both"/>
        <w:ind w:right="8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or include such successor.</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Financial Institution</w:t>
      </w:r>
      <w:r>
        <w:rPr>
          <w:rFonts w:ascii="Times New Roman" w:cs="Times New Roman" w:eastAsia="Times New Roman" w:hAnsi="Times New Roman"/>
          <w:sz w:val="18"/>
          <w:szCs w:val="18"/>
          <w:color w:val="auto"/>
        </w:rPr>
        <w:t>” shall have the meaning specified in Section 14.12(a).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jc w:val="both"/>
        <w:ind w:firstLine="43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shall have the meaning specified in Section 14.03(c), except that, as used in Section 14.04 and Section 14.05,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have the meaning specified in Section 6.01.</w:t>
      </w:r>
    </w:p>
    <w:p>
      <w:pPr>
        <w:spacing w:after="0" w:line="216" w:lineRule="exact"/>
        <w:rPr>
          <w:sz w:val="20"/>
          <w:szCs w:val="20"/>
          <w:color w:val="auto"/>
        </w:rPr>
      </w:pPr>
    </w:p>
    <w:p>
      <w:pPr>
        <w:ind w:right="20" w:firstLine="43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 For the avoidance of doubt, any alternative trading convention on the applicable exchange or market in respect of shares of the Class A Common Stock under a separate ticker symbol or CUSIP number will not be considered “regular way” for this purpose.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Election</w:t>
      </w:r>
      <w:r>
        <w:rPr>
          <w:rFonts w:ascii="Times New Roman" w:cs="Times New Roman" w:eastAsia="Times New Roman" w:hAnsi="Times New Roman"/>
          <w:sz w:val="18"/>
          <w:szCs w:val="18"/>
          <w:color w:val="auto"/>
        </w:rPr>
        <w:t>” shall have the meaning specified in Section 14.12(a).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Exempted Fundamental Change</w:t>
      </w:r>
      <w:r>
        <w:rPr>
          <w:rFonts w:ascii="Times New Roman" w:cs="Times New Roman" w:eastAsia="Times New Roman" w:hAnsi="Times New Roman"/>
          <w:sz w:val="18"/>
          <w:szCs w:val="18"/>
          <w:color w:val="auto"/>
        </w:rPr>
        <w:t>” shall have the meaning specified in Section 15.02(f).</w:t>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560" w:top="264" w:right="579" w:bottom="1440" w:gutter="0" w:footer="0" w:header="0"/>
        </w:sectPr>
      </w:pPr>
    </w:p>
    <w:bookmarkStart w:id="17" w:name="page18"/>
    <w:bookmarkEnd w:id="17"/>
    <w:p>
      <w:pPr>
        <w:ind w:right="380" w:firstLine="431"/>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of Assignment and Transfer</w:t>
      </w:r>
      <w:r>
        <w:rPr>
          <w:rFonts w:ascii="Times New Roman" w:cs="Times New Roman" w:eastAsia="Times New Roman" w:hAnsi="Times New Roman"/>
          <w:sz w:val="18"/>
          <w:szCs w:val="18"/>
          <w:color w:val="auto"/>
        </w:rPr>
        <w:t>” means the “Form of Assignment and Transfer” attached as Attachment 3 to the Form of Note attached hereto as Exhibit A.</w:t>
      </w:r>
    </w:p>
    <w:p>
      <w:pPr>
        <w:spacing w:after="0" w:line="165" w:lineRule="exact"/>
        <w:rPr>
          <w:sz w:val="20"/>
          <w:szCs w:val="20"/>
          <w:color w:val="auto"/>
        </w:rPr>
      </w:pPr>
    </w:p>
    <w:p>
      <w:pPr>
        <w:ind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Fundamental Change Repurchase Notice</w:t>
      </w:r>
      <w:r>
        <w:rPr>
          <w:rFonts w:ascii="Times New Roman" w:cs="Times New Roman" w:eastAsia="Times New Roman" w:hAnsi="Times New Roman"/>
          <w:sz w:val="18"/>
          <w:szCs w:val="18"/>
          <w:color w:val="auto"/>
        </w:rPr>
        <w:t>” means the “Form of Fundamental Change Repurchase Notice” attached as Attachment 2 to the Form of Note attached hereto as Exhibit A.</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Note</w:t>
      </w:r>
      <w:r>
        <w:rPr>
          <w:rFonts w:ascii="Times New Roman" w:cs="Times New Roman" w:eastAsia="Times New Roman" w:hAnsi="Times New Roman"/>
          <w:sz w:val="18"/>
          <w:szCs w:val="18"/>
          <w:color w:val="auto"/>
        </w:rPr>
        <w:t>” means the “Form of Note” attached hereto as Exhibit A.</w:t>
      </w:r>
    </w:p>
    <w:p>
      <w:pPr>
        <w:spacing w:after="0" w:line="216" w:lineRule="exact"/>
        <w:rPr>
          <w:sz w:val="20"/>
          <w:szCs w:val="20"/>
          <w:color w:val="auto"/>
        </w:rPr>
      </w:pPr>
    </w:p>
    <w:p>
      <w:pPr>
        <w:ind w:right="30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Notice of Conversion</w:t>
      </w:r>
      <w:r>
        <w:rPr>
          <w:rFonts w:ascii="Times New Roman" w:cs="Times New Roman" w:eastAsia="Times New Roman" w:hAnsi="Times New Roman"/>
          <w:sz w:val="18"/>
          <w:szCs w:val="18"/>
          <w:color w:val="auto"/>
        </w:rPr>
        <w:t>” means the “Form of Notice of Conversion” attached as Attachment 1 to the Form of Note attached hereto as Exhibit A.</w:t>
      </w:r>
    </w:p>
    <w:p>
      <w:pPr>
        <w:spacing w:after="0" w:line="165" w:lineRule="exact"/>
        <w:rPr>
          <w:sz w:val="20"/>
          <w:szCs w:val="20"/>
          <w:color w:val="auto"/>
        </w:rPr>
      </w:pPr>
    </w:p>
    <w:p>
      <w:pPr>
        <w:jc w:val="both"/>
        <w:ind w:right="120"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Group</w:t>
      </w:r>
      <w:r>
        <w:rPr>
          <w:rFonts w:ascii="Times New Roman" w:cs="Times New Roman" w:eastAsia="Times New Roman" w:hAnsi="Times New Roman"/>
          <w:sz w:val="18"/>
          <w:szCs w:val="18"/>
          <w:color w:val="auto"/>
        </w:rPr>
        <w:t>” means Randolph Altschuler together with, (i) his “Family Members” (as such term is defined in the Company’s amended and restated certificate of incorporation in effect on the date hereof), (ii) estates or legal representatives of such Family Members, (iii) trusts established for the benefit of Randolph Altschuler and his Family Members and (iv) any entity solely owned and controlled, directly or indirectly, by either Randolph Altschuler or any of the persons listed in clause (i), (ii) or (iii).</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Notes are originally issued if any of the following occurs:</w:t>
      </w:r>
    </w:p>
    <w:p>
      <w:pPr>
        <w:spacing w:after="0" w:line="112" w:lineRule="exact"/>
        <w:rPr>
          <w:sz w:val="20"/>
          <w:szCs w:val="20"/>
          <w:color w:val="auto"/>
        </w:rPr>
      </w:pPr>
    </w:p>
    <w:p>
      <w:pPr>
        <w:ind w:left="420" w:firstLine="421"/>
        <w:spacing w:after="0" w:line="246" w:lineRule="auto"/>
        <w:tabs>
          <w:tab w:leader="none" w:pos="10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transactions described in clause (b) below, (i) a “person” or “group” within the meaning of Section 13(d) of the Exchange Act, other than (w) the Company, (x) its direct or indirect Wholly Owned Subsidiaries, (y) any employee benefit plans of the Company’s or its Wholly Owned Subsidiaries or (z) any Permitted Party or any “person” or “group” consisting solely of Permitted Parties),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Class A Common Stock and/or Class B Common Stock representing more than 50% of the voting power of the then-outstanding Class A Common Stock or then-outstanding Class A Common Stock and Class B Common Stock, as the case may be, or (ii) any Permitted Party, or any “person” or “group” consisting solely of Permitted Parties, has become and files a Schedule TO (or any successor schedule, form or report) or any schedule, form or report under the Exchange Act that discloses that such Permitted Party, “person” or “group,” as applicable, has become the direct or indirect “beneficial owner,” as defined in Rule 13d-3 under the Exchange Act, of (A) Class A Common Stock representing more than 50% of the voting power of all of the then-outstanding Class A Common Stock; (B) Class A Common Stock and/or Class B Common Stock representing more than 50% of the voting power of all of the then-outstanding Class A Common Stock and Class B Common Stock; or (C) Class A Common Stock representing more than 50% of the number of the then-outstanding shares of Class A Common Stock (excluding, solely for purposes of clause (A) and this clause (C), any Class A Common Stock that such Permitted Party, “person” or “group,” as applicable, beneficially owns solely by virtue of its beneficial ownership of Class B Common Stock) unless, in the case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60" w:top="264" w:right="579" w:bottom="1440" w:gutter="0" w:footer="0" w:header="0"/>
        </w:sectPr>
      </w:pPr>
    </w:p>
    <w:bookmarkStart w:id="18" w:name="page19"/>
    <w:bookmarkEnd w:id="18"/>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of clauses (i) and (ii),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Permitted Party, “person” or “group” shall be deemed to be the beneficial owner of any securities tendered pursuant to a tender or exchange offer made by or on behalf of such Permitted Party, “person” or “group” until such tendered securities are accepted for purchase or exchange under such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voting power of the Class A Common Stock directly or indirectly “beneficially owned,” as defined in Rule 13d-3 under the Exchange Act, by a Permitted Party shall exclude (x) any shares of Class A Common Stock acquired after the date hereof or (y) any shares of the Class B Common Stock acquired after the date hereof that subsequently convert into or are reclassified as the Class A Common Stock, in each case, by such Permitted Party pursuant to equity grants of the Company outstanding on the date hereof or subsequently granted under one or more of the Company’s equity incentive plans;</w:t>
      </w:r>
    </w:p>
    <w:p>
      <w:pPr>
        <w:spacing w:after="0" w:line="88" w:lineRule="exact"/>
        <w:rPr>
          <w:sz w:val="20"/>
          <w:szCs w:val="20"/>
          <w:color w:val="auto"/>
        </w:rPr>
      </w:pPr>
    </w:p>
    <w:p>
      <w:pPr>
        <w:ind w:firstLine="421"/>
        <w:spacing w:after="0" w:line="247" w:lineRule="auto"/>
        <w:tabs>
          <w:tab w:leader="none" w:pos="6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any recapitalization, reclassification or change of the Class A Common Stock (other than a change to par value, or from par value to no par value, or changes resulting from a subdivision or combination) as a result of which the Class A Common Stock would be converted into, or exchanged for, stock, other securities, other property or assets; (B) any share exchange, consolidation or merger of the Company pursuant to which the Class A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88" w:lineRule="exact"/>
        <w:rPr>
          <w:rFonts w:ascii="Times New Roman" w:cs="Times New Roman" w:eastAsia="Times New Roman" w:hAnsi="Times New Roman"/>
          <w:sz w:val="18"/>
          <w:szCs w:val="18"/>
          <w:color w:val="auto"/>
        </w:rPr>
      </w:pPr>
    </w:p>
    <w:p>
      <w:pPr>
        <w:ind w:left="660" w:hanging="2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any plan or proposal for the liquidation or dissolution of the Company; or</w:t>
      </w:r>
    </w:p>
    <w:p>
      <w:pPr>
        <w:spacing w:after="0" w:line="109" w:lineRule="exact"/>
        <w:rPr>
          <w:rFonts w:ascii="Times New Roman" w:cs="Times New Roman" w:eastAsia="Times New Roman" w:hAnsi="Times New Roman"/>
          <w:sz w:val="18"/>
          <w:szCs w:val="18"/>
          <w:color w:val="auto"/>
        </w:rPr>
      </w:pPr>
    </w:p>
    <w:p>
      <w:pPr>
        <w:ind w:right="160" w:firstLine="421"/>
        <w:spacing w:after="0" w:line="270" w:lineRule="auto"/>
        <w:tabs>
          <w:tab w:leader="none" w:pos="6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 Common Stock (or other common stock underlying the Notes) ceases to be listed or quoted on any of The New York Stock Exchange, the Nasdaq Global Select Market or the Nasdaq Global Market (or any of their respective successors);</w:t>
      </w:r>
    </w:p>
    <w:p>
      <w:pPr>
        <w:spacing w:after="0" w:line="10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40"/>
          </w:cols>
          <w:pgMar w:left="980" w:top="266" w:right="579" w:bottom="1440" w:gutter="0" w:footer="0" w:header="0"/>
        </w:sectPr>
      </w:pPr>
    </w:p>
    <w:bookmarkStart w:id="19" w:name="page20"/>
    <w:bookmarkEnd w:id="19"/>
    <w:p>
      <w:pPr>
        <w:ind w:left="3" w:right="40"/>
        <w:spacing w:after="0" w:line="24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transaction or transactions described in clause (b) above shall not constitute a Fundamental Change, if at least 90%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Class A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92"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Company Notice</w:t>
      </w:r>
      <w:r>
        <w:rPr>
          <w:rFonts w:ascii="Times New Roman" w:cs="Times New Roman" w:eastAsia="Times New Roman" w:hAnsi="Times New Roman"/>
          <w:sz w:val="18"/>
          <w:szCs w:val="18"/>
          <w:color w:val="auto"/>
        </w:rPr>
        <w:t>” shall have the meaning specified in Section 15.02(c).</w:t>
      </w:r>
    </w:p>
    <w:p>
      <w:pPr>
        <w:spacing w:after="0" w:line="216"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have the meaning specified in Section 15.02(a).</w:t>
      </w:r>
    </w:p>
    <w:p>
      <w:pPr>
        <w:spacing w:after="0" w:line="216"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shall have the meaning specified in Section 15.02(b)(i).</w:t>
      </w:r>
    </w:p>
    <w:p>
      <w:pPr>
        <w:spacing w:after="0" w:line="216"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shall have the meaning specified in Section 15.02(a).</w:t>
      </w:r>
    </w:p>
    <w:p>
      <w:pPr>
        <w:spacing w:after="0" w:line="216"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7"/>
          <w:szCs w:val="17"/>
          <w:color w:val="auto"/>
        </w:rPr>
        <w:t>The terms “</w:t>
      </w:r>
      <w:r>
        <w:rPr>
          <w:rFonts w:ascii="Times New Roman" w:cs="Times New Roman" w:eastAsia="Times New Roman" w:hAnsi="Times New Roman"/>
          <w:sz w:val="17"/>
          <w:szCs w:val="17"/>
          <w:b w:val="1"/>
          <w:bCs w:val="1"/>
          <w:color w:val="auto"/>
        </w:rPr>
        <w:t>given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mailed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notify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sent</w:t>
      </w:r>
      <w:r>
        <w:rPr>
          <w:rFonts w:ascii="Times New Roman" w:cs="Times New Roman" w:eastAsia="Times New Roman" w:hAnsi="Times New Roman"/>
          <w:sz w:val="17"/>
          <w:szCs w:val="17"/>
          <w:color w:val="auto"/>
        </w:rPr>
        <w:t>” with respect to any notice to be given to a Holder pursuant to this Indenture, shall mean notice</w:t>
      </w:r>
    </w:p>
    <w:p>
      <w:pPr>
        <w:spacing w:after="0" w:line="35" w:lineRule="exact"/>
        <w:rPr>
          <w:sz w:val="20"/>
          <w:szCs w:val="20"/>
          <w:color w:val="auto"/>
        </w:rPr>
      </w:pPr>
    </w:p>
    <w:p>
      <w:pPr>
        <w:ind w:left="3" w:right="160" w:hanging="3"/>
        <w:spacing w:after="0" w:line="246"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spacing w:after="0" w:line="188"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specified in Section 2.05(b).</w:t>
      </w:r>
    </w:p>
    <w:p>
      <w:pPr>
        <w:spacing w:after="0" w:line="216" w:lineRule="exact"/>
        <w:rPr>
          <w:sz w:val="20"/>
          <w:szCs w:val="20"/>
          <w:color w:val="auto"/>
        </w:rPr>
      </w:pPr>
    </w:p>
    <w:p>
      <w:pPr>
        <w:ind w:left="3"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applied to any Note, or other similar terms (but excluding the term “beneficial holder”), means any Person in whose name at the time a particular Note is registered on the Note Register.</w:t>
      </w:r>
    </w:p>
    <w:p>
      <w:pPr>
        <w:spacing w:after="0" w:line="165" w:lineRule="exact"/>
        <w:rPr>
          <w:sz w:val="20"/>
          <w:szCs w:val="20"/>
          <w:color w:val="auto"/>
        </w:rPr>
      </w:pPr>
    </w:p>
    <w:p>
      <w:pPr>
        <w:jc w:val="center"/>
        <w:ind w:left="720" w:right="260"/>
        <w:spacing w:after="0" w:line="4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this instrument as originally executed or, if amended or supplemented as herein provided, as so amended or supplemented. 8</w:t>
      </w:r>
    </w:p>
    <w:p>
      <w:pPr>
        <w:sectPr>
          <w:pgSz w:w="11900" w:h="16838" w:orient="portrait"/>
          <w:cols w:equalWidth="0" w:num="1">
            <w:col w:w="10763"/>
          </w:cols>
          <w:pgMar w:left="557" w:top="264" w:right="57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means the several initial purchasers named in Schedule I to the Purchase Agreement.</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each June 15 and December 15 of each year, beginning on December 15, 2025.</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shall have the meaning specified in Section 14.02(a)(iii).</w:t>
      </w:r>
    </w:p>
    <w:p>
      <w:pPr>
        <w:spacing w:after="0" w:line="216"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date of original issuance</w:t>
      </w:r>
      <w:r>
        <w:rPr>
          <w:rFonts w:ascii="Times New Roman" w:cs="Times New Roman" w:eastAsia="Times New Roman" w:hAnsi="Times New Roman"/>
          <w:sz w:val="18"/>
          <w:szCs w:val="18"/>
          <w:color w:val="auto"/>
        </w:rPr>
        <w:t>” means (a) with respect to the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85"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Class A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Common Stock (or such other security) is traded. If the Class A Common Stock (or such other security) is not listed for trading on a U.S. national or regional securities exchange on the relevant date,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last quoted bid price for the Class A Common Stock (or such other security) in the over-the-counter market on the relevant date as reported by OTC Markets Group Inc. or a similar organization. If the Class A Common Stock (or such other security) is not so quoted,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 The “</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shall be determined without regard to after-hours trading or any other trading outside of regular trading session hours.</w:t>
      </w:r>
    </w:p>
    <w:p>
      <w:pPr>
        <w:spacing w:after="0" w:line="185" w:lineRule="exact"/>
        <w:rPr>
          <w:sz w:val="20"/>
          <w:szCs w:val="20"/>
          <w:color w:val="auto"/>
        </w:rPr>
      </w:pPr>
    </w:p>
    <w:p>
      <w:pPr>
        <w:ind w:right="120" w:firstLine="431"/>
        <w:spacing w:after="0" w:line="30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Make-Whole Fundamental Change</w:t>
      </w:r>
      <w:r>
        <w:rPr>
          <w:rFonts w:ascii="Times New Roman" w:cs="Times New Roman" w:eastAsia="Times New Roman" w:hAnsi="Times New Roman"/>
          <w:sz w:val="17"/>
          <w:szCs w:val="17"/>
          <w:color w:val="auto"/>
        </w:rPr>
        <w:t xml:space="preserve">” means any transaction or event that constitutes a Fundamental Change (as defined above and determined after giving effect to any exceptions to or exclusions from such definition, but without regard to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 (b) of the definition thereof).</w:t>
      </w:r>
    </w:p>
    <w:p>
      <w:pPr>
        <w:spacing w:after="0" w:line="1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shall have the meaning specified in Section 14.03(a).</w:t>
      </w:r>
    </w:p>
    <w:p>
      <w:pPr>
        <w:spacing w:after="0" w:line="15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60"/>
          </w:cols>
          <w:pgMar w:left="560" w:top="264" w:right="579" w:bottom="1440" w:gutter="0" w:footer="0" w:header="0"/>
        </w:sectPr>
      </w:pPr>
    </w:p>
    <w:bookmarkStart w:id="21" w:name="page22"/>
    <w:bookmarkEnd w:id="21"/>
    <w:p>
      <w:pPr>
        <w:ind w:firstLine="43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amounts due upon conversion (a) a failure by the primary U.S. national or regional securities exchange or market on which the Class A Common Stock is listed or admitted for trading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or in any options contracts or futures contracts relating to the Class A Common Stock.</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June 15, 2030.</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Measurement Period</w:t>
      </w:r>
      <w:r>
        <w:rPr>
          <w:rFonts w:ascii="Times New Roman" w:cs="Times New Roman" w:eastAsia="Times New Roman" w:hAnsi="Times New Roman"/>
          <w:sz w:val="18"/>
          <w:szCs w:val="18"/>
          <w:color w:val="auto"/>
        </w:rPr>
        <w:t>” shall have the meaning specified in Section 14.01(b)(i).</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meaning specified in the first paragraph of the recitals of this Indenture.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Register</w:t>
      </w:r>
      <w:r>
        <w:rPr>
          <w:rFonts w:ascii="Times New Roman" w:cs="Times New Roman" w:eastAsia="Times New Roman" w:hAnsi="Times New Roman"/>
          <w:sz w:val="18"/>
          <w:szCs w:val="18"/>
          <w:color w:val="auto"/>
        </w:rPr>
        <w:t>” shall have the meaning specified in Section 2.05(a).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Registrar</w:t>
      </w:r>
      <w:r>
        <w:rPr>
          <w:rFonts w:ascii="Times New Roman" w:cs="Times New Roman" w:eastAsia="Times New Roman" w:hAnsi="Times New Roman"/>
          <w:sz w:val="18"/>
          <w:szCs w:val="18"/>
          <w:color w:val="auto"/>
        </w:rPr>
        <w:t>” shall have the meaning specified in Section 2.05(a).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shall have the meaning specified in Section 14.02(b).</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Redemption</w:t>
      </w:r>
      <w:r>
        <w:rPr>
          <w:rFonts w:ascii="Times New Roman" w:cs="Times New Roman" w:eastAsia="Times New Roman" w:hAnsi="Times New Roman"/>
          <w:sz w:val="18"/>
          <w:szCs w:val="18"/>
          <w:color w:val="auto"/>
        </w:rPr>
        <w:t>” shall have the meaning specified in Section 16.02(a).</w:t>
      </w:r>
    </w:p>
    <w:p>
      <w:pPr>
        <w:spacing w:after="0" w:line="216" w:lineRule="exact"/>
        <w:rPr>
          <w:sz w:val="20"/>
          <w:szCs w:val="20"/>
          <w:color w:val="auto"/>
        </w:rPr>
      </w:pPr>
    </w:p>
    <w:p>
      <w:pPr>
        <w:ind w:right="60" w:firstLine="43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Observation Period</w:t>
      </w:r>
      <w:r>
        <w:rPr>
          <w:rFonts w:ascii="Times New Roman" w:cs="Times New Roman" w:eastAsia="Times New Roman" w:hAnsi="Times New Roman"/>
          <w:sz w:val="18"/>
          <w:szCs w:val="18"/>
          <w:color w:val="auto"/>
        </w:rPr>
        <w:t>” with respect to any Note surrendered for conversion means: (i) subject to clause (ii), if the relevant Conversion Date occurs prior to March 15, 2030, the 40 consecutive Trading Day period beginning on, and including, the second Trading Day immediately succeeding such Conversion Date; (ii) with respect to any Called Notes, if the relevant Conversion Date occurs during the related Redemption Period, the 40 consecutive Trading Days beginning on, and including, the 41st Scheduled Trading Day immediately preceding such Redemption Date; and (iii) subject to clause (ii), if the relevant Conversion Date occurs on or after March 15, 2030, the 40 consecutive Trading Days beginning on, and including, the 41st Scheduled Trading Day immediately preceding the Maturity Date.</w:t>
      </w:r>
    </w:p>
    <w:p>
      <w:pPr>
        <w:spacing w:after="0" w:line="185" w:lineRule="exact"/>
        <w:rPr>
          <w:sz w:val="20"/>
          <w:szCs w:val="20"/>
          <w:color w:val="auto"/>
        </w:rPr>
      </w:pPr>
    </w:p>
    <w:p>
      <w:pPr>
        <w:ind w:right="22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preliminary offering memorandum dated June 9, 2025, as supplemented by the related pricing term sheet dated June 9, 2025, relating to the offering and sale of the Notes.</w:t>
      </w:r>
    </w:p>
    <w:p>
      <w:pPr>
        <w:spacing w:after="0" w:line="165" w:lineRule="exact"/>
        <w:rPr>
          <w:sz w:val="20"/>
          <w:szCs w:val="20"/>
          <w:color w:val="auto"/>
        </w:rPr>
      </w:pPr>
    </w:p>
    <w:p>
      <w:pPr>
        <w:ind w:right="6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with respect to the Company, the Chief Executive Officer, the President, the Chief Financial Officer, the Chief Operating Officer, the General Counsel, the Treasurer, the Secretary, any Executive or Senior Vice President or any Vice President (whether or not designated by a number or numbers or word or words added before or after the title “Vice President”).</w:t>
      </w:r>
    </w:p>
    <w:p>
      <w:pPr>
        <w:spacing w:after="0" w:line="178" w:lineRule="exact"/>
        <w:rPr>
          <w:sz w:val="20"/>
          <w:szCs w:val="20"/>
          <w:color w:val="auto"/>
        </w:rPr>
      </w:pPr>
    </w:p>
    <w:p>
      <w:pPr>
        <w:ind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0"/>
          </w:cols>
          <w:pgMar w:left="560" w:top="264" w:right="57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16" w:lineRule="exact"/>
        <w:rPr>
          <w:sz w:val="20"/>
          <w:szCs w:val="20"/>
          <w:color w:val="auto"/>
        </w:rPr>
      </w:pPr>
    </w:p>
    <w:p>
      <w:pPr>
        <w:ind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shall have the meaning specified in Section 16.01.</w:t>
      </w:r>
    </w:p>
    <w:p>
      <w:pPr>
        <w:spacing w:after="0" w:line="216" w:lineRule="exact"/>
        <w:rPr>
          <w:sz w:val="20"/>
          <w:szCs w:val="20"/>
          <w:color w:val="auto"/>
        </w:rPr>
      </w:pPr>
    </w:p>
    <w:p>
      <w:pPr>
        <w:ind w:right="3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61" w:lineRule="exact"/>
        <w:rPr>
          <w:sz w:val="20"/>
          <w:szCs w:val="20"/>
          <w:color w:val="auto"/>
        </w:rPr>
      </w:pPr>
    </w:p>
    <w:p>
      <w:pPr>
        <w:ind w:left="1080" w:hanging="239"/>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theretofore canceled by the Trustee or accepted by the Trustee for cancellation;</w:t>
      </w:r>
    </w:p>
    <w:p>
      <w:pPr>
        <w:spacing w:after="0" w:line="109" w:lineRule="exact"/>
        <w:rPr>
          <w:rFonts w:ascii="Times New Roman" w:cs="Times New Roman" w:eastAsia="Times New Roman" w:hAnsi="Times New Roman"/>
          <w:sz w:val="18"/>
          <w:szCs w:val="18"/>
          <w:color w:val="auto"/>
        </w:rPr>
      </w:pPr>
    </w:p>
    <w:p>
      <w:pPr>
        <w:ind w:left="420" w:right="60" w:firstLine="421"/>
        <w:spacing w:after="0" w:line="257" w:lineRule="auto"/>
        <w:tabs>
          <w:tab w:leader="none" w:pos="10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74" w:lineRule="exact"/>
        <w:rPr>
          <w:rFonts w:ascii="Times New Roman" w:cs="Times New Roman" w:eastAsia="Times New Roman" w:hAnsi="Times New Roman"/>
          <w:sz w:val="18"/>
          <w:szCs w:val="18"/>
          <w:color w:val="auto"/>
        </w:rPr>
      </w:pPr>
    </w:p>
    <w:p>
      <w:pPr>
        <w:ind w:left="420" w:right="20" w:firstLine="421"/>
        <w:spacing w:after="0" w:line="257" w:lineRule="auto"/>
        <w:tabs>
          <w:tab w:leader="none" w:pos="10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74"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converted pursuant to Article 14 and required to be cancelled pursuant to Section 2.08;</w:t>
      </w:r>
    </w:p>
    <w:p>
      <w:pPr>
        <w:spacing w:after="0" w:line="109" w:lineRule="exact"/>
        <w:rPr>
          <w:rFonts w:ascii="Times New Roman" w:cs="Times New Roman" w:eastAsia="Times New Roman" w:hAnsi="Times New Roman"/>
          <w:sz w:val="18"/>
          <w:szCs w:val="18"/>
          <w:color w:val="auto"/>
        </w:rPr>
      </w:pPr>
    </w:p>
    <w:p>
      <w:pPr>
        <w:ind w:left="420" w:right="200" w:firstLine="421"/>
        <w:spacing w:after="0" w:line="270" w:lineRule="auto"/>
        <w:tabs>
          <w:tab w:leader="none" w:pos="10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(i) Section 15.02 and (ii) Section 2.10 and delivered to the Trustee for cancellation in accordance with Section 2.10; and</w:t>
      </w:r>
    </w:p>
    <w:p>
      <w:pPr>
        <w:spacing w:after="0" w:line="62" w:lineRule="exact"/>
        <w:rPr>
          <w:rFonts w:ascii="Times New Roman" w:cs="Times New Roman" w:eastAsia="Times New Roman" w:hAnsi="Times New Roman"/>
          <w:sz w:val="18"/>
          <w:szCs w:val="18"/>
          <w:color w:val="auto"/>
        </w:rPr>
      </w:pPr>
    </w:p>
    <w:p>
      <w:pPr>
        <w:ind w:left="1060" w:hanging="219"/>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redeemed pursuant to Article 16.</w:t>
      </w: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Partial Redemption Limitation</w:t>
      </w:r>
      <w:r>
        <w:rPr>
          <w:rFonts w:ascii="Times New Roman" w:cs="Times New Roman" w:eastAsia="Times New Roman" w:hAnsi="Times New Roman"/>
          <w:sz w:val="18"/>
          <w:szCs w:val="18"/>
          <w:color w:val="auto"/>
        </w:rPr>
        <w:t>” shall have the meaning specified in Section 16.02(d).</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shall have the meaning specified in Section 4.02.</w:t>
      </w:r>
    </w:p>
    <w:p>
      <w:pPr>
        <w:spacing w:after="0" w:line="1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60"/>
          </w:cols>
          <w:pgMar w:left="560" w:top="264" w:right="679" w:bottom="1440" w:gutter="0" w:footer="0" w:header="0"/>
        </w:sectPr>
      </w:pPr>
    </w:p>
    <w:bookmarkStart w:id="23" w:name="page24"/>
    <w:bookmarkEnd w:id="23"/>
    <w:p>
      <w:pPr>
        <w:ind w:right="160" w:firstLine="431"/>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means any of the Founder Group and, with respect to the Class B Common Stock, any other “Permitted Transferee” (as such term is defined in the Company’s amended and restated certificate of incorporation in effect on the date hereof).</w:t>
      </w:r>
    </w:p>
    <w:p>
      <w:pPr>
        <w:spacing w:after="0" w:line="165" w:lineRule="exact"/>
        <w:rPr>
          <w:sz w:val="20"/>
          <w:szCs w:val="20"/>
          <w:color w:val="auto"/>
        </w:rPr>
      </w:pPr>
    </w:p>
    <w:p>
      <w:pPr>
        <w:ind w:right="2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5" w:lineRule="exact"/>
        <w:rPr>
          <w:sz w:val="20"/>
          <w:szCs w:val="20"/>
          <w:color w:val="auto"/>
        </w:rPr>
      </w:pPr>
    </w:p>
    <w:p>
      <w:pPr>
        <w:ind w:right="6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Notes</w:t>
      </w:r>
      <w:r>
        <w:rPr>
          <w:rFonts w:ascii="Times New Roman" w:cs="Times New Roman" w:eastAsia="Times New Roman" w:hAnsi="Times New Roman"/>
          <w:sz w:val="18"/>
          <w:szCs w:val="18"/>
          <w:color w:val="auto"/>
        </w:rPr>
        <w:t>” means permanent certificated Notes in registered form issued in denominations of $1,000 principal amount and integral multiples thereof.</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Physical Settlement</w:t>
      </w:r>
      <w:r>
        <w:rPr>
          <w:rFonts w:ascii="Times New Roman" w:cs="Times New Roman" w:eastAsia="Times New Roman" w:hAnsi="Times New Roman"/>
          <w:sz w:val="18"/>
          <w:szCs w:val="18"/>
          <w:color w:val="auto"/>
        </w:rPr>
        <w:t>” shall have the meaning specified in Section 14.02(a).</w:t>
      </w:r>
    </w:p>
    <w:p>
      <w:pPr>
        <w:spacing w:after="0" w:line="216" w:lineRule="exact"/>
        <w:rPr>
          <w:sz w:val="20"/>
          <w:szCs w:val="20"/>
          <w:color w:val="auto"/>
        </w:rPr>
      </w:pPr>
    </w:p>
    <w:p>
      <w:pPr>
        <w:ind w:right="400" w:firstLine="43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Predecessor Note</w:t>
      </w:r>
      <w:r>
        <w:rPr>
          <w:rFonts w:ascii="Times New Roman" w:cs="Times New Roman" w:eastAsia="Times New Roman" w:hAnsi="Times New Roman"/>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8" w:lineRule="exact"/>
        <w:rPr>
          <w:sz w:val="20"/>
          <w:szCs w:val="20"/>
          <w:color w:val="auto"/>
        </w:rPr>
      </w:pPr>
    </w:p>
    <w:p>
      <w:pPr>
        <w:ind w:right="14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June 9, 2025, between the Company and Goldman Sachs &amp; Co. LLC and J.P. Morgan Securities LLC, as representatives of the several Initial Purchasers.</w:t>
      </w:r>
    </w:p>
    <w:p>
      <w:pPr>
        <w:spacing w:after="0" w:line="165" w:lineRule="exact"/>
        <w:rPr>
          <w:sz w:val="20"/>
          <w:szCs w:val="20"/>
          <w:color w:val="auto"/>
        </w:rPr>
      </w:pPr>
    </w:p>
    <w:p>
      <w:pPr>
        <w:ind w:firstLine="431"/>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Qualified Successor Entity</w:t>
      </w:r>
      <w:r>
        <w:rPr>
          <w:rFonts w:ascii="Times New Roman" w:cs="Times New Roman" w:eastAsia="Times New Roman" w:hAnsi="Times New Roman"/>
          <w:sz w:val="17"/>
          <w:szCs w:val="17"/>
          <w:color w:val="auto"/>
        </w:rPr>
        <w:t xml:space="preserve">” means, with respect to a Business Combination Event, a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shall not be treated as an exchange under Section 1001 of the U.S. Internal Revenue Code of 1986, as amended, for Holders or beneficial owners of the Notes and (y) such limited liability company or limited partnership is a direct or indirect, Wholly Owned Subsidiary of a corporation duly organized and existing under the laws of the United States of America, any state thereof or the District of Columbia; (2) such Business Combination Event constitutes a Share Exchange Event whose Reference Property consists solely of any combination of U.S. dollars and shares of common stock or other corporate Common Equity interests of a corporation described in clause (1)(y); and (3) if such limited liability company or limited partnership is disregarded as separate from its owner for U.S. federal income tax purposes, its regarded owner for those purposes is an entity described in clause (1)(y).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560" w:top="264" w:right="559" w:bottom="1440" w:gutter="0" w:footer="0" w:header="0"/>
        </w:sectPr>
      </w:pPr>
    </w:p>
    <w:bookmarkStart w:id="24" w:name="page25"/>
    <w:bookmarkEnd w:id="24"/>
    <w:p>
      <w:pPr>
        <w:ind w:right="60"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the Class A Common Stock (or such other security) entitled to receive such cash, securities or other property (whether such date is fixed by the Board of Directors, by statute, by contract or otherwise).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have the meaning specified in Section 16.02(a).</w:t>
      </w:r>
    </w:p>
    <w:p>
      <w:pPr>
        <w:spacing w:after="0" w:line="216" w:lineRule="exact"/>
        <w:rPr>
          <w:sz w:val="20"/>
          <w:szCs w:val="20"/>
          <w:color w:val="auto"/>
        </w:rPr>
      </w:pPr>
    </w:p>
    <w:p>
      <w:pPr>
        <w:ind w:right="20"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Period</w:t>
      </w:r>
      <w:r>
        <w:rPr>
          <w:rFonts w:ascii="Times New Roman" w:cs="Times New Roman" w:eastAsia="Times New Roman" w:hAnsi="Times New Roman"/>
          <w:sz w:val="18"/>
          <w:szCs w:val="18"/>
          <w:color w:val="auto"/>
        </w:rPr>
        <w:t>” 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spacing w:after="0" w:line="180" w:lineRule="exact"/>
        <w:rPr>
          <w:sz w:val="20"/>
          <w:szCs w:val="20"/>
          <w:color w:val="auto"/>
        </w:rPr>
      </w:pPr>
    </w:p>
    <w:p>
      <w:pPr>
        <w:jc w:val="both"/>
        <w:ind w:right="60" w:firstLine="43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means, for any Notes to be redeemed pursuant to Section 16.01, 100% of the principal amount of such Notes,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shall have the meaning specified in Section 14.07(a).</w:t>
      </w:r>
    </w:p>
    <w:p>
      <w:pPr>
        <w:spacing w:after="0" w:line="216" w:lineRule="exact"/>
        <w:rPr>
          <w:sz w:val="20"/>
          <w:szCs w:val="20"/>
          <w:color w:val="auto"/>
        </w:rPr>
      </w:pPr>
    </w:p>
    <w:p>
      <w:pPr>
        <w:ind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Regular Record Date</w:t>
      </w:r>
      <w:r>
        <w:rPr>
          <w:rFonts w:ascii="Times New Roman" w:cs="Times New Roman" w:eastAsia="Times New Roman" w:hAnsi="Times New Roman"/>
          <w:sz w:val="18"/>
          <w:szCs w:val="18"/>
          <w:color w:val="auto"/>
        </w:rPr>
        <w:t>,” with respect to any Interest Payment Date, means the June 1 or December 1 (whether or not such day is a Business Day) immediately preceding the applicable June 15 or December 15 Interest Payment Date, respectively.</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Reporting Event of Default</w:t>
      </w:r>
      <w:r>
        <w:rPr>
          <w:rFonts w:ascii="Times New Roman" w:cs="Times New Roman" w:eastAsia="Times New Roman" w:hAnsi="Times New Roman"/>
          <w:sz w:val="18"/>
          <w:szCs w:val="18"/>
          <w:color w:val="auto"/>
        </w:rPr>
        <w:t>” shall have the meaning specified in Section 6.03.</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shall have the meaning specified in Section 2.05(c).</w:t>
      </w:r>
    </w:p>
    <w:p>
      <w:pPr>
        <w:spacing w:after="0" w:line="216" w:lineRule="exact"/>
        <w:rPr>
          <w:sz w:val="20"/>
          <w:szCs w:val="20"/>
          <w:color w:val="auto"/>
        </w:rPr>
      </w:pPr>
    </w:p>
    <w:p>
      <w:pPr>
        <w:ind w:right="100" w:firstLine="43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40"/>
          </w:cols>
          <w:pgMar w:left="560" w:top="264" w:right="599" w:bottom="1440" w:gutter="0" w:footer="0" w:header="0"/>
        </w:sectPr>
      </w:pPr>
    </w:p>
    <w:bookmarkStart w:id="25" w:name="page26"/>
    <w:bookmarkEnd w:id="25"/>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have the meaning specified in Section 2.05(c).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shall have the meaning specified in Section 2.05(c).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16" w:lineRule="exact"/>
        <w:rPr>
          <w:sz w:val="20"/>
          <w:szCs w:val="20"/>
          <w:color w:val="auto"/>
        </w:rPr>
      </w:pPr>
    </w:p>
    <w:p>
      <w:pPr>
        <w:ind w:right="24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Class A Common Stock is listed or admitted for trading. If the Class A Common Stock is not so listed or admitted for trading, “</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Business Day.</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has the meaning specified in Section 14.02(a)(iv).</w:t>
      </w:r>
    </w:p>
    <w:p>
      <w:pPr>
        <w:spacing w:after="0" w:line="216" w:lineRule="exact"/>
        <w:rPr>
          <w:sz w:val="20"/>
          <w:szCs w:val="20"/>
          <w:color w:val="auto"/>
        </w:rPr>
      </w:pPr>
    </w:p>
    <w:p>
      <w:pPr>
        <w:ind w:right="40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Method</w:t>
      </w:r>
      <w:r>
        <w:rPr>
          <w:rFonts w:ascii="Times New Roman" w:cs="Times New Roman" w:eastAsia="Times New Roman" w:hAnsi="Times New Roman"/>
          <w:sz w:val="18"/>
          <w:szCs w:val="18"/>
          <w:color w:val="auto"/>
        </w:rPr>
        <w:t>” means, with respect to any conversion of Notes, Physical Settlement, Cash Settlement or Combination Settlement, as elected (or deemed to have been elected) by the Company.</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has the meaning specified in Section 14.02(a)(iii).</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shall have the meaning specified in Section 14.07(a).</w:t>
      </w:r>
    </w:p>
    <w:p>
      <w:pPr>
        <w:spacing w:after="0" w:line="216" w:lineRule="exact"/>
        <w:rPr>
          <w:sz w:val="20"/>
          <w:szCs w:val="20"/>
          <w:color w:val="auto"/>
        </w:rPr>
      </w:pPr>
    </w:p>
    <w:p>
      <w:pPr>
        <w:ind w:right="72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 Subsidiary of the Company that is a “significant subsidiary” as defined in Article 1, Rule 1-02(w) of Regulation S-X promulgated by the Commission (or any successor rule).</w:t>
      </w:r>
    </w:p>
    <w:p>
      <w:pPr>
        <w:spacing w:after="0" w:line="165" w:lineRule="exact"/>
        <w:rPr>
          <w:sz w:val="20"/>
          <w:szCs w:val="20"/>
          <w:color w:val="auto"/>
        </w:rPr>
      </w:pPr>
    </w:p>
    <w:p>
      <w:pPr>
        <w:ind w:right="20" w:firstLine="431"/>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Dollar Amount</w:t>
      </w:r>
      <w:r>
        <w:rPr>
          <w:rFonts w:ascii="Times New Roman" w:cs="Times New Roman" w:eastAsia="Times New Roman" w:hAnsi="Times New Roman"/>
          <w:sz w:val="18"/>
          <w:szCs w:val="18"/>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shall have the meaning specified in Section 14.03(c).</w:t>
      </w:r>
    </w:p>
    <w:p>
      <w:pPr>
        <w:spacing w:after="0" w:line="216" w:lineRule="exact"/>
        <w:rPr>
          <w:sz w:val="20"/>
          <w:szCs w:val="20"/>
          <w:color w:val="auto"/>
        </w:rPr>
      </w:pPr>
    </w:p>
    <w:p>
      <w:pPr>
        <w:ind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have the meaning specified in Section 11.01(a).</w:t>
      </w:r>
    </w:p>
    <w:p>
      <w:pPr>
        <w:spacing w:after="0" w:line="1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00"/>
          </w:cols>
          <w:pgMar w:left="560" w:top="264" w:right="639" w:bottom="1440" w:gutter="0" w:footer="0" w:header="0"/>
        </w:sectPr>
      </w:pPr>
    </w:p>
    <w:bookmarkStart w:id="26" w:name="page27"/>
    <w:bookmarkEnd w:id="26"/>
    <w:p>
      <w:pPr>
        <w:ind w:left="3" w:right="100" w:firstLine="431"/>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except for determining amounts due upon conversion, a day on which (i) trading in the Class A Common Stock (or other security for which a closing sale price must be determined) generally occurs on the Nasdaq Global Select Market or, if the Class A Common Stock (or such other security) is not then listed on the Nasdaq Global Select Market, on the principal other U.S. national or regional securities exchange on which the Class A Common Stock (or such other security) is then listed or, if the Class A Common Stock (or such other security) is not then listed on a U.S. national or regional securities exchange, on the principal other market on which the Class A Common Stock (or such other security) is then traded and</w:t>
      </w:r>
    </w:p>
    <w:p>
      <w:pPr>
        <w:spacing w:after="0" w:line="1" w:lineRule="exact"/>
        <w:rPr>
          <w:sz w:val="20"/>
          <w:szCs w:val="20"/>
          <w:color w:val="auto"/>
        </w:rPr>
      </w:pPr>
    </w:p>
    <w:p>
      <w:pPr>
        <w:ind w:left="3" w:right="40" w:hanging="3"/>
        <w:spacing w:after="0" w:line="245"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Last Reported Sale Price for the Class A Common Stock (or closing sale price for such other security) is available on such securities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Class A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for purposes of determining amounts due upon conversion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Disruption Event and (y) trading in the Class A Common Stock generally occurs on the Nasdaq Global Select Market or, if the Class A Common Stock is not then listed on the Nasdaq Global Select Market, on the principal other U.S. national or regional securities exchange on which the Class A Common Stock is then listed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91" w:lineRule="exact"/>
        <w:rPr>
          <w:sz w:val="20"/>
          <w:szCs w:val="20"/>
          <w:color w:val="auto"/>
        </w:rPr>
      </w:pPr>
    </w:p>
    <w:p>
      <w:pPr>
        <w:ind w:left="3" w:firstLine="431"/>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Price</w:t>
      </w:r>
      <w:r>
        <w:rPr>
          <w:rFonts w:ascii="Times New Roman" w:cs="Times New Roman" w:eastAsia="Times New Roman" w:hAnsi="Times New Roman"/>
          <w:sz w:val="18"/>
          <w:szCs w:val="18"/>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principal amount of Notes from a nationally recognized securities dealer, then the Trading Price per $1,000 principal amount of Notes on such determination date shall be deemed to be less than 98% of the product of the Last Reported Sale Price of the Class A Common Stock and the Conversion Rate.</w:t>
      </w:r>
    </w:p>
    <w:p>
      <w:pPr>
        <w:spacing w:after="0" w:line="190"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have the meaning specified in Section 2.05(c).</w:t>
      </w:r>
    </w:p>
    <w:p>
      <w:pPr>
        <w:spacing w:after="0" w:line="216"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left="3" w:right="80" w:firstLine="43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 xml:space="preserve">” means the Trust Indenture Act of 1939, as amended, as it was in force at the date of execution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the date hereof, the term “Trust Indenture Act” shall mean,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such amendment, the Trust Indenture Act of 1939, as so amended.</w:t>
      </w:r>
    </w:p>
    <w:p>
      <w:pPr>
        <w:spacing w:after="0" w:line="178" w:lineRule="exact"/>
        <w:rPr>
          <w:sz w:val="20"/>
          <w:szCs w:val="20"/>
          <w:color w:val="auto"/>
        </w:rPr>
      </w:pPr>
    </w:p>
    <w:p>
      <w:pPr>
        <w:ind w:left="3" w:right="400" w:firstLine="431"/>
        <w:spacing w:after="0" w:line="30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Person named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in the first paragraph of this Indenture until a successor trustee shall have become such pursuant to the applicable provisions of this Indenture, and thereafter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shall mean or include each Person who is then a Trustee hereunder.</w:t>
      </w:r>
    </w:p>
    <w:p>
      <w:pPr>
        <w:spacing w:after="0" w:line="7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3"/>
          </w:cols>
          <w:pgMar w:left="557" w:top="264" w:right="559" w:bottom="1440" w:gutter="0" w:footer="0" w:header="0"/>
        </w:sectPr>
      </w:pPr>
    </w:p>
    <w:bookmarkStart w:id="27" w:name="page28"/>
    <w:bookmarkEnd w:id="2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shall have the meaning specified in Section 14.07(a).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shall have the meaning specified in Section 14.04(c).</w:t>
      </w:r>
    </w:p>
    <w:p>
      <w:pPr>
        <w:spacing w:after="0" w:line="216" w:lineRule="exact"/>
        <w:rPr>
          <w:sz w:val="20"/>
          <w:szCs w:val="20"/>
          <w:color w:val="auto"/>
        </w:rPr>
      </w:pPr>
    </w:p>
    <w:p>
      <w:pPr>
        <w:ind w:firstLine="43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80" w:lineRule="exact"/>
        <w:rPr>
          <w:sz w:val="20"/>
          <w:szCs w:val="20"/>
          <w:color w:val="auto"/>
        </w:rPr>
      </w:pPr>
    </w:p>
    <w:p>
      <w:pPr>
        <w:ind w:right="60" w:firstLine="431"/>
        <w:spacing w:after="0" w:line="254"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References to Interest.</w:t>
      </w:r>
      <w:r>
        <w:rPr>
          <w:rFonts w:ascii="Times New Roman" w:cs="Times New Roman" w:eastAsia="Times New Roman" w:hAnsi="Times New Roman"/>
          <w:sz w:val="18"/>
          <w:szCs w:val="18"/>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SSUE</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ESCRIPTION</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XECUTION</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EGISTRATION AND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196" w:lineRule="exact"/>
        <w:rPr>
          <w:sz w:val="20"/>
          <w:szCs w:val="20"/>
          <w:color w:val="auto"/>
        </w:rPr>
      </w:pPr>
    </w:p>
    <w:p>
      <w:pPr>
        <w:ind w:right="40" w:firstLine="431"/>
        <w:spacing w:after="0" w:line="254"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Designation and Amount.</w:t>
      </w:r>
      <w:r>
        <w:rPr>
          <w:rFonts w:ascii="Times New Roman" w:cs="Times New Roman" w:eastAsia="Times New Roman" w:hAnsi="Times New Roman"/>
          <w:sz w:val="18"/>
          <w:szCs w:val="18"/>
          <w:color w:val="auto"/>
        </w:rPr>
        <w:t xml:space="preserve"> The Notes shall be designated as the “0.75% Convertible Senior Notes due 2030.” The aggregate principal amount of Notes that may be authenticated and delivered under this Indenture is initially limited to $250,000,000, subject to Section 2.10 and except for Notes authenticated and delivered upon registration or transfer of, or in exchange for, or in lieu of other Notes to the extent expressly permitted hereunder.</w:t>
      </w:r>
    </w:p>
    <w:p>
      <w:pPr>
        <w:spacing w:after="0" w:line="180" w:lineRule="exact"/>
        <w:rPr>
          <w:sz w:val="20"/>
          <w:szCs w:val="20"/>
          <w:color w:val="auto"/>
        </w:rPr>
      </w:pPr>
    </w:p>
    <w:p>
      <w:pPr>
        <w:ind w:right="160" w:firstLine="431"/>
        <w:spacing w:after="0" w:line="251" w:lineRule="auto"/>
        <w:rPr>
          <w:sz w:val="20"/>
          <w:szCs w:val="20"/>
          <w:color w:val="auto"/>
        </w:rPr>
      </w:pPr>
      <w:r>
        <w:rPr>
          <w:rFonts w:ascii="Times New Roman" w:cs="Times New Roman" w:eastAsia="Times New Roman" w:hAnsi="Times New Roman"/>
          <w:sz w:val="18"/>
          <w:szCs w:val="18"/>
          <w:color w:val="auto"/>
        </w:rPr>
        <w:t>Section 2.02</w:t>
      </w:r>
      <w:r>
        <w:rPr>
          <w:rFonts w:ascii="Times New Roman" w:cs="Times New Roman" w:eastAsia="Times New Roman" w:hAnsi="Times New Roman"/>
          <w:sz w:val="18"/>
          <w:szCs w:val="18"/>
          <w:i w:val="1"/>
          <w:iCs w:val="1"/>
          <w:color w:val="auto"/>
        </w:rPr>
        <w:t>. Form of Notes.</w:t>
      </w:r>
      <w:r>
        <w:rPr>
          <w:rFonts w:ascii="Times New Roman" w:cs="Times New Roman" w:eastAsia="Times New Roman" w:hAnsi="Times New Roman"/>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7" w:lineRule="exact"/>
        <w:rPr>
          <w:sz w:val="20"/>
          <w:szCs w:val="20"/>
          <w:color w:val="auto"/>
        </w:rPr>
      </w:pPr>
    </w:p>
    <w:p>
      <w:pPr>
        <w:ind w:right="80" w:firstLine="431"/>
        <w:spacing w:after="0" w:line="251" w:lineRule="auto"/>
        <w:rPr>
          <w:sz w:val="20"/>
          <w:szCs w:val="20"/>
          <w:color w:val="auto"/>
        </w:rPr>
      </w:pPr>
      <w:r>
        <w:rPr>
          <w:rFonts w:ascii="Times New Roman" w:cs="Times New Roman" w:eastAsia="Times New Roman" w:hAnsi="Times New Roman"/>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60" w:top="264" w:right="559" w:bottom="1440" w:gutter="0" w:footer="0" w:header="0"/>
        </w:sectPr>
      </w:pPr>
    </w:p>
    <w:bookmarkStart w:id="28" w:name="page29"/>
    <w:bookmarkEnd w:id="28"/>
    <w:p>
      <w:pPr>
        <w:ind w:right="200"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5"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88" w:lineRule="exact"/>
        <w:rPr>
          <w:sz w:val="20"/>
          <w:szCs w:val="20"/>
          <w:color w:val="auto"/>
        </w:rPr>
      </w:pPr>
    </w:p>
    <w:p>
      <w:pPr>
        <w:ind w:right="60" w:firstLine="431"/>
        <w:spacing w:after="0" w:line="273" w:lineRule="auto"/>
        <w:rPr>
          <w:sz w:val="20"/>
          <w:szCs w:val="20"/>
          <w:color w:val="auto"/>
        </w:rPr>
      </w:pPr>
      <w:r>
        <w:rPr>
          <w:rFonts w:ascii="Times New Roman" w:cs="Times New Roman" w:eastAsia="Times New Roman" w:hAnsi="Times New Roman"/>
          <w:sz w:val="17"/>
          <w:szCs w:val="17"/>
          <w:color w:val="auto"/>
        </w:rPr>
        <w:t>Section 2.03</w:t>
      </w:r>
      <w:r>
        <w:rPr>
          <w:rFonts w:ascii="Times New Roman" w:cs="Times New Roman" w:eastAsia="Times New Roman" w:hAnsi="Times New Roman"/>
          <w:sz w:val="17"/>
          <w:szCs w:val="17"/>
          <w:i w:val="1"/>
          <w:iCs w:val="1"/>
          <w:color w:val="auto"/>
        </w:rPr>
        <w:t>. Date and Denomination of Notes; Payments of Interest and Defaulted Amounts.</w:t>
      </w:r>
      <w:r>
        <w:rPr>
          <w:rFonts w:ascii="Times New Roman" w:cs="Times New Roman" w:eastAsia="Times New Roman" w:hAnsi="Times New Roman"/>
          <w:sz w:val="17"/>
          <w:szCs w:val="17"/>
          <w:color w:val="auto"/>
        </w:rPr>
        <w:t xml:space="preserve"> (a)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69" w:lineRule="exact"/>
        <w:rPr>
          <w:sz w:val="20"/>
          <w:szCs w:val="20"/>
          <w:color w:val="auto"/>
        </w:rPr>
      </w:pPr>
    </w:p>
    <w:p>
      <w:pPr>
        <w:ind w:right="60" w:firstLine="427"/>
        <w:spacing w:after="0" w:line="266" w:lineRule="auto"/>
        <w:tabs>
          <w:tab w:leader="none" w:pos="6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at their address as it appears in the Note Register and (B) to Holders holding Physical Notes having an aggregate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40"/>
          </w:cols>
          <w:pgMar w:left="560" w:top="266" w:right="599" w:bottom="1440" w:gutter="0" w:footer="0" w:header="0"/>
        </w:sectPr>
      </w:pPr>
    </w:p>
    <w:bookmarkStart w:id="29" w:name="page30"/>
    <w:bookmarkEnd w:id="29"/>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spacing w:after="0" w:line="185" w:lineRule="exact"/>
        <w:rPr>
          <w:sz w:val="20"/>
          <w:szCs w:val="20"/>
          <w:color w:val="auto"/>
        </w:rPr>
      </w:pPr>
    </w:p>
    <w:p>
      <w:pPr>
        <w:ind w:right="20" w:firstLine="427"/>
        <w:spacing w:after="0" w:line="279" w:lineRule="auto"/>
        <w:tabs>
          <w:tab w:leader="none" w:pos="67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57" w:lineRule="exact"/>
        <w:rPr>
          <w:rFonts w:ascii="Times New Roman" w:cs="Times New Roman" w:eastAsia="Times New Roman" w:hAnsi="Times New Roman"/>
          <w:sz w:val="17"/>
          <w:szCs w:val="17"/>
          <w:color w:val="auto"/>
        </w:rPr>
      </w:pPr>
    </w:p>
    <w:p>
      <w:pPr>
        <w:ind w:left="420" w:firstLine="421"/>
        <w:spacing w:after="0" w:line="262" w:lineRule="auto"/>
        <w:tabs>
          <w:tab w:leader="none" w:pos="104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73" w:lineRule="exact"/>
        <w:rPr>
          <w:rFonts w:ascii="Times New Roman" w:cs="Times New Roman" w:eastAsia="Times New Roman" w:hAnsi="Times New Roman"/>
          <w:sz w:val="17"/>
          <w:szCs w:val="17"/>
          <w:color w:val="auto"/>
        </w:rPr>
      </w:pPr>
    </w:p>
    <w:p>
      <w:pPr>
        <w:jc w:val="both"/>
        <w:ind w:left="420" w:right="60" w:firstLine="421"/>
        <w:spacing w:after="0" w:line="257" w:lineRule="auto"/>
        <w:tabs>
          <w:tab w:leader="none" w:pos="10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680"/>
          </w:cols>
          <w:pgMar w:left="560" w:top="266" w:right="659" w:bottom="1440" w:gutter="0" w:footer="0" w:header="0"/>
        </w:sectPr>
      </w:pPr>
    </w:p>
    <w:bookmarkStart w:id="30" w:name="page31"/>
    <w:bookmarkEnd w:id="30"/>
    <w:p>
      <w:pPr>
        <w:ind w:left="420" w:right="28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system, if, after written notice given by the Company to the Trustee of the proposed payment pursuant to this clause, such manner of payment shall be deemed practicable by the Trustee. For the avoidance doubt, the Company may make payment of any Defaulted Amounts and Default Interest relating to any amounts due upon conversion of the Notes in a manner other than as provided in Section 2.03(c)(i); provided that such manner would be permitted under the terms of this Indenture if such amounts due upon conversion were not Defaulted Amounts or Default Interest.</w:t>
      </w:r>
    </w:p>
    <w:p>
      <w:pPr>
        <w:spacing w:after="0" w:line="80" w:lineRule="exact"/>
        <w:rPr>
          <w:sz w:val="20"/>
          <w:szCs w:val="20"/>
          <w:color w:val="auto"/>
        </w:rPr>
      </w:pPr>
    </w:p>
    <w:p>
      <w:pPr>
        <w:ind w:left="420" w:right="280" w:firstLine="421"/>
        <w:spacing w:after="0" w:line="257" w:lineRule="auto"/>
        <w:tabs>
          <w:tab w:leader="none" w:pos="11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spacing w:after="0" w:line="178" w:lineRule="exact"/>
        <w:rPr>
          <w:sz w:val="20"/>
          <w:szCs w:val="20"/>
          <w:color w:val="auto"/>
        </w:rPr>
      </w:pPr>
    </w:p>
    <w:p>
      <w:pPr>
        <w:ind w:right="500" w:firstLine="431"/>
        <w:spacing w:after="0" w:line="272"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Execution, Authentication and Delivery of Notes.</w:t>
      </w:r>
      <w:r>
        <w:rPr>
          <w:rFonts w:ascii="Times New Roman" w:cs="Times New Roman" w:eastAsia="Times New Roman" w:hAnsi="Times New Roman"/>
          <w:sz w:val="18"/>
          <w:szCs w:val="18"/>
          <w:color w:val="auto"/>
        </w:rPr>
        <w:t xml:space="preserve"> The Notes shall be signed in the name and on behalf of the Company by the manual, facsimile or electronic signature of its Chief Executive Officer, President, Chief Financial Officer, Treasurer or Secretary.</w:t>
      </w:r>
    </w:p>
    <w:p>
      <w:pPr>
        <w:spacing w:after="0" w:line="167"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Section 17.05, the Trustee shall receive an Officer’s Certificate and an Opinion of Counsel of the Company with respect to the issuance, authentication and delivery of such Notes.</w:t>
      </w:r>
    </w:p>
    <w:p>
      <w:pPr>
        <w:spacing w:after="0" w:line="185" w:lineRule="exact"/>
        <w:rPr>
          <w:sz w:val="20"/>
          <w:szCs w:val="20"/>
          <w:color w:val="auto"/>
        </w:rPr>
      </w:pPr>
    </w:p>
    <w:p>
      <w:pPr>
        <w:ind w:right="60" w:firstLine="431"/>
        <w:spacing w:after="0" w:line="251" w:lineRule="auto"/>
        <w:rPr>
          <w:sz w:val="20"/>
          <w:szCs w:val="20"/>
          <w:color w:val="auto"/>
        </w:rPr>
      </w:pPr>
      <w:r>
        <w:rPr>
          <w:rFonts w:ascii="Times New Roman" w:cs="Times New Roman" w:eastAsia="Times New Roman" w:hAnsi="Times New Roman"/>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5" w:lineRule="exact"/>
        <w:rPr>
          <w:sz w:val="20"/>
          <w:szCs w:val="20"/>
          <w:color w:val="auto"/>
        </w:rPr>
      </w:pPr>
    </w:p>
    <w:p>
      <w:pPr>
        <w:ind w:right="220" w:firstLine="431"/>
        <w:spacing w:after="0" w:line="251"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40"/>
          </w:cols>
          <w:pgMar w:left="560" w:top="266" w:right="599" w:bottom="1440" w:gutter="0" w:footer="0" w:header="0"/>
        </w:sectPr>
      </w:pPr>
    </w:p>
    <w:bookmarkStart w:id="31" w:name="page32"/>
    <w:bookmarkEnd w:id="31"/>
    <w:p>
      <w:pPr>
        <w:ind w:left="4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2.05</w:t>
      </w:r>
      <w:r>
        <w:rPr>
          <w:rFonts w:ascii="Times New Roman" w:cs="Times New Roman" w:eastAsia="Times New Roman" w:hAnsi="Times New Roman"/>
          <w:sz w:val="18"/>
          <w:szCs w:val="18"/>
          <w:i w:val="1"/>
          <w:iCs w:val="1"/>
          <w:color w:val="auto"/>
        </w:rPr>
        <w:t>. Exchange and Registration of Transfer of Notes; Restrictions on Transfer; Depositary.</w:t>
      </w:r>
    </w:p>
    <w:p>
      <w:pPr>
        <w:spacing w:after="0" w:line="218" w:lineRule="exact"/>
        <w:rPr>
          <w:sz w:val="20"/>
          <w:szCs w:val="20"/>
          <w:color w:val="auto"/>
        </w:rPr>
      </w:pPr>
    </w:p>
    <w:p>
      <w:pPr>
        <w:ind w:left="3" w:firstLine="427"/>
        <w:spacing w:after="0" w:line="269" w:lineRule="auto"/>
        <w:tabs>
          <w:tab w:leader="none" w:pos="67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cause to be kept at the Corporate Trust Office a register (the register maintained in such office or in any other office or agency of the Company designated pursuant to Section 4.02, the “</w:t>
      </w:r>
      <w:r>
        <w:rPr>
          <w:rFonts w:ascii="Times New Roman" w:cs="Times New Roman" w:eastAsia="Times New Roman" w:hAnsi="Times New Roman"/>
          <w:sz w:val="17"/>
          <w:szCs w:val="17"/>
          <w:b w:val="1"/>
          <w:bCs w:val="1"/>
          <w:color w:val="auto"/>
        </w:rPr>
        <w:t>Note Register</w:t>
      </w:r>
      <w:r>
        <w:rPr>
          <w:rFonts w:ascii="Times New Roman" w:cs="Times New Roman" w:eastAsia="Times New Roman" w:hAnsi="Times New Roman"/>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cs="Times New Roman" w:eastAsia="Times New Roman" w:hAnsi="Times New Roman"/>
          <w:sz w:val="17"/>
          <w:szCs w:val="17"/>
          <w:b w:val="1"/>
          <w:bCs w:val="1"/>
          <w:color w:val="auto"/>
        </w:rPr>
        <w:t>Note Registrar</w:t>
      </w:r>
      <w:r>
        <w:rPr>
          <w:rFonts w:ascii="Times New Roman" w:cs="Times New Roman" w:eastAsia="Times New Roman" w:hAnsi="Times New Roman"/>
          <w:sz w:val="17"/>
          <w:szCs w:val="17"/>
          <w:color w:val="auto"/>
        </w:rPr>
        <w:t>” for the purpose of registering Notes and transfers of Notes as herein provided. The Company may appoint one or more co-Note Registrars in accordance with Section 4.02.</w:t>
      </w:r>
    </w:p>
    <w:p>
      <w:pPr>
        <w:spacing w:after="0" w:line="172" w:lineRule="exact"/>
        <w:rPr>
          <w:sz w:val="20"/>
          <w:szCs w:val="20"/>
          <w:color w:val="auto"/>
        </w:rPr>
      </w:pPr>
    </w:p>
    <w:p>
      <w:pPr>
        <w:ind w:left="3" w:right="40" w:firstLine="431"/>
        <w:spacing w:after="0" w:line="253" w:lineRule="auto"/>
        <w:rPr>
          <w:sz w:val="20"/>
          <w:szCs w:val="20"/>
          <w:color w:val="auto"/>
        </w:rPr>
      </w:pPr>
      <w:r>
        <w:rPr>
          <w:rFonts w:ascii="Times New Roman" w:cs="Times New Roman" w:eastAsia="Times New Roman" w:hAnsi="Times New Roman"/>
          <w:sz w:val="18"/>
          <w:szCs w:val="18"/>
          <w:color w:val="auto"/>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4" w:lineRule="exact"/>
        <w:rPr>
          <w:sz w:val="20"/>
          <w:szCs w:val="20"/>
          <w:color w:val="auto"/>
        </w:rPr>
      </w:pPr>
    </w:p>
    <w:p>
      <w:pPr>
        <w:ind w:left="3" w:right="160" w:firstLine="431"/>
        <w:spacing w:after="0" w:line="253" w:lineRule="auto"/>
        <w:rPr>
          <w:sz w:val="20"/>
          <w:szCs w:val="20"/>
          <w:color w:val="auto"/>
        </w:rPr>
      </w:pPr>
      <w:r>
        <w:rPr>
          <w:rFonts w:ascii="Times New Roman" w:cs="Times New Roman" w:eastAsia="Times New Roman" w:hAnsi="Times New Roman"/>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4" w:lineRule="exact"/>
        <w:rPr>
          <w:sz w:val="20"/>
          <w:szCs w:val="20"/>
          <w:color w:val="auto"/>
        </w:rPr>
      </w:pPr>
    </w:p>
    <w:p>
      <w:pPr>
        <w:ind w:left="3" w:right="80" w:firstLine="431"/>
        <w:spacing w:after="0" w:line="257" w:lineRule="auto"/>
        <w:rPr>
          <w:sz w:val="20"/>
          <w:szCs w:val="20"/>
          <w:color w:val="auto"/>
        </w:rPr>
      </w:pPr>
      <w:r>
        <w:rPr>
          <w:rFonts w:ascii="Times New Roman" w:cs="Times New Roman" w:eastAsia="Times New Roman" w:hAnsi="Times New Roman"/>
          <w:sz w:val="18"/>
          <w:szCs w:val="18"/>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80" w:lineRule="exact"/>
        <w:rPr>
          <w:sz w:val="20"/>
          <w:szCs w:val="20"/>
          <w:color w:val="auto"/>
        </w:rPr>
      </w:pPr>
    </w:p>
    <w:p>
      <w:pPr>
        <w:ind w:left="3" w:right="40" w:firstLine="431"/>
        <w:spacing w:after="0" w:line="253" w:lineRule="auto"/>
        <w:rPr>
          <w:sz w:val="20"/>
          <w:szCs w:val="20"/>
          <w:color w:val="auto"/>
        </w:rPr>
      </w:pPr>
      <w:r>
        <w:rPr>
          <w:rFonts w:ascii="Times New Roman" w:cs="Times New Roman" w:eastAsia="Times New Roman" w:hAnsi="Times New Roman"/>
          <w:sz w:val="18"/>
          <w:szCs w:val="18"/>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84" w:lineRule="exact"/>
        <w:rPr>
          <w:sz w:val="20"/>
          <w:szCs w:val="20"/>
          <w:color w:val="auto"/>
        </w:rPr>
      </w:pPr>
    </w:p>
    <w:p>
      <w:pPr>
        <w:ind w:left="3" w:right="60" w:firstLine="431"/>
        <w:spacing w:after="0" w:line="270" w:lineRule="auto"/>
        <w:rPr>
          <w:sz w:val="20"/>
          <w:szCs w:val="20"/>
          <w:color w:val="auto"/>
        </w:rPr>
      </w:pPr>
      <w:r>
        <w:rPr>
          <w:rFonts w:ascii="Times New Roman" w:cs="Times New Roman" w:eastAsia="Times New Roman" w:hAnsi="Times New Roman"/>
          <w:sz w:val="17"/>
          <w:szCs w:val="17"/>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w:t>
      </w:r>
    </w:p>
    <w:p>
      <w:pPr>
        <w:ind w:left="3" w:right="500" w:hanging="3"/>
        <w:spacing w:after="0" w:line="247" w:lineRule="auto"/>
        <w:tabs>
          <w:tab w:leader="none" w:pos="2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or a portion of any Note, surrendered for required repurchase upon a Fundamental Change (and not withdrawn) in accordance with Article 15 or (iii) any Notes selected for Optional Redemption in accordance with Article 16, except the unredeemed portion of any Note being redeemed in part.</w:t>
      </w:r>
    </w:p>
    <w:p>
      <w:pPr>
        <w:spacing w:after="0" w:line="12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63"/>
          </w:cols>
          <w:pgMar w:left="557" w:top="264" w:right="579" w:bottom="1440" w:gutter="0" w:footer="0" w:header="0"/>
        </w:sectPr>
      </w:pPr>
    </w:p>
    <w:bookmarkStart w:id="32" w:name="page33"/>
    <w:bookmarkEnd w:id="32"/>
    <w:p>
      <w:pPr>
        <w:ind w:right="40" w:firstLine="43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80" w:lineRule="exact"/>
        <w:rPr>
          <w:sz w:val="20"/>
          <w:szCs w:val="20"/>
          <w:color w:val="auto"/>
        </w:rPr>
      </w:pPr>
    </w:p>
    <w:p>
      <w:pPr>
        <w:ind w:right="60" w:firstLine="427"/>
        <w:spacing w:after="0" w:line="250"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spacing w:after="0" w:line="185" w:lineRule="exact"/>
        <w:rPr>
          <w:rFonts w:ascii="Times New Roman" w:cs="Times New Roman" w:eastAsia="Times New Roman" w:hAnsi="Times New Roman"/>
          <w:sz w:val="18"/>
          <w:szCs w:val="18"/>
          <w:color w:val="auto"/>
        </w:rPr>
      </w:pPr>
    </w:p>
    <w:p>
      <w:pPr>
        <w:ind w:right="20" w:firstLine="427"/>
        <w:spacing w:after="0" w:line="250" w:lineRule="auto"/>
        <w:tabs>
          <w:tab w:leader="none" w:pos="6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Note that bears or is required under this Section 2.05(c) to bear the Restrictive Notes Legend (together with any Class A Common Stock issued upon conversion of the Notes that is required to bear the legend set forth in Section 2.05(d), collectively, the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encompasses any sale, pledge, transfer or other disposition whatsoever of any Restricted Security.</w:t>
      </w:r>
    </w:p>
    <w:p>
      <w:pPr>
        <w:spacing w:after="0" w:line="183"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Until the date (the “</w:t>
      </w:r>
      <w:r>
        <w:rPr>
          <w:rFonts w:ascii="Times New Roman" w:cs="Times New Roman" w:eastAsia="Times New Roman" w:hAnsi="Times New Roman"/>
          <w:sz w:val="18"/>
          <w:szCs w:val="18"/>
          <w:b w:val="1"/>
          <w:bCs w:val="1"/>
          <w:color w:val="auto"/>
        </w:rPr>
        <w:t>Resale Restriction Termination Date</w:t>
      </w:r>
      <w:r>
        <w:rPr>
          <w:rFonts w:ascii="Times New Roman" w:cs="Times New Roman" w:eastAsia="Times New Roman" w:hAnsi="Times New Roman"/>
          <w:sz w:val="18"/>
          <w:szCs w:val="18"/>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Class A Common Stock, if any, issued upon conversion thereof, which shall bear the legend set forth in Section 2.05(d), if applicable) shall bear a legend in substantially the following form (the “</w:t>
      </w:r>
      <w:r>
        <w:rPr>
          <w:rFonts w:ascii="Times New Roman" w:cs="Times New Roman" w:eastAsia="Times New Roman" w:hAnsi="Times New Roman"/>
          <w:sz w:val="18"/>
          <w:szCs w:val="18"/>
          <w:b w:val="1"/>
          <w:bCs w:val="1"/>
          <w:color w:val="auto"/>
        </w:rPr>
        <w:t>Restrictive Notes Legend</w:t>
      </w:r>
      <w:r>
        <w:rPr>
          <w:rFonts w:ascii="Times New Roman" w:cs="Times New Roman" w:eastAsia="Times New Roman" w:hAnsi="Times New Roman"/>
          <w:sz w:val="18"/>
          <w:szCs w:val="18"/>
          <w:color w:val="auto"/>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87" w:lineRule="exact"/>
        <w:rPr>
          <w:sz w:val="20"/>
          <w:szCs w:val="20"/>
          <w:color w:val="auto"/>
        </w:rPr>
      </w:pPr>
    </w:p>
    <w:p>
      <w:pPr>
        <w:ind w:right="180" w:firstLine="431"/>
        <w:spacing w:after="0" w:line="253"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60"/>
          </w:cols>
          <w:pgMar w:left="560" w:top="266" w:right="579" w:bottom="1440" w:gutter="0" w:footer="0" w:header="0"/>
        </w:sectPr>
      </w:pPr>
    </w:p>
    <w:bookmarkStart w:id="33" w:name="page34"/>
    <w:bookmarkEnd w:id="33"/>
    <w:p>
      <w:pPr>
        <w:ind w:left="420" w:right="420" w:firstLine="421"/>
        <w:spacing w:after="0" w:line="257" w:lineRule="auto"/>
        <w:tabs>
          <w:tab w:leader="none" w:pos="10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REPRESENTS THAT IT AND ANY ACCOUNT FOR WHICH IT IS ACTING IS A “QUALIFIED INSTITUTIONAL BUYER” (WITHIN THE MEANING OF RULE 144A UNDER THE SECURITIES ACT) AND THAT IT EXERCISES SOLE INVESTMENT DISCRETION WITH RESPECT TO EACH SUCH ACCOUNT, AND</w:t>
      </w:r>
    </w:p>
    <w:p>
      <w:pPr>
        <w:spacing w:after="0" w:line="72" w:lineRule="exact"/>
        <w:rPr>
          <w:rFonts w:ascii="Times New Roman" w:cs="Times New Roman" w:eastAsia="Times New Roman" w:hAnsi="Times New Roman"/>
          <w:sz w:val="18"/>
          <w:szCs w:val="18"/>
          <w:color w:val="auto"/>
        </w:rPr>
      </w:pPr>
    </w:p>
    <w:p>
      <w:pPr>
        <w:ind w:left="420" w:firstLine="421"/>
        <w:spacing w:after="0" w:line="271" w:lineRule="auto"/>
        <w:tabs>
          <w:tab w:leader="none" w:pos="108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XOMETRY,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ind w:left="420" w:right="200" w:firstLine="7"/>
        <w:spacing w:after="0" w:line="247" w:lineRule="auto"/>
        <w:tabs>
          <w:tab w:leader="none" w:pos="7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82" w:lineRule="exact"/>
        <w:rPr>
          <w:rFonts w:ascii="Times New Roman" w:cs="Times New Roman" w:eastAsia="Times New Roman" w:hAnsi="Times New Roman"/>
          <w:sz w:val="18"/>
          <w:szCs w:val="18"/>
          <w:color w:val="auto"/>
        </w:rPr>
      </w:pPr>
    </w:p>
    <w:p>
      <w:pPr>
        <w:ind w:left="1640" w:hanging="282"/>
        <w:spacing w:after="0"/>
        <w:tabs>
          <w:tab w:leader="none" w:pos="16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09" w:lineRule="exact"/>
        <w:rPr>
          <w:rFonts w:ascii="Times New Roman" w:cs="Times New Roman" w:eastAsia="Times New Roman" w:hAnsi="Times New Roman"/>
          <w:sz w:val="18"/>
          <w:szCs w:val="18"/>
          <w:color w:val="auto"/>
        </w:rPr>
      </w:pPr>
    </w:p>
    <w:p>
      <w:pPr>
        <w:ind w:left="1640" w:hanging="282"/>
        <w:spacing w:after="0"/>
        <w:tabs>
          <w:tab w:leader="none" w:pos="164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REGISTRATION STATEMENT THAT HAS BECOME EFFECTIVE UNDER THE SECURITIES ACT,</w:t>
      </w:r>
    </w:p>
    <w:p>
      <w:pPr>
        <w:spacing w:after="0" w:line="33"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92" w:lineRule="exact"/>
        <w:rPr>
          <w:rFonts w:ascii="Times New Roman" w:cs="Times New Roman" w:eastAsia="Times New Roman" w:hAnsi="Times New Roman"/>
          <w:sz w:val="17"/>
          <w:szCs w:val="17"/>
          <w:color w:val="auto"/>
        </w:rPr>
      </w:pPr>
    </w:p>
    <w:p>
      <w:pPr>
        <w:ind w:left="960" w:right="20" w:firstLine="398"/>
        <w:spacing w:after="0" w:line="270" w:lineRule="auto"/>
        <w:tabs>
          <w:tab w:leader="none" w:pos="1631"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62" w:lineRule="exact"/>
        <w:rPr>
          <w:rFonts w:ascii="Times New Roman" w:cs="Times New Roman" w:eastAsia="Times New Roman" w:hAnsi="Times New Roman"/>
          <w:sz w:val="18"/>
          <w:szCs w:val="18"/>
          <w:color w:val="auto"/>
        </w:rPr>
      </w:pPr>
    </w:p>
    <w:p>
      <w:pPr>
        <w:ind w:left="960" w:right="160" w:firstLine="398"/>
        <w:spacing w:after="0" w:line="257" w:lineRule="auto"/>
        <w:tabs>
          <w:tab w:leader="none" w:pos="16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80" w:lineRule="exact"/>
        <w:rPr>
          <w:sz w:val="20"/>
          <w:szCs w:val="20"/>
          <w:color w:val="auto"/>
        </w:rPr>
      </w:pPr>
    </w:p>
    <w:p>
      <w:pPr>
        <w:jc w:val="both"/>
        <w:ind w:right="140" w:firstLine="431"/>
        <w:spacing w:after="0" w:line="269"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2" w:lineRule="exact"/>
        <w:rPr>
          <w:sz w:val="20"/>
          <w:szCs w:val="20"/>
          <w:color w:val="auto"/>
        </w:rPr>
      </w:pPr>
    </w:p>
    <w:p>
      <w:pPr>
        <w:ind w:right="80" w:firstLine="431"/>
        <w:spacing w:after="0" w:line="270" w:lineRule="auto"/>
        <w:rPr>
          <w:sz w:val="20"/>
          <w:szCs w:val="20"/>
          <w:color w:val="auto"/>
        </w:rPr>
      </w:pPr>
      <w:r>
        <w:rPr>
          <w:rFonts w:ascii="Times New Roman" w:cs="Times New Roman" w:eastAsia="Times New Roman" w:hAnsi="Times New Roman"/>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68" w:lineRule="exact"/>
        <w:rPr>
          <w:sz w:val="20"/>
          <w:szCs w:val="20"/>
          <w:color w:val="auto"/>
        </w:rPr>
      </w:pPr>
    </w:p>
    <w:p>
      <w:pPr>
        <w:ind w:right="280" w:firstLine="431"/>
        <w:spacing w:after="0" w:line="253" w:lineRule="auto"/>
        <w:rPr>
          <w:sz w:val="20"/>
          <w:szCs w:val="20"/>
          <w:color w:val="auto"/>
        </w:rPr>
      </w:pPr>
      <w:r>
        <w:rPr>
          <w:rFonts w:ascii="Times New Roman" w:cs="Times New Roman" w:eastAsia="Times New Roman" w:hAnsi="Times New Roman"/>
          <w:sz w:val="18"/>
          <w:szCs w:val="18"/>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560" w:top="266" w:right="619" w:bottom="1440" w:gutter="0" w:footer="0" w:header="0"/>
        </w:sectPr>
      </w:pPr>
    </w:p>
    <w:bookmarkStart w:id="34" w:name="page35"/>
    <w:bookmarkEnd w:id="34"/>
    <w:p>
      <w:pPr>
        <w:ind w:right="20"/>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Class A Common Stock issued upon conversion of the Notes has become or been declared effective under the Securities Act.</w:t>
      </w:r>
    </w:p>
    <w:p>
      <w:pPr>
        <w:spacing w:after="0" w:line="181" w:lineRule="exact"/>
        <w:rPr>
          <w:sz w:val="20"/>
          <w:szCs w:val="20"/>
          <w:color w:val="auto"/>
        </w:rPr>
      </w:pPr>
    </w:p>
    <w:p>
      <w:pPr>
        <w:ind w:right="20" w:firstLine="431"/>
        <w:spacing w:after="0" w:line="273" w:lineRule="auto"/>
        <w:rPr>
          <w:sz w:val="20"/>
          <w:szCs w:val="20"/>
          <w:color w:val="auto"/>
        </w:rPr>
      </w:pPr>
      <w:r>
        <w:rPr>
          <w:rFonts w:ascii="Times New Roman" w:cs="Times New Roman" w:eastAsia="Times New Roman" w:hAnsi="Times New Roman"/>
          <w:sz w:val="17"/>
          <w:szCs w:val="17"/>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167" w:lineRule="exact"/>
        <w:rPr>
          <w:sz w:val="20"/>
          <w:szCs w:val="20"/>
          <w:color w:val="auto"/>
        </w:rPr>
      </w:pPr>
    </w:p>
    <w:p>
      <w:pPr>
        <w:jc w:val="both"/>
        <w:ind w:right="120" w:firstLine="431"/>
        <w:spacing w:after="0" w:line="257" w:lineRule="auto"/>
        <w:rPr>
          <w:sz w:val="20"/>
          <w:szCs w:val="20"/>
          <w:color w:val="auto"/>
        </w:rPr>
      </w:pPr>
      <w:r>
        <w:rPr>
          <w:rFonts w:ascii="Times New Roman" w:cs="Times New Roman" w:eastAsia="Times New Roman" w:hAnsi="Times New Roman"/>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0"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60"/>
          </w:cols>
          <w:pgMar w:left="560" w:top="266" w:right="579" w:bottom="1440" w:gutter="0" w:footer="0" w:header="0"/>
        </w:sectPr>
      </w:pPr>
    </w:p>
    <w:bookmarkStart w:id="35" w:name="page36"/>
    <w:bookmarkEnd w:id="35"/>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5"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spacing w:after="0" w:line="184" w:lineRule="exact"/>
        <w:rPr>
          <w:sz w:val="20"/>
          <w:szCs w:val="20"/>
          <w:color w:val="auto"/>
        </w:rPr>
      </w:pPr>
    </w:p>
    <w:p>
      <w:pPr>
        <w:ind w:firstLine="431"/>
        <w:spacing w:after="0" w:line="266" w:lineRule="auto"/>
        <w:rPr>
          <w:sz w:val="20"/>
          <w:szCs w:val="20"/>
          <w:color w:val="auto"/>
        </w:rPr>
      </w:pPr>
      <w:r>
        <w:rPr>
          <w:rFonts w:ascii="Times New Roman" w:cs="Times New Roman" w:eastAsia="Times New Roman" w:hAnsi="Times New Roman"/>
          <w:sz w:val="17"/>
          <w:szCs w:val="17"/>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74" w:lineRule="exact"/>
        <w:rPr>
          <w:sz w:val="20"/>
          <w:szCs w:val="20"/>
          <w:color w:val="auto"/>
        </w:rPr>
      </w:pPr>
    </w:p>
    <w:p>
      <w:pPr>
        <w:ind w:right="120" w:firstLine="431"/>
        <w:spacing w:after="0" w:line="253" w:lineRule="auto"/>
        <w:rPr>
          <w:sz w:val="20"/>
          <w:szCs w:val="20"/>
          <w:color w:val="auto"/>
        </w:rPr>
      </w:pPr>
      <w:r>
        <w:rPr>
          <w:rFonts w:ascii="Times New Roman" w:cs="Times New Roman" w:eastAsia="Times New Roman" w:hAnsi="Times New Roman"/>
          <w:sz w:val="18"/>
          <w:szCs w:val="18"/>
          <w:color w:val="auto"/>
        </w:rPr>
        <w:t>None of the Company,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84" w:lineRule="exact"/>
        <w:rPr>
          <w:sz w:val="20"/>
          <w:szCs w:val="20"/>
          <w:color w:val="auto"/>
        </w:rPr>
      </w:pPr>
    </w:p>
    <w:p>
      <w:pPr>
        <w:ind w:firstLine="427"/>
        <w:spacing w:after="0" w:line="248"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Resale Restriction Termination Date, any stock certificate representing Class A Common Stock issued upon conversion of a Note shall bear a legend in substantially the following form (unless such Class A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560" w:top="266" w:right="579" w:bottom="1440" w:gutter="0" w:footer="0" w:header="0"/>
        </w:sectPr>
      </w:pPr>
    </w:p>
    <w:bookmarkStart w:id="36" w:name="page37"/>
    <w:bookmarkEnd w:id="36"/>
    <w:p>
      <w:pPr>
        <w:ind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SECURITY HAS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OFFERED, SOLD, PLEDGED OR OTHERWISE TRANSFERRED EXCEPT IN ACCORDANCE WITH THE FOLLOWING SENTENCE. BY ITS ACQUISITION HEREOF OR OF A BENEFICIAL INTEREST HEREIN, THE ACQUIRER:</w:t>
      </w:r>
    </w:p>
    <w:p>
      <w:pPr>
        <w:spacing w:after="0" w:line="74" w:lineRule="exact"/>
        <w:rPr>
          <w:sz w:val="20"/>
          <w:szCs w:val="20"/>
          <w:color w:val="auto"/>
        </w:rPr>
      </w:pPr>
    </w:p>
    <w:p>
      <w:pPr>
        <w:ind w:left="420" w:right="460" w:firstLine="421"/>
        <w:spacing w:after="0" w:line="257" w:lineRule="auto"/>
        <w:tabs>
          <w:tab w:leader="none" w:pos="10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2" w:lineRule="exact"/>
        <w:rPr>
          <w:rFonts w:ascii="Times New Roman" w:cs="Times New Roman" w:eastAsia="Times New Roman" w:hAnsi="Times New Roman"/>
          <w:sz w:val="18"/>
          <w:szCs w:val="18"/>
          <w:color w:val="auto"/>
        </w:rPr>
      </w:pPr>
    </w:p>
    <w:p>
      <w:pPr>
        <w:ind w:left="420" w:right="40" w:firstLine="421"/>
        <w:spacing w:after="0" w:line="271" w:lineRule="auto"/>
        <w:tabs>
          <w:tab w:leader="none" w:pos="108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XOMETRY,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THAT IT WILL NOT OFFER, SELL, PLEDGE OR OTHERWISE TRANSFER THIS SECURITY OR ANY BENEFICIAL INTEREST HEREIN PRIOR TO THE DATE THAT IS THE LATER OF</w:t>
      </w:r>
    </w:p>
    <w:p>
      <w:pPr>
        <w:jc w:val="both"/>
        <w:ind w:left="420" w:right="160" w:firstLine="7"/>
        <w:spacing w:after="0" w:line="246"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84" w:lineRule="exact"/>
        <w:rPr>
          <w:rFonts w:ascii="Times New Roman" w:cs="Times New Roman" w:eastAsia="Times New Roman" w:hAnsi="Times New Roman"/>
          <w:sz w:val="18"/>
          <w:szCs w:val="18"/>
          <w:color w:val="auto"/>
        </w:rPr>
      </w:pPr>
    </w:p>
    <w:p>
      <w:pPr>
        <w:ind w:left="1640" w:hanging="282"/>
        <w:spacing w:after="0"/>
        <w:tabs>
          <w:tab w:leader="none" w:pos="16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09" w:lineRule="exact"/>
        <w:rPr>
          <w:rFonts w:ascii="Times New Roman" w:cs="Times New Roman" w:eastAsia="Times New Roman" w:hAnsi="Times New Roman"/>
          <w:sz w:val="18"/>
          <w:szCs w:val="18"/>
          <w:color w:val="auto"/>
        </w:rPr>
      </w:pPr>
    </w:p>
    <w:p>
      <w:pPr>
        <w:ind w:left="1640" w:hanging="282"/>
        <w:spacing w:after="0"/>
        <w:tabs>
          <w:tab w:leader="none" w:pos="164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REGISTRATION STATEMENT THAT HAS BECOME EFFECTIVE UNDER THE SECURITIES ACT,</w:t>
      </w:r>
    </w:p>
    <w:p>
      <w:pPr>
        <w:spacing w:after="0" w:line="33" w:lineRule="exact"/>
        <w:rPr>
          <w:rFonts w:ascii="Times New Roman" w:cs="Times New Roman" w:eastAsia="Times New Roman" w:hAnsi="Times New Roman"/>
          <w:sz w:val="17"/>
          <w:szCs w:val="17"/>
          <w:color w:val="auto"/>
        </w:rPr>
      </w:pP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92" w:lineRule="exact"/>
        <w:rPr>
          <w:rFonts w:ascii="Times New Roman" w:cs="Times New Roman" w:eastAsia="Times New Roman" w:hAnsi="Times New Roman"/>
          <w:sz w:val="17"/>
          <w:szCs w:val="17"/>
          <w:color w:val="auto"/>
        </w:rPr>
      </w:pPr>
    </w:p>
    <w:p>
      <w:pPr>
        <w:ind w:left="960" w:right="60" w:firstLine="398"/>
        <w:spacing w:after="0" w:line="270" w:lineRule="auto"/>
        <w:tabs>
          <w:tab w:leader="none" w:pos="163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62" w:lineRule="exact"/>
        <w:rPr>
          <w:rFonts w:ascii="Times New Roman" w:cs="Times New Roman" w:eastAsia="Times New Roman" w:hAnsi="Times New Roman"/>
          <w:sz w:val="18"/>
          <w:szCs w:val="18"/>
          <w:color w:val="auto"/>
        </w:rPr>
      </w:pPr>
    </w:p>
    <w:p>
      <w:pPr>
        <w:ind w:left="960" w:right="300" w:firstLine="398"/>
        <w:spacing w:after="0" w:line="257" w:lineRule="auto"/>
        <w:tabs>
          <w:tab w:leader="none" w:pos="16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(IF AVAILABLE) UNDER THE SECURITIES ACT OR ANY OTHER AVAILABLE EXEMPTION FROM THE REGISTRATION REQUIREMENTS OF THE SECURITIES ACT.</w:t>
      </w:r>
    </w:p>
    <w:p>
      <w:pPr>
        <w:spacing w:after="0" w:line="180" w:lineRule="exact"/>
        <w:rPr>
          <w:sz w:val="20"/>
          <w:szCs w:val="20"/>
          <w:color w:val="auto"/>
        </w:rPr>
      </w:pPr>
    </w:p>
    <w:p>
      <w:pPr>
        <w:ind w:right="200" w:firstLine="431"/>
        <w:spacing w:after="0" w:line="250" w:lineRule="auto"/>
        <w:rPr>
          <w:sz w:val="20"/>
          <w:szCs w:val="20"/>
          <w:color w:val="auto"/>
        </w:rPr>
      </w:pPr>
      <w:r>
        <w:rPr>
          <w:rFonts w:ascii="Times New Roman" w:cs="Times New Roman" w:eastAsia="Times New Roman" w:hAnsi="Times New Roman"/>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560" w:top="264" w:right="579" w:bottom="1440" w:gutter="0" w:footer="0" w:header="0"/>
        </w:sectPr>
      </w:pPr>
    </w:p>
    <w:bookmarkStart w:id="37" w:name="page38"/>
    <w:bookmarkEnd w:id="37"/>
    <w:p>
      <w:pPr>
        <w:ind w:firstLine="43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such Class A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2.05(d).</w:t>
      </w:r>
    </w:p>
    <w:p>
      <w:pPr>
        <w:spacing w:after="0" w:line="185" w:lineRule="exact"/>
        <w:rPr>
          <w:sz w:val="20"/>
          <w:szCs w:val="20"/>
          <w:color w:val="auto"/>
        </w:rPr>
      </w:pPr>
    </w:p>
    <w:p>
      <w:pPr>
        <w:ind w:right="40" w:firstLine="431"/>
        <w:spacing w:after="0" w:line="251"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5" w:lineRule="exact"/>
        <w:rPr>
          <w:sz w:val="20"/>
          <w:szCs w:val="20"/>
          <w:color w:val="auto"/>
        </w:rPr>
      </w:pPr>
    </w:p>
    <w:p>
      <w:pPr>
        <w:ind w:right="40" w:firstLine="427"/>
        <w:spacing w:after="0" w:line="251" w:lineRule="auto"/>
        <w:tabs>
          <w:tab w:leader="none" w:pos="6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or restricted Class A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Common Stock, as the case may be, no longer being a “restricted security” (as defined under Rule 144).</w:t>
      </w:r>
    </w:p>
    <w:p>
      <w:pPr>
        <w:spacing w:after="0" w:line="183" w:lineRule="exact"/>
        <w:rPr>
          <w:sz w:val="20"/>
          <w:szCs w:val="20"/>
          <w:color w:val="auto"/>
        </w:rPr>
      </w:pPr>
    </w:p>
    <w:p>
      <w:pPr>
        <w:ind w:right="100" w:firstLine="431"/>
        <w:spacing w:after="0" w:line="248"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Mutilated, Destroyed, Lost or Stolen Notes.</w:t>
      </w:r>
      <w:r>
        <w:rPr>
          <w:rFonts w:ascii="Times New Roman" w:cs="Times New Roman" w:eastAsia="Times New Roman" w:hAnsi="Times New Roman"/>
          <w:sz w:val="18"/>
          <w:szCs w:val="18"/>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80"/>
          </w:cols>
          <w:pgMar w:left="560" w:top="266" w:right="559" w:bottom="1440" w:gutter="0" w:footer="0" w:header="0"/>
        </w:sectPr>
      </w:pPr>
    </w:p>
    <w:bookmarkStart w:id="38" w:name="page39"/>
    <w:bookmarkEnd w:id="38"/>
    <w:p>
      <w:pPr>
        <w:ind w:right="20" w:firstLine="431"/>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88" w:lineRule="exact"/>
        <w:rPr>
          <w:sz w:val="20"/>
          <w:szCs w:val="20"/>
          <w:color w:val="auto"/>
        </w:rPr>
      </w:pPr>
    </w:p>
    <w:p>
      <w:pPr>
        <w:ind w:firstLine="431"/>
        <w:spacing w:after="0" w:line="266" w:lineRule="auto"/>
        <w:rPr>
          <w:sz w:val="20"/>
          <w:szCs w:val="20"/>
          <w:color w:val="auto"/>
        </w:rPr>
      </w:pPr>
      <w:r>
        <w:rPr>
          <w:rFonts w:ascii="Times New Roman" w:cs="Times New Roman" w:eastAsia="Times New Roman" w:hAnsi="Times New Roman"/>
          <w:sz w:val="17"/>
          <w:szCs w:val="17"/>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72" w:lineRule="exact"/>
        <w:rPr>
          <w:sz w:val="20"/>
          <w:szCs w:val="20"/>
          <w:color w:val="auto"/>
        </w:rPr>
      </w:pPr>
    </w:p>
    <w:p>
      <w:pPr>
        <w:ind w:right="80" w:firstLine="431"/>
        <w:spacing w:after="0" w:line="248" w:lineRule="auto"/>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Temporary Notes.</w:t>
      </w:r>
      <w:r>
        <w:rPr>
          <w:rFonts w:ascii="Times New Roman" w:cs="Times New Roman" w:eastAsia="Times New Roman" w:hAnsi="Times New Roman"/>
          <w:sz w:val="18"/>
          <w:szCs w:val="18"/>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680"/>
          </w:cols>
          <w:pgMar w:left="560" w:top="266" w:right="659" w:bottom="1440" w:gutter="0" w:footer="0" w:header="0"/>
        </w:sectPr>
      </w:pPr>
    </w:p>
    <w:bookmarkStart w:id="39" w:name="page40"/>
    <w:bookmarkEnd w:id="39"/>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82" w:lineRule="exact"/>
        <w:rPr>
          <w:sz w:val="20"/>
          <w:szCs w:val="20"/>
          <w:color w:val="auto"/>
        </w:rPr>
      </w:pPr>
    </w:p>
    <w:p>
      <w:pPr>
        <w:ind w:right="60" w:firstLine="431"/>
        <w:spacing w:after="0" w:line="248"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Cancellation of Notes Paid, Converted, Etc.</w:t>
      </w:r>
      <w:r>
        <w:rPr>
          <w:rFonts w:ascii="Times New Roman" w:cs="Times New Roman" w:eastAsia="Times New Roman" w:hAnsi="Times New Roman"/>
          <w:sz w:val="18"/>
          <w:szCs w:val="18"/>
          <w:color w:val="auto"/>
        </w:rPr>
        <w:t xml:space="preserve">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upon written request by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w:t>
      </w:r>
    </w:p>
    <w:p>
      <w:pPr>
        <w:spacing w:after="0" w:line="190" w:lineRule="exact"/>
        <w:rPr>
          <w:sz w:val="20"/>
          <w:szCs w:val="20"/>
          <w:color w:val="auto"/>
        </w:rPr>
      </w:pPr>
    </w:p>
    <w:p>
      <w:pPr>
        <w:ind w:right="40" w:firstLine="431"/>
        <w:spacing w:after="0" w:line="270" w:lineRule="auto"/>
        <w:rPr>
          <w:sz w:val="20"/>
          <w:szCs w:val="20"/>
          <w:color w:val="auto"/>
        </w:rPr>
      </w:pPr>
      <w:r>
        <w:rPr>
          <w:rFonts w:ascii="Times New Roman" w:cs="Times New Roman" w:eastAsia="Times New Roman" w:hAnsi="Times New Roman"/>
          <w:sz w:val="17"/>
          <w:szCs w:val="17"/>
          <w:color w:val="auto"/>
        </w:rPr>
        <w:t>Section 2.09</w:t>
      </w:r>
      <w:r>
        <w:rPr>
          <w:rFonts w:ascii="Times New Roman" w:cs="Times New Roman" w:eastAsia="Times New Roman" w:hAnsi="Times New Roman"/>
          <w:sz w:val="17"/>
          <w:szCs w:val="17"/>
          <w:i w:val="1"/>
          <w:iCs w:val="1"/>
          <w:color w:val="auto"/>
        </w:rPr>
        <w:t>. CUSIP Numbers.</w:t>
      </w:r>
      <w:r>
        <w:rPr>
          <w:rFonts w:ascii="Times New Roman" w:cs="Times New Roman" w:eastAsia="Times New Roman" w:hAnsi="Times New Roman"/>
          <w:sz w:val="17"/>
          <w:szCs w:val="17"/>
          <w:color w:val="auto"/>
        </w:rPr>
        <w:t xml:space="preserve"> The Company in issuing the Notes may use “CUSIP” numbers (if then generally in use), and, if so, the Trustee shall use “CUSIP” numbers in all notices issued to Holders as a convenience to such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Trustee shall have no liability for any defect in the “CUSIP” numbers as they appear on any Note, notice or elsewhere,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68" w:lineRule="exact"/>
        <w:rPr>
          <w:sz w:val="20"/>
          <w:szCs w:val="20"/>
          <w:color w:val="auto"/>
        </w:rPr>
      </w:pPr>
    </w:p>
    <w:p>
      <w:pPr>
        <w:ind w:firstLine="431"/>
        <w:spacing w:after="0" w:line="247" w:lineRule="auto"/>
        <w:rPr>
          <w:sz w:val="20"/>
          <w:szCs w:val="20"/>
          <w:color w:val="auto"/>
        </w:rPr>
      </w:pPr>
      <w:r>
        <w:rPr>
          <w:rFonts w:ascii="Times New Roman" w:cs="Times New Roman" w:eastAsia="Times New Roman" w:hAnsi="Times New Roman"/>
          <w:sz w:val="18"/>
          <w:szCs w:val="18"/>
          <w:color w:val="auto"/>
        </w:rPr>
        <w:t>Section 2.10</w:t>
      </w:r>
      <w:r>
        <w:rPr>
          <w:rFonts w:ascii="Times New Roman" w:cs="Times New Roman" w:eastAsia="Times New Roman" w:hAnsi="Times New Roman"/>
          <w:sz w:val="18"/>
          <w:szCs w:val="18"/>
          <w:i w:val="1"/>
          <w:iCs w:val="1"/>
          <w:color w:val="auto"/>
        </w:rPr>
        <w:t>. Additional Notes; Repurchases.</w:t>
      </w:r>
      <w:r>
        <w:rPr>
          <w:rFonts w:ascii="Times New Roman" w:cs="Times New Roman" w:eastAsia="Times New Roman" w:hAnsi="Times New Roman"/>
          <w:sz w:val="18"/>
          <w:szCs w:val="18"/>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0"/>
          </w:cols>
          <w:pgMar w:left="560" w:top="266" w:right="579" w:bottom="1440" w:gutter="0" w:footer="0" w:header="0"/>
        </w:sectPr>
      </w:pPr>
    </w:p>
    <w:bookmarkStart w:id="40" w:name="page41"/>
    <w:bookmarkEnd w:id="40"/>
    <w:p>
      <w:pPr>
        <w:ind w:left="3"/>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spacing w:after="0" w:line="200" w:lineRule="exact"/>
        <w:rPr>
          <w:sz w:val="20"/>
          <w:szCs w:val="20"/>
          <w:color w:val="auto"/>
        </w:rPr>
      </w:pPr>
    </w:p>
    <w:p>
      <w:pPr>
        <w:spacing w:after="0" w:line="20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ARTICLE 3</w:t>
      </w:r>
    </w:p>
    <w:p>
      <w:pPr>
        <w:spacing w:after="0" w:line="2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ATISFACTION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ISCHARGE</w:t>
      </w:r>
    </w:p>
    <w:p>
      <w:pPr>
        <w:spacing w:after="0" w:line="196" w:lineRule="exact"/>
        <w:rPr>
          <w:sz w:val="20"/>
          <w:szCs w:val="20"/>
          <w:color w:val="auto"/>
        </w:rPr>
      </w:pPr>
    </w:p>
    <w:p>
      <w:pPr>
        <w:ind w:left="3" w:right="20" w:firstLine="431"/>
        <w:spacing w:after="0" w:line="265" w:lineRule="auto"/>
        <w:rPr>
          <w:sz w:val="20"/>
          <w:szCs w:val="20"/>
          <w:color w:val="auto"/>
        </w:rPr>
      </w:pPr>
      <w:r>
        <w:rPr>
          <w:rFonts w:ascii="Times New Roman" w:cs="Times New Roman" w:eastAsia="Times New Roman" w:hAnsi="Times New Roman"/>
          <w:sz w:val="17"/>
          <w:szCs w:val="17"/>
          <w:color w:val="auto"/>
        </w:rPr>
        <w:t>Section 3.01</w:t>
      </w:r>
      <w:r>
        <w:rPr>
          <w:rFonts w:ascii="Times New Roman" w:cs="Times New Roman" w:eastAsia="Times New Roman" w:hAnsi="Times New Roman"/>
          <w:sz w:val="17"/>
          <w:szCs w:val="17"/>
          <w:i w:val="1"/>
          <w:iCs w:val="1"/>
          <w:color w:val="auto"/>
        </w:rPr>
        <w:t>. Satisfaction and Discharge.</w:t>
      </w:r>
      <w:r>
        <w:rPr>
          <w:rFonts w:ascii="Times New Roman" w:cs="Times New Roman" w:eastAsia="Times New Roman" w:hAnsi="Times New Roman"/>
          <w:sz w:val="17"/>
          <w:szCs w:val="17"/>
          <w:color w:val="auto"/>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w:t>
      </w:r>
    </w:p>
    <w:p>
      <w:pPr>
        <w:spacing w:after="0" w:line="1" w:lineRule="exact"/>
        <w:rPr>
          <w:sz w:val="20"/>
          <w:szCs w:val="20"/>
          <w:color w:val="auto"/>
        </w:rPr>
      </w:pPr>
    </w:p>
    <w:p>
      <w:pPr>
        <w:ind w:left="3" w:right="40" w:hanging="3"/>
        <w:spacing w:after="0" w:line="262" w:lineRule="auto"/>
        <w:tabs>
          <w:tab w:leader="none" w:pos="2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deposited with the Trustee or delivered to Holders, as applicable, after the Notes have become due and payable, whether on the Maturity Date, any Redemption Date, any Fundamental Change Repurchase Date, upon conversion or otherwise, cash or cash and/or shares of Class A Common Stock, solely to satisfy the Company’s Conversion Obligation, sufficient to pay all of the outstanding Notes and all other sums due and payable under this Indenture or the Notes by the Company; and (b) the Trustee upon request of the Company contained in an Officer’s Certificate and at the expense of the Company, shall execute proper instruments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to the Trustee under Section 7.06 shall survive.</w:t>
      </w:r>
    </w:p>
    <w:p>
      <w:pPr>
        <w:spacing w:after="0" w:line="38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ARTICLE 4</w:t>
      </w:r>
    </w:p>
    <w:p>
      <w:pPr>
        <w:spacing w:after="0" w:line="2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p>
      <w:pPr>
        <w:spacing w:after="0" w:line="196" w:lineRule="exact"/>
        <w:rPr>
          <w:sz w:val="20"/>
          <w:szCs w:val="20"/>
          <w:color w:val="auto"/>
        </w:rPr>
      </w:pPr>
    </w:p>
    <w:p>
      <w:pPr>
        <w:ind w:left="3" w:right="100" w:firstLine="431"/>
        <w:spacing w:after="0" w:line="258"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Payment of Principal and Interest.</w:t>
      </w:r>
      <w:r>
        <w:rPr>
          <w:rFonts w:ascii="Times New Roman" w:cs="Times New Roman" w:eastAsia="Times New Roman" w:hAnsi="Times New Roman"/>
          <w:sz w:val="18"/>
          <w:szCs w:val="18"/>
          <w:color w:val="auto"/>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1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63"/>
          </w:cols>
          <w:pgMar w:left="557" w:top="266" w:right="579" w:bottom="1440" w:gutter="0" w:footer="0" w:header="0"/>
        </w:sectPr>
      </w:pPr>
    </w:p>
    <w:bookmarkStart w:id="41" w:name="page42"/>
    <w:bookmarkEnd w:id="41"/>
    <w:p>
      <w:pPr>
        <w:ind w:firstLine="43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applicable withholding taxes (including backup withholding) may be withheld from interest and payments upon conversion, redemption, repurchase or maturity of the Notes, or if any withholding taxes (including backup withholding) are paid on behalf of a Holder or beneficial owner, those withholding taxes may be withheld from payments of cash or Class A Common Stock, if any, payable on the Notes (or, in some circumstances, any payments on the Class A Common Stock) or sales proceeds received by, or other funds or assets of, the Holder or beneficial owner.</w:t>
      </w:r>
    </w:p>
    <w:p>
      <w:pPr>
        <w:spacing w:after="0" w:line="182" w:lineRule="exact"/>
        <w:rPr>
          <w:sz w:val="20"/>
          <w:szCs w:val="20"/>
          <w:color w:val="auto"/>
        </w:rPr>
      </w:pPr>
    </w:p>
    <w:p>
      <w:pPr>
        <w:ind w:right="20" w:firstLine="431"/>
        <w:spacing w:after="0" w:line="268" w:lineRule="auto"/>
        <w:rPr>
          <w:sz w:val="20"/>
          <w:szCs w:val="20"/>
          <w:color w:val="auto"/>
        </w:rPr>
      </w:pPr>
      <w:r>
        <w:rPr>
          <w:rFonts w:ascii="Times New Roman" w:cs="Times New Roman" w:eastAsia="Times New Roman" w:hAnsi="Times New Roman"/>
          <w:sz w:val="17"/>
          <w:szCs w:val="17"/>
          <w:color w:val="auto"/>
        </w:rPr>
        <w:t>Section 4.02</w:t>
      </w:r>
      <w:r>
        <w:rPr>
          <w:rFonts w:ascii="Times New Roman" w:cs="Times New Roman" w:eastAsia="Times New Roman" w:hAnsi="Times New Roman"/>
          <w:sz w:val="17"/>
          <w:szCs w:val="17"/>
          <w:i w:val="1"/>
          <w:iCs w:val="1"/>
          <w:color w:val="auto"/>
        </w:rPr>
        <w:t>. Maintenance of Office or Agency.</w:t>
      </w:r>
      <w:r>
        <w:rPr>
          <w:rFonts w:ascii="Times New Roman" w:cs="Times New Roman" w:eastAsia="Times New Roman" w:hAnsi="Times New Roman"/>
          <w:sz w:val="17"/>
          <w:szCs w:val="17"/>
          <w:color w:val="auto"/>
        </w:rPr>
        <w:t xml:space="preserve"> The Company will maintain in the continental United States of America an office or agency where the Notes may be surrendered for registration of transfer or exchange or for presentation for payment or repurchase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or for conversion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continental United States of America.</w:t>
      </w:r>
    </w:p>
    <w:p>
      <w:pPr>
        <w:spacing w:after="0" w:line="171" w:lineRule="exact"/>
        <w:rPr>
          <w:sz w:val="20"/>
          <w:szCs w:val="20"/>
          <w:color w:val="auto"/>
        </w:rPr>
      </w:pPr>
    </w:p>
    <w:p>
      <w:pPr>
        <w:ind w:right="40" w:firstLine="431"/>
        <w:spacing w:after="0" w:line="269"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Conversion Agent</w:t>
      </w:r>
      <w:r>
        <w:rPr>
          <w:rFonts w:ascii="Times New Roman" w:cs="Times New Roman" w:eastAsia="Times New Roman" w:hAnsi="Times New Roman"/>
          <w:sz w:val="17"/>
          <w:szCs w:val="17"/>
          <w:color w:val="auto"/>
        </w:rPr>
        <w:t>” include any such additional or other offices or agencies, as applicable.</w:t>
      </w:r>
    </w:p>
    <w:p>
      <w:pPr>
        <w:spacing w:after="0" w:line="172" w:lineRule="exact"/>
        <w:rPr>
          <w:sz w:val="20"/>
          <w:szCs w:val="20"/>
          <w:color w:val="auto"/>
        </w:rPr>
      </w:pPr>
    </w:p>
    <w:p>
      <w:pPr>
        <w:ind w:right="80" w:firstLine="431"/>
        <w:spacing w:after="0" w:line="253" w:lineRule="auto"/>
        <w:rPr>
          <w:sz w:val="20"/>
          <w:szCs w:val="20"/>
          <w:color w:val="auto"/>
        </w:rPr>
      </w:pPr>
      <w:r>
        <w:rPr>
          <w:rFonts w:ascii="Times New Roman" w:cs="Times New Roman" w:eastAsia="Times New Roman" w:hAnsi="Times New Roman"/>
          <w:sz w:val="18"/>
          <w:szCs w:val="18"/>
          <w:color w:val="auto"/>
        </w:rPr>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Corporate Trust Office shall not be a place for service of legal process for the Company.</w:t>
      </w:r>
    </w:p>
    <w:p>
      <w:pPr>
        <w:spacing w:after="0" w:line="182" w:lineRule="exact"/>
        <w:rPr>
          <w:sz w:val="20"/>
          <w:szCs w:val="20"/>
          <w:color w:val="auto"/>
        </w:rPr>
      </w:pPr>
    </w:p>
    <w:p>
      <w:pPr>
        <w:ind w:right="380" w:firstLine="431"/>
        <w:spacing w:after="0" w:line="272"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Appointments to Fill Vacancies in Trustee’s Office.</w:t>
      </w:r>
      <w:r>
        <w:rPr>
          <w:rFonts w:ascii="Times New Roman" w:cs="Times New Roman" w:eastAsia="Times New Roman" w:hAnsi="Times New Roman"/>
          <w:sz w:val="18"/>
          <w:szCs w:val="18"/>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65" w:lineRule="exact"/>
        <w:rPr>
          <w:sz w:val="20"/>
          <w:szCs w:val="20"/>
          <w:color w:val="auto"/>
        </w:rPr>
      </w:pPr>
    </w:p>
    <w:p>
      <w:pPr>
        <w:ind w:right="20" w:firstLine="431"/>
        <w:spacing w:after="0" w:line="258"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Provisions as to Paying Agent.</w:t>
      </w:r>
      <w:r>
        <w:rPr>
          <w:rFonts w:ascii="Times New Roman" w:cs="Times New Roman" w:eastAsia="Times New Roman" w:hAnsi="Times New Roman"/>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74" w:lineRule="exact"/>
        <w:rPr>
          <w:sz w:val="20"/>
          <w:szCs w:val="20"/>
          <w:color w:val="auto"/>
        </w:rPr>
      </w:pPr>
    </w:p>
    <w:p>
      <w:pPr>
        <w:ind w:left="420" w:right="200" w:firstLine="421"/>
        <w:spacing w:after="0" w:line="300" w:lineRule="auto"/>
        <w:tabs>
          <w:tab w:leader="none" w:pos="10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hold all sums held by it as such agent for the payment of the principal (including the Redemption Price and the Fundamental Change Repurchase Price, if applicable) of, and accrued and unpaid interest on, the Notes in trust for the benefit of the Holders;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80"/>
          </w:cols>
          <w:pgMar w:left="560" w:top="266" w:right="559" w:bottom="1440" w:gutter="0" w:footer="0" w:header="0"/>
        </w:sectPr>
      </w:pPr>
    </w:p>
    <w:bookmarkStart w:id="42" w:name="page43"/>
    <w:bookmarkEnd w:id="42"/>
    <w:p>
      <w:pPr>
        <w:ind w:left="420" w:right="20" w:firstLine="421"/>
        <w:spacing w:after="0" w:line="257" w:lineRule="auto"/>
        <w:tabs>
          <w:tab w:leader="none" w:pos="10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74" w:lineRule="exact"/>
        <w:rPr>
          <w:rFonts w:ascii="Times New Roman" w:cs="Times New Roman" w:eastAsia="Times New Roman" w:hAnsi="Times New Roman"/>
          <w:sz w:val="18"/>
          <w:szCs w:val="18"/>
          <w:color w:val="auto"/>
        </w:rPr>
      </w:pPr>
    </w:p>
    <w:p>
      <w:pPr>
        <w:ind w:left="420" w:right="40" w:firstLine="421"/>
        <w:spacing w:after="0" w:line="270" w:lineRule="auto"/>
        <w:tabs>
          <w:tab w:leader="none" w:pos="11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any time during the continuance of an Event of Default, upon request of the Trustee, it will forthwith pay to the Trustee all sums so held in trust.</w:t>
      </w:r>
    </w:p>
    <w:p>
      <w:pPr>
        <w:spacing w:after="0" w:line="168" w:lineRule="exact"/>
        <w:rPr>
          <w:sz w:val="20"/>
          <w:szCs w:val="20"/>
          <w:color w:val="auto"/>
        </w:rPr>
      </w:pPr>
    </w:p>
    <w:p>
      <w:pPr>
        <w:ind w:right="60" w:firstLine="431"/>
        <w:spacing w:after="0" w:line="251" w:lineRule="auto"/>
        <w:rPr>
          <w:sz w:val="20"/>
          <w:szCs w:val="20"/>
          <w:color w:val="auto"/>
        </w:rPr>
      </w:pPr>
      <w:r>
        <w:rPr>
          <w:rFonts w:ascii="Times New Roman" w:cs="Times New Roman" w:eastAsia="Times New Roman" w:hAnsi="Times New Roman"/>
          <w:sz w:val="18"/>
          <w:szCs w:val="18"/>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deposit is made on the due date, such deposit must be received by the Paying Agent by 11:00 a.m., New York City time, on such date.</w:t>
      </w:r>
    </w:p>
    <w:p>
      <w:pPr>
        <w:spacing w:after="0" w:line="185" w:lineRule="exact"/>
        <w:rPr>
          <w:sz w:val="20"/>
          <w:szCs w:val="20"/>
          <w:color w:val="auto"/>
        </w:rPr>
      </w:pPr>
    </w:p>
    <w:p>
      <w:pPr>
        <w:ind w:right="60" w:firstLine="427"/>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spacing w:after="0" w:line="185" w:lineRule="exact"/>
        <w:rPr>
          <w:rFonts w:ascii="Times New Roman" w:cs="Times New Roman" w:eastAsia="Times New Roman" w:hAnsi="Times New Roman"/>
          <w:sz w:val="18"/>
          <w:szCs w:val="18"/>
          <w:color w:val="auto"/>
        </w:rPr>
      </w:pPr>
    </w:p>
    <w:p>
      <w:pPr>
        <w:ind w:firstLine="427"/>
        <w:spacing w:after="0" w:line="251" w:lineRule="auto"/>
        <w:tabs>
          <w:tab w:leader="none" w:pos="6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5" w:lineRule="exact"/>
        <w:rPr>
          <w:rFonts w:ascii="Times New Roman" w:cs="Times New Roman" w:eastAsia="Times New Roman" w:hAnsi="Times New Roman"/>
          <w:sz w:val="18"/>
          <w:szCs w:val="18"/>
          <w:color w:val="auto"/>
        </w:rPr>
      </w:pPr>
    </w:p>
    <w:p>
      <w:pPr>
        <w:jc w:val="both"/>
        <w:ind w:firstLine="427"/>
        <w:spacing w:after="0" w:line="253"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escheatment laws, any money and shares of Class A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680"/>
          </w:cols>
          <w:pgMar w:left="560" w:top="266" w:right="659" w:bottom="1440" w:gutter="0" w:footer="0" w:header="0"/>
        </w:sectPr>
      </w:pPr>
    </w:p>
    <w:bookmarkStart w:id="43" w:name="page44"/>
    <w:bookmarkEnd w:id="4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Class A Common Stock, and all liability of the Company as trustee thereof, shall thereupon cease.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 Upon any Event of Default pursuant to Section 6.01(h) or (i), the Trustee shall automatically be Paying Agent for the Notes.</w:t>
      </w:r>
    </w:p>
    <w:p>
      <w:pPr>
        <w:spacing w:after="0" w:line="214" w:lineRule="exact"/>
        <w:rPr>
          <w:sz w:val="20"/>
          <w:szCs w:val="20"/>
          <w:color w:val="auto"/>
        </w:rPr>
      </w:pPr>
    </w:p>
    <w:p>
      <w:pPr>
        <w:ind w:right="20" w:firstLine="431"/>
        <w:spacing w:after="0" w:line="272"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Existence.</w:t>
      </w:r>
      <w:r>
        <w:rPr>
          <w:rFonts w:ascii="Times New Roman" w:cs="Times New Roman" w:eastAsia="Times New Roman" w:hAnsi="Times New Roman"/>
          <w:sz w:val="18"/>
          <w:szCs w:val="18"/>
          <w:color w:val="auto"/>
        </w:rPr>
        <w:t xml:space="preserve"> Subject to Article 11, the Company shall do or cause to be done all things necessary to preserve and keep in full force and effect its corporate existence.</w:t>
      </w:r>
    </w:p>
    <w:p>
      <w:pPr>
        <w:spacing w:after="0" w:line="165" w:lineRule="exact"/>
        <w:rPr>
          <w:sz w:val="20"/>
          <w:szCs w:val="20"/>
          <w:color w:val="auto"/>
        </w:rPr>
      </w:pPr>
    </w:p>
    <w:p>
      <w:pPr>
        <w:ind w:right="60" w:firstLine="431"/>
        <w:spacing w:after="0" w:line="250"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Rule 144A Information Requirement and Annual Reports.</w:t>
      </w:r>
      <w:r>
        <w:rPr>
          <w:rFonts w:ascii="Times New Roman" w:cs="Times New Roman" w:eastAsia="Times New Roman" w:hAnsi="Times New Roman"/>
          <w:sz w:val="18"/>
          <w:szCs w:val="18"/>
          <w:color w:val="auto"/>
        </w:rPr>
        <w:t xml:space="preserve"> (a) At any time the Company is not subject to Section 13 or 15(d) of the Exchange Act, the Company shall, so long as any of the Notes or any shares of Class A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Class A Common Stock issuable upon conversion of such Notes, the information required to be delivered pursuant to Rule 144A(d)(4) under the Securities Act to facilitate the resale of such Notes or shares of Class A Common Stock pursuant to Rule 144A.</w:t>
      </w:r>
    </w:p>
    <w:p>
      <w:pPr>
        <w:spacing w:after="0" w:line="187" w:lineRule="exact"/>
        <w:rPr>
          <w:sz w:val="20"/>
          <w:szCs w:val="20"/>
          <w:color w:val="auto"/>
        </w:rPr>
      </w:pPr>
    </w:p>
    <w:p>
      <w:pPr>
        <w:ind w:right="20" w:firstLine="427"/>
        <w:spacing w:after="0" w:line="248"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p>
    <w:p>
      <w:pPr>
        <w:spacing w:after="0" w:line="187" w:lineRule="exact"/>
        <w:rPr>
          <w:rFonts w:ascii="Times New Roman" w:cs="Times New Roman" w:eastAsia="Times New Roman" w:hAnsi="Times New Roman"/>
          <w:sz w:val="18"/>
          <w:szCs w:val="18"/>
          <w:color w:val="auto"/>
        </w:rPr>
      </w:pPr>
    </w:p>
    <w:p>
      <w:pPr>
        <w:jc w:val="both"/>
        <w:ind w:right="40" w:firstLine="427"/>
        <w:spacing w:after="0" w:line="253" w:lineRule="auto"/>
        <w:tabs>
          <w:tab w:leader="none" w:pos="6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60"/>
          </w:cols>
          <w:pgMar w:left="560" w:top="266" w:right="579" w:bottom="1440" w:gutter="0" w:footer="0" w:header="0"/>
        </w:sectPr>
      </w:pPr>
    </w:p>
    <w:bookmarkStart w:id="44" w:name="page45"/>
    <w:bookmarkEnd w:id="44"/>
    <w:p>
      <w:pPr>
        <w:ind w:firstLine="427"/>
        <w:spacing w:after="0" w:line="262" w:lineRule="auto"/>
        <w:tabs>
          <w:tab w:leader="none" w:pos="6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12b-15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p>
    <w:p>
      <w:pPr>
        <w:spacing w:after="0" w:line="177" w:lineRule="exact"/>
        <w:rPr>
          <w:rFonts w:ascii="Times New Roman" w:cs="Times New Roman" w:eastAsia="Times New Roman" w:hAnsi="Times New Roman"/>
          <w:sz w:val="17"/>
          <w:szCs w:val="17"/>
          <w:color w:val="auto"/>
        </w:rPr>
      </w:pPr>
    </w:p>
    <w:p>
      <w:pPr>
        <w:ind w:firstLine="427"/>
        <w:spacing w:after="0" w:line="230" w:lineRule="auto"/>
        <w:tabs>
          <w:tab w:leader="none" w:pos="6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Interest shall accrue or be owed pursuant to this Section 4.06(e) until the fifteenth Business Day following written notification to the Company by the Trustee (at the direction of any Holder) or any Holder or beneficial owner of the Notes requesting that the Company comply with its obligations described in this Section 4.06(e) (which notice may be given at any time after the 330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last date of original issuance of the Notes), it being understood and agreed that in no event shall Additional Interest accrue or be owed pursuant to this Section 4.06(e) for any period prior to the 380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last date of original issuance of the Notes.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60"/>
          </w:cols>
          <w:pgMar w:left="560" w:top="266" w:right="579" w:bottom="1440" w:gutter="0" w:footer="0" w:header="0"/>
        </w:sectPr>
      </w:pPr>
    </w:p>
    <w:bookmarkStart w:id="45" w:name="page46"/>
    <w:bookmarkEnd w:id="45"/>
    <w:p>
      <w:pPr>
        <w:ind w:right="20" w:firstLine="427"/>
        <w:spacing w:after="0" w:line="253" w:lineRule="auto"/>
        <w:tabs>
          <w:tab w:leader="none" w:pos="6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Additional Interest will be payable in arrears on each Interest Payment Date following accrual in the same manner as regular interest on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Additional Interest begins to accrue pursuant to Section 4.06(d)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spacing w:after="0" w:line="183" w:lineRule="exact"/>
        <w:rPr>
          <w:rFonts w:ascii="Times New Roman" w:cs="Times New Roman" w:eastAsia="Times New Roman" w:hAnsi="Times New Roman"/>
          <w:sz w:val="18"/>
          <w:szCs w:val="18"/>
          <w:color w:val="auto"/>
        </w:rPr>
      </w:pPr>
    </w:p>
    <w:p>
      <w:pPr>
        <w:ind w:right="20" w:firstLine="427"/>
        <w:spacing w:after="0" w:line="248"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(other than current reports on Form 8-K and after giving effect to all applicable grace periods thereunder),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90" w:lineRule="exact"/>
        <w:rPr>
          <w:rFonts w:ascii="Times New Roman" w:cs="Times New Roman" w:eastAsia="Times New Roman" w:hAnsi="Times New Roman"/>
          <w:sz w:val="18"/>
          <w:szCs w:val="18"/>
          <w:color w:val="auto"/>
        </w:rPr>
      </w:pPr>
    </w:p>
    <w:p>
      <w:pPr>
        <w:ind w:right="100" w:firstLine="427"/>
        <w:spacing w:after="0" w:line="25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3"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Section 4.07</w:t>
      </w:r>
      <w:r>
        <w:rPr>
          <w:rFonts w:ascii="Times New Roman" w:cs="Times New Roman" w:eastAsia="Times New Roman" w:hAnsi="Times New Roman"/>
          <w:sz w:val="18"/>
          <w:szCs w:val="18"/>
          <w:i w:val="1"/>
          <w:iCs w:val="1"/>
          <w:color w:val="auto"/>
        </w:rPr>
        <w:t>. Stay, Extension and Usury Laws.</w:t>
      </w:r>
      <w:r>
        <w:rPr>
          <w:rFonts w:ascii="Times New Roman" w:cs="Times New Roman" w:eastAsia="Times New Roman" w:hAnsi="Times New Roman"/>
          <w:sz w:val="18"/>
          <w:szCs w:val="18"/>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60" w:top="266" w:right="619" w:bottom="1440" w:gutter="0" w:footer="0" w:header="0"/>
        </w:sectPr>
      </w:pPr>
    </w:p>
    <w:bookmarkStart w:id="46" w:name="page47"/>
    <w:bookmarkEnd w:id="46"/>
    <w:p>
      <w:pPr>
        <w:ind w:right="80" w:firstLine="431"/>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4.08</w:t>
      </w:r>
      <w:r>
        <w:rPr>
          <w:rFonts w:ascii="Times New Roman" w:cs="Times New Roman" w:eastAsia="Times New Roman" w:hAnsi="Times New Roman"/>
          <w:sz w:val="17"/>
          <w:szCs w:val="17"/>
          <w:i w:val="1"/>
          <w:iCs w:val="1"/>
          <w:color w:val="auto"/>
        </w:rPr>
        <w:t>. Compliance Certificate; Statements as to Defaults.</w:t>
      </w:r>
      <w:r>
        <w:rPr>
          <w:rFonts w:ascii="Times New Roman" w:cs="Times New Roman" w:eastAsia="Times New Roman" w:hAnsi="Times New Roman"/>
          <w:sz w:val="17"/>
          <w:szCs w:val="17"/>
          <w:color w:val="auto"/>
        </w:rPr>
        <w:t xml:space="preserve"> The Company shall deliver to the Trustee within 120 days after the end of each fiscal year of the Company (beginning with the fiscal year ending on December 31, 2025) an Officer’s Certificate stating whether the signers thereof have knowledge of any Event of Default that occurred during the previous year and, if so, specifying each such Event of Default and the nature thereof.</w:t>
      </w:r>
    </w:p>
    <w:p>
      <w:pPr>
        <w:spacing w:after="0" w:line="160" w:lineRule="exact"/>
        <w:rPr>
          <w:sz w:val="20"/>
          <w:szCs w:val="20"/>
          <w:color w:val="auto"/>
        </w:rPr>
      </w:pPr>
    </w:p>
    <w:p>
      <w:pPr>
        <w:ind w:right="180" w:firstLine="431"/>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required to deliver such notice if such Event of Default or Default has been cured or is no longer continuing.</w:t>
      </w:r>
    </w:p>
    <w:p>
      <w:pPr>
        <w:spacing w:after="0" w:line="182" w:lineRule="exact"/>
        <w:rPr>
          <w:sz w:val="20"/>
          <w:szCs w:val="20"/>
          <w:color w:val="auto"/>
        </w:rPr>
      </w:pPr>
    </w:p>
    <w:p>
      <w:pPr>
        <w:ind w:right="180" w:firstLine="431"/>
        <w:spacing w:after="0" w:line="272" w:lineRule="auto"/>
        <w:rPr>
          <w:sz w:val="20"/>
          <w:szCs w:val="20"/>
          <w:color w:val="auto"/>
        </w:rPr>
      </w:pPr>
      <w:r>
        <w:rPr>
          <w:rFonts w:ascii="Times New Roman" w:cs="Times New Roman" w:eastAsia="Times New Roman" w:hAnsi="Times New Roman"/>
          <w:sz w:val="18"/>
          <w:szCs w:val="18"/>
          <w:color w:val="auto"/>
        </w:rPr>
        <w:t>Section 4.09</w:t>
      </w:r>
      <w:r>
        <w:rPr>
          <w:rFonts w:ascii="Times New Roman" w:cs="Times New Roman" w:eastAsia="Times New Roman" w:hAnsi="Times New Roman"/>
          <w:sz w:val="18"/>
          <w:szCs w:val="18"/>
          <w:i w:val="1"/>
          <w:iCs w:val="1"/>
          <w:color w:val="auto"/>
        </w:rPr>
        <w:t>. Further Instruments and Acts.</w:t>
      </w:r>
      <w:r>
        <w:rPr>
          <w:rFonts w:ascii="Times New Roman" w:cs="Times New Roman" w:eastAsia="Times New Roman" w:hAnsi="Times New Roman"/>
          <w:sz w:val="18"/>
          <w:szCs w:val="18"/>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ISTS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EPORTS BY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 AND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196" w:lineRule="exact"/>
        <w:rPr>
          <w:sz w:val="20"/>
          <w:szCs w:val="20"/>
          <w:color w:val="auto"/>
        </w:rPr>
      </w:pPr>
    </w:p>
    <w:p>
      <w:pPr>
        <w:ind w:firstLine="431"/>
        <w:spacing w:after="0" w:line="268" w:lineRule="auto"/>
        <w:rPr>
          <w:sz w:val="20"/>
          <w:szCs w:val="20"/>
          <w:color w:val="auto"/>
        </w:rPr>
      </w:pPr>
      <w:r>
        <w:rPr>
          <w:rFonts w:ascii="Times New Roman" w:cs="Times New Roman" w:eastAsia="Times New Roman" w:hAnsi="Times New Roman"/>
          <w:sz w:val="17"/>
          <w:szCs w:val="17"/>
          <w:color w:val="auto"/>
        </w:rPr>
        <w:t>Section 5.01</w:t>
      </w:r>
      <w:r>
        <w:rPr>
          <w:rFonts w:ascii="Times New Roman" w:cs="Times New Roman" w:eastAsia="Times New Roman" w:hAnsi="Times New Roman"/>
          <w:sz w:val="17"/>
          <w:szCs w:val="17"/>
          <w:i w:val="1"/>
          <w:iCs w:val="1"/>
          <w:color w:val="auto"/>
        </w:rPr>
        <w:t>. Lists of Holders.</w:t>
      </w:r>
      <w:r>
        <w:rPr>
          <w:rFonts w:ascii="Times New Roman" w:cs="Times New Roman" w:eastAsia="Times New Roman" w:hAnsi="Times New Roman"/>
          <w:sz w:val="17"/>
          <w:szCs w:val="17"/>
          <w:color w:val="auto"/>
        </w:rPr>
        <w:t xml:space="preserve"> The Company covenants and agrees that it will furnish or cause to be furnished to the Trustee, semi-annually, not more than 15 days after each June 1 and December 1 in each year beginning with December 1, 2025,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9" w:lineRule="exact"/>
        <w:rPr>
          <w:sz w:val="20"/>
          <w:szCs w:val="20"/>
          <w:color w:val="auto"/>
        </w:rPr>
      </w:pPr>
    </w:p>
    <w:p>
      <w:pPr>
        <w:ind w:right="60" w:firstLine="431"/>
        <w:spacing w:after="0" w:line="254"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Preservation and Disclosure of Lists.</w:t>
      </w:r>
      <w:r>
        <w:rPr>
          <w:rFonts w:ascii="Times New Roman" w:cs="Times New Roman" w:eastAsia="Times New Roman" w:hAnsi="Times New Roman"/>
          <w:sz w:val="18"/>
          <w:szCs w:val="18"/>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EFAULTS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EMEDIES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Events of Default.</w:t>
      </w:r>
      <w:r>
        <w:rPr>
          <w:rFonts w:ascii="Times New Roman" w:cs="Times New Roman" w:eastAsia="Times New Roman" w:hAnsi="Times New Roman"/>
          <w:sz w:val="18"/>
          <w:szCs w:val="18"/>
          <w:color w:val="auto"/>
        </w:rPr>
        <w:t xml:space="preserve"> Each of the following events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112" w:lineRule="exact"/>
        <w:rPr>
          <w:sz w:val="20"/>
          <w:szCs w:val="20"/>
          <w:color w:val="auto"/>
        </w:rPr>
      </w:pPr>
    </w:p>
    <w:p>
      <w:pPr>
        <w:ind w:left="5300" w:right="1640" w:hanging="4873"/>
        <w:spacing w:after="0" w:line="438" w:lineRule="auto"/>
        <w:tabs>
          <w:tab w:leader="none" w:pos="6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and the default continues for a period of 30 days; 35</w:t>
      </w:r>
    </w:p>
    <w:p>
      <w:pPr>
        <w:sectPr>
          <w:pgSz w:w="11900" w:h="16838" w:orient="portrait"/>
          <w:cols w:equalWidth="0" w:num="1">
            <w:col w:w="10740"/>
          </w:cols>
          <w:pgMar w:left="560" w:top="264" w:right="599" w:bottom="1440" w:gutter="0" w:footer="0" w:header="0"/>
        </w:sectPr>
      </w:pPr>
    </w:p>
    <w:bookmarkStart w:id="47" w:name="page48"/>
    <w:bookmarkEnd w:id="47"/>
    <w:p>
      <w:pPr>
        <w:ind w:right="280" w:firstLine="427"/>
        <w:spacing w:after="0" w:line="27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default in the payment of principal of any Note when due and payable on the Maturity Date, upon Optional Redemption, upon any required repurchase, upon declaration of acceleration or otherwise;</w:t>
      </w:r>
    </w:p>
    <w:p>
      <w:pPr>
        <w:spacing w:after="0" w:line="168" w:lineRule="exact"/>
        <w:rPr>
          <w:rFonts w:ascii="Times New Roman" w:cs="Times New Roman" w:eastAsia="Times New Roman" w:hAnsi="Times New Roman"/>
          <w:sz w:val="18"/>
          <w:szCs w:val="18"/>
          <w:color w:val="auto"/>
        </w:rPr>
      </w:pPr>
    </w:p>
    <w:p>
      <w:pPr>
        <w:ind w:right="520" w:firstLine="427"/>
        <w:spacing w:after="0" w:line="270" w:lineRule="auto"/>
        <w:tabs>
          <w:tab w:leader="none" w:pos="6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 to convert the Notes in accordance with this Indenture upon exercise of a Holder’s conversion right and such failure continues for three Business Days;</w:t>
      </w:r>
    </w:p>
    <w:p>
      <w:pPr>
        <w:spacing w:after="0" w:line="168" w:lineRule="exact"/>
        <w:rPr>
          <w:rFonts w:ascii="Times New Roman" w:cs="Times New Roman" w:eastAsia="Times New Roman" w:hAnsi="Times New Roman"/>
          <w:sz w:val="18"/>
          <w:szCs w:val="18"/>
          <w:color w:val="auto"/>
        </w:rPr>
      </w:pPr>
    </w:p>
    <w:p>
      <w:pPr>
        <w:ind w:right="160" w:firstLine="427"/>
        <w:spacing w:after="0" w:line="253"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give (i) a Fundamental Change Company Notice in accordance with Section 15.02(c) or notice of a Make-Whole Fundamental Change in accordance with Section 14.03(b), in either case when due and such failure continues for two Business Days, or (ii) notice of a specified corporate transaction or event in accordance with Section 14.01(b)(ii) or 14.01(b)(iii) when due and such failure continues for one Business Day;</w:t>
      </w:r>
    </w:p>
    <w:p>
      <w:pPr>
        <w:spacing w:after="0" w:line="183" w:lineRule="exact"/>
        <w:rPr>
          <w:rFonts w:ascii="Times New Roman" w:cs="Times New Roman" w:eastAsia="Times New Roman" w:hAnsi="Times New Roman"/>
          <w:sz w:val="18"/>
          <w:szCs w:val="18"/>
          <w:color w:val="auto"/>
        </w:rPr>
      </w:pPr>
    </w:p>
    <w:p>
      <w:pPr>
        <w:ind w:left="660" w:hanging="233"/>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Article 11;</w:t>
      </w:r>
    </w:p>
    <w:p>
      <w:pPr>
        <w:spacing w:after="0" w:line="215" w:lineRule="exact"/>
        <w:rPr>
          <w:rFonts w:ascii="Times New Roman" w:cs="Times New Roman" w:eastAsia="Times New Roman" w:hAnsi="Times New Roman"/>
          <w:sz w:val="18"/>
          <w:szCs w:val="18"/>
          <w:color w:val="auto"/>
        </w:rPr>
      </w:pPr>
    </w:p>
    <w:p>
      <w:pPr>
        <w:ind w:right="220" w:firstLine="427"/>
        <w:spacing w:after="0" w:line="270" w:lineRule="auto"/>
        <w:tabs>
          <w:tab w:leader="none" w:pos="6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68" w:lineRule="exact"/>
        <w:rPr>
          <w:rFonts w:ascii="Times New Roman" w:cs="Times New Roman" w:eastAsia="Times New Roman" w:hAnsi="Times New Roman"/>
          <w:sz w:val="18"/>
          <w:szCs w:val="18"/>
          <w:color w:val="auto"/>
        </w:rPr>
      </w:pPr>
    </w:p>
    <w:p>
      <w:pPr>
        <w:ind w:right="20" w:firstLine="427"/>
        <w:spacing w:after="0" w:line="248"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$50,000,000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187" w:lineRule="exact"/>
        <w:rPr>
          <w:rFonts w:ascii="Times New Roman" w:cs="Times New Roman" w:eastAsia="Times New Roman" w:hAnsi="Times New Roman"/>
          <w:sz w:val="18"/>
          <w:szCs w:val="18"/>
          <w:color w:val="auto"/>
        </w:rPr>
      </w:pPr>
    </w:p>
    <w:p>
      <w:pPr>
        <w:ind w:firstLine="427"/>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80"/>
          </w:cols>
          <w:pgMar w:left="560" w:top="266" w:right="559" w:bottom="1440" w:gutter="0" w:footer="0" w:header="0"/>
        </w:sectPr>
      </w:pPr>
    </w:p>
    <w:bookmarkStart w:id="48" w:name="page49"/>
    <w:bookmarkEnd w:id="48"/>
    <w:p>
      <w:pPr>
        <w:ind w:left="640" w:hanging="21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 involuntary case or other proceeding shall be commenced against the Company or any Significant Subsidiary seeking liquidation,</w:t>
      </w:r>
    </w:p>
    <w:p>
      <w:pPr>
        <w:spacing w:after="0" w:line="21" w:lineRule="exact"/>
        <w:rPr>
          <w:rFonts w:ascii="Times New Roman" w:cs="Times New Roman" w:eastAsia="Times New Roman" w:hAnsi="Times New Roman"/>
          <w:sz w:val="18"/>
          <w:szCs w:val="18"/>
          <w:color w:val="auto"/>
        </w:rPr>
      </w:pPr>
    </w:p>
    <w:p>
      <w:pPr>
        <w:ind w:right="8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 Rescission and Annulment</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431"/>
        <w:spacing w:after="0" w:line="265" w:lineRule="auto"/>
        <w:rPr>
          <w:sz w:val="20"/>
          <w:szCs w:val="20"/>
          <w:color w:val="auto"/>
        </w:rPr>
      </w:pPr>
      <w:r>
        <w:rPr>
          <w:rFonts w:ascii="Times New Roman" w:cs="Times New Roman" w:eastAsia="Times New Roman" w:hAnsi="Times New Roman"/>
          <w:sz w:val="17"/>
          <w:szCs w:val="17"/>
          <w:color w:val="auto"/>
        </w:rPr>
        <w:t>If one or more Events of Default shall have occurred and be continuing, then, and in each and every such case (other than an Event of Default specified in Section 6.01(h) or Section 6.01(i) with respect to the Company), unless the principal of, and accrued and unpaid interest, if any,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interest, if any, on, all Notes shall become and shall automatically be immediately due and payable.</w:t>
      </w:r>
    </w:p>
    <w:p>
      <w:pPr>
        <w:spacing w:after="0" w:line="175" w:lineRule="exact"/>
        <w:rPr>
          <w:sz w:val="20"/>
          <w:szCs w:val="20"/>
          <w:color w:val="auto"/>
        </w:rPr>
      </w:pPr>
    </w:p>
    <w:p>
      <w:pPr>
        <w:ind w:right="40" w:firstLine="431"/>
        <w:spacing w:after="0" w:line="248" w:lineRule="auto"/>
        <w:rPr>
          <w:sz w:val="20"/>
          <w:szCs w:val="20"/>
          <w:color w:val="auto"/>
        </w:rPr>
      </w:pPr>
      <w:r>
        <w:rPr>
          <w:rFonts w:ascii="Times New Roman" w:cs="Times New Roman" w:eastAsia="Times New Roman" w:hAnsi="Times New Roman"/>
          <w:sz w:val="18"/>
          <w:szCs w:val="18"/>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spacing w:after="0" w:line="188" w:lineRule="exact"/>
        <w:rPr>
          <w:sz w:val="20"/>
          <w:szCs w:val="20"/>
          <w:color w:val="auto"/>
        </w:rPr>
      </w:pPr>
    </w:p>
    <w:p>
      <w:pPr>
        <w:jc w:val="both"/>
        <w:ind w:right="140" w:firstLine="431"/>
        <w:spacing w:after="0" w:line="253" w:lineRule="auto"/>
        <w:rPr>
          <w:sz w:val="20"/>
          <w:szCs w:val="20"/>
          <w:color w:val="auto"/>
        </w:rPr>
      </w:pPr>
      <w:r>
        <w:rPr>
          <w:rFonts w:ascii="Times New Roman" w:cs="Times New Roman" w:eastAsia="Times New Roman" w:hAnsi="Times New Roman"/>
          <w:sz w:val="18"/>
          <w:szCs w:val="18"/>
          <w:color w:val="auto"/>
        </w:rPr>
        <w:t>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80"/>
          </w:cols>
          <w:pgMar w:left="560" w:top="266" w:right="559" w:bottom="1440" w:gutter="0" w:footer="0" w:header="0"/>
        </w:sectPr>
      </w:pPr>
    </w:p>
    <w:bookmarkStart w:id="49" w:name="page50"/>
    <w:bookmarkEnd w:id="49"/>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the Company’s breach of any covenant under this Indenture even if such breach is subsequently cured.</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i w:val="1"/>
          <w:iCs w:val="1"/>
          <w:color w:val="auto"/>
        </w:rPr>
        <w:t>Additional Interest</w:t>
      </w:r>
      <w:r>
        <w:rPr>
          <w:rFonts w:ascii="Times New Roman" w:cs="Times New Roman" w:eastAsia="Times New Roman" w:hAnsi="Times New Roman"/>
          <w:sz w:val="17"/>
          <w:szCs w:val="17"/>
          <w:color w:val="auto"/>
        </w:rPr>
        <w:t>. Notwithstanding anything in this Indenture or in the Notes to the contrary, to the extent the Company elects,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remedy for an Event of Default relating to the Company’s failure to comply with its obligations as set forth in Section 4.06(b) (such default,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Reporting Event of Default</w:t>
      </w:r>
      <w:r>
        <w:rPr>
          <w:rFonts w:ascii="Times New Roman" w:cs="Times New Roman" w:eastAsia="Times New Roman" w:hAnsi="Times New Roman"/>
          <w:sz w:val="17"/>
          <w:szCs w:val="17"/>
          <w:color w:val="auto"/>
        </w:rPr>
        <w:t>”) shall, for the first 365 days after the occurrence of such an Event of Default, consist exclusively of the right to receive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Interest on the Notes at a rate equal to (x) 0.25% per annum of the principal amount of the Notes outstanding for each day that such Event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 is continuing during the first 180 days after the occurrence of such Event of Default and (y) 0.50% per annum of the principal amount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outstanding from the 181st day to, and including, the 365th day following the occurrence of such Event of Default, as long as such Event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Default is continuing. Subject to the last paragraph of this Section 6.03, Additional Interest payable pursuant to this Section 6.03 shall be in addition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in lieu of, any Additional Interest payable pursuant to Section 4.06(d) or Section 4.06(e). If the Company so elects, such Additional Interest shall be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payable in the same manner and on the same dates as the stated interest payable on the Notes. On the 366th day after such Event of Default (if the Event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Default relating to the Company’s failure to comply with its obligations as set forth in Section 4.06(b) is not cured or waived prior to such 366th day),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Notes shall be immediately subject to acceleration as provided in Section 6.02. The provisions of this paragraph will not affect the rights of Holders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event of the occurrence of any Event of Default other than the Company’s failure to comply with its obligations as set forth in Section 4.06(b).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the Company does not elect to pay Additional Interest following an Event of Default in accordance with this Section 6.03 or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elected to make such payment but does not pay the Additional Interest when due, the Notes shall be immediately subject to acceleration as provided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6.02 as a result of the Event of Default pursuant to Section 6.01(f) if such Event of Default is then continuing.</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40"/>
          </w:cols>
          <w:pgMar w:left="560" w:top="266" w:right="599" w:bottom="1440" w:gutter="0" w:footer="0" w:header="0"/>
        </w:sectPr>
      </w:pPr>
    </w:p>
    <w:bookmarkStart w:id="50" w:name="page51"/>
    <w:bookmarkEnd w:id="50"/>
    <w:p>
      <w:pPr>
        <w:ind w:right="80" w:firstLine="43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spacing w:after="0" w:line="167" w:lineRule="exact"/>
        <w:rPr>
          <w:sz w:val="20"/>
          <w:szCs w:val="20"/>
          <w:color w:val="auto"/>
        </w:rPr>
      </w:pPr>
    </w:p>
    <w:p>
      <w:pPr>
        <w:ind w:right="40" w:firstLine="431"/>
        <w:spacing w:after="0" w:line="269" w:lineRule="auto"/>
        <w:rPr>
          <w:sz w:val="20"/>
          <w:szCs w:val="20"/>
          <w:color w:val="auto"/>
        </w:rPr>
      </w:pPr>
      <w:r>
        <w:rPr>
          <w:rFonts w:ascii="Times New Roman" w:cs="Times New Roman" w:eastAsia="Times New Roman" w:hAnsi="Times New Roman"/>
          <w:sz w:val="17"/>
          <w:szCs w:val="17"/>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pursuant to Section 4.06(d), accrue at a rate in excess of 0.50% per annum pursuant to this Indenture, regardless of the number of events or circumstances giving rise to the requirement to pay such Additional Interest.</w:t>
      </w:r>
    </w:p>
    <w:p>
      <w:pPr>
        <w:spacing w:after="0" w:line="170"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Payments of Notes on Default; Suit Therefor.</w:t>
      </w:r>
      <w:r>
        <w:rPr>
          <w:rFonts w:ascii="Times New Roman" w:cs="Times New Roman" w:eastAsia="Times New Roman" w:hAnsi="Times New Roman"/>
          <w:sz w:val="18"/>
          <w:szCs w:val="18"/>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92" w:lineRule="exact"/>
        <w:rPr>
          <w:sz w:val="20"/>
          <w:szCs w:val="20"/>
          <w:color w:val="auto"/>
        </w:rPr>
      </w:pPr>
    </w:p>
    <w:p>
      <w:pPr>
        <w:ind w:right="80" w:firstLine="431"/>
        <w:spacing w:after="0" w:line="248" w:lineRule="auto"/>
        <w:rPr>
          <w:sz w:val="20"/>
          <w:szCs w:val="20"/>
          <w:color w:val="auto"/>
        </w:rPr>
      </w:pPr>
      <w:r>
        <w:rPr>
          <w:rFonts w:ascii="Times New Roman" w:cs="Times New Roman" w:eastAsia="Times New Roman" w:hAnsi="Times New Roman"/>
          <w:sz w:val="18"/>
          <w:szCs w:val="18"/>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60"/>
          </w:cols>
          <w:pgMar w:left="560" w:top="266" w:right="579" w:bottom="1440" w:gutter="0" w:footer="0" w:header="0"/>
        </w:sectPr>
      </w:pPr>
    </w:p>
    <w:bookmarkStart w:id="51" w:name="page52"/>
    <w:bookmarkEnd w:id="51"/>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90" w:lineRule="exact"/>
        <w:rPr>
          <w:sz w:val="20"/>
          <w:szCs w:val="20"/>
          <w:color w:val="auto"/>
        </w:rPr>
      </w:pPr>
    </w:p>
    <w:p>
      <w:pPr>
        <w:jc w:val="both"/>
        <w:ind w:right="120" w:firstLine="431"/>
        <w:spacing w:after="0" w:line="257"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0" w:lineRule="exact"/>
        <w:rPr>
          <w:sz w:val="20"/>
          <w:szCs w:val="20"/>
          <w:color w:val="auto"/>
        </w:rPr>
      </w:pPr>
    </w:p>
    <w:p>
      <w:pPr>
        <w:ind w:right="40" w:firstLine="431"/>
        <w:spacing w:after="0" w:line="273" w:lineRule="auto"/>
        <w:rPr>
          <w:sz w:val="20"/>
          <w:szCs w:val="20"/>
          <w:color w:val="auto"/>
        </w:rPr>
      </w:pPr>
      <w:r>
        <w:rPr>
          <w:rFonts w:ascii="Times New Roman" w:cs="Times New Roman" w:eastAsia="Times New Roman" w:hAnsi="Times New Roman"/>
          <w:sz w:val="17"/>
          <w:szCs w:val="17"/>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7" w:lineRule="exact"/>
        <w:rPr>
          <w:sz w:val="20"/>
          <w:szCs w:val="20"/>
          <w:color w:val="auto"/>
        </w:rPr>
      </w:pPr>
    </w:p>
    <w:p>
      <w:pPr>
        <w:ind w:right="320" w:firstLine="431"/>
        <w:spacing w:after="0" w:line="257" w:lineRule="auto"/>
        <w:rPr>
          <w:sz w:val="20"/>
          <w:szCs w:val="20"/>
          <w:color w:val="auto"/>
        </w:rPr>
      </w:pPr>
      <w:r>
        <w:rPr>
          <w:rFonts w:ascii="Times New Roman" w:cs="Times New Roman" w:eastAsia="Times New Roman" w:hAnsi="Times New Roman"/>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w:t>
      </w:r>
    </w:p>
    <w:p>
      <w:pPr>
        <w:spacing w:after="0" w:line="180"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40"/>
          </w:cols>
          <w:pgMar w:left="560" w:top="266" w:right="599" w:bottom="1440" w:gutter="0" w:footer="0" w:header="0"/>
        </w:sectPr>
      </w:pPr>
    </w:p>
    <w:bookmarkStart w:id="52" w:name="page53"/>
    <w:bookmarkEnd w:id="52"/>
    <w:p>
      <w:pPr>
        <w:ind w:right="120"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6.05</w:t>
      </w:r>
      <w:r>
        <w:rPr>
          <w:rFonts w:ascii="Times New Roman" w:cs="Times New Roman" w:eastAsia="Times New Roman" w:hAnsi="Times New Roman"/>
          <w:sz w:val="18"/>
          <w:szCs w:val="18"/>
          <w:i w:val="1"/>
          <w:iCs w:val="1"/>
          <w:color w:val="auto"/>
        </w:rPr>
        <w:t>. Application of Monies Collected by Trustee.</w:t>
      </w:r>
      <w:r>
        <w:rPr>
          <w:rFonts w:ascii="Times New Roman" w:cs="Times New Roman" w:eastAsia="Times New Roman" w:hAnsi="Times New Roman"/>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to the payment of all amounts due the Trustee in all of its capacities under this Indenture;</w:t>
      </w:r>
    </w:p>
    <w:p>
      <w:pPr>
        <w:spacing w:after="0" w:line="216" w:lineRule="exact"/>
        <w:rPr>
          <w:sz w:val="20"/>
          <w:szCs w:val="20"/>
          <w:color w:val="auto"/>
        </w:rPr>
      </w:pPr>
    </w:p>
    <w:p>
      <w:pPr>
        <w:jc w:val="both"/>
        <w:ind w:right="100" w:firstLine="431"/>
        <w:spacing w:after="0" w:line="254"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in case the principal of the outstanding Notes shall not have become due and be unpaid, to the payment of interest on, and any cash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80"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in case the principal of the outstanding Notes shall have become due, by declaration or otherwise, and be unpaid to the payment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amount (including,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to the payment of the remainder, if any, to the Company.</w:t>
      </w:r>
    </w:p>
    <w:p>
      <w:pPr>
        <w:spacing w:after="0" w:line="216"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Proceedings by Holders.</w:t>
      </w:r>
      <w:r>
        <w:rPr>
          <w:rFonts w:ascii="Times New Roman" w:cs="Times New Roman" w:eastAsia="Times New Roman" w:hAnsi="Times New Roman"/>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82" w:lineRule="exact"/>
        <w:rPr>
          <w:sz w:val="20"/>
          <w:szCs w:val="20"/>
          <w:color w:val="auto"/>
        </w:rPr>
      </w:pPr>
    </w:p>
    <w:p>
      <w:pPr>
        <w:ind w:left="5300" w:hanging="4873"/>
        <w:spacing w:after="0" w:line="438" w:lineRule="auto"/>
        <w:tabs>
          <w:tab w:leader="none" w:pos="6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previously shall have given to the Trustee written notice of an Event of Default and of the continuance thereof, as herein provided; 41</w:t>
      </w:r>
    </w:p>
    <w:p>
      <w:pPr>
        <w:sectPr>
          <w:pgSz w:w="11900" w:h="16838" w:orient="portrait"/>
          <w:cols w:equalWidth="0" w:num="1">
            <w:col w:w="10760"/>
          </w:cols>
          <w:pgMar w:left="560" w:top="264" w:right="579" w:bottom="1440" w:gutter="0" w:footer="0" w:header="0"/>
        </w:sectPr>
      </w:pPr>
    </w:p>
    <w:bookmarkStart w:id="53" w:name="page54"/>
    <w:bookmarkEnd w:id="53"/>
    <w:p>
      <w:pPr>
        <w:ind w:left="3" w:right="520" w:firstLine="427"/>
        <w:spacing w:after="0" w:line="270" w:lineRule="auto"/>
        <w:tabs>
          <w:tab w:leader="none" w:pos="6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Holders of at least 25% in aggregate principal amount of the Notes then outstanding shall have made written request upon the Trustee to institute such action, suit or proceeding in its own name as Trustee hereunder;</w:t>
      </w:r>
    </w:p>
    <w:p>
      <w:pPr>
        <w:spacing w:after="0" w:line="168" w:lineRule="exact"/>
        <w:rPr>
          <w:rFonts w:ascii="Times New Roman" w:cs="Times New Roman" w:eastAsia="Times New Roman" w:hAnsi="Times New Roman"/>
          <w:sz w:val="18"/>
          <w:szCs w:val="18"/>
          <w:color w:val="auto"/>
        </w:rPr>
      </w:pPr>
    </w:p>
    <w:p>
      <w:pPr>
        <w:ind w:left="3" w:right="520" w:firstLine="427"/>
        <w:spacing w:after="0" w:line="270" w:lineRule="auto"/>
        <w:tabs>
          <w:tab w:leader="none" w:pos="6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shall have offered to the Trustee such security or indemnity reasonably satisfactory to it against any loss, claim, liability or expense to be incurred therein or thereby;</w:t>
      </w:r>
    </w:p>
    <w:p>
      <w:pPr>
        <w:spacing w:after="0" w:line="168" w:lineRule="exact"/>
        <w:rPr>
          <w:rFonts w:ascii="Times New Roman" w:cs="Times New Roman" w:eastAsia="Times New Roman" w:hAnsi="Times New Roman"/>
          <w:sz w:val="18"/>
          <w:szCs w:val="18"/>
          <w:color w:val="auto"/>
        </w:rPr>
      </w:pPr>
    </w:p>
    <w:p>
      <w:pPr>
        <w:ind w:left="3" w:right="300" w:firstLine="427"/>
        <w:spacing w:after="0" w:line="270" w:lineRule="auto"/>
        <w:tabs>
          <w:tab w:leader="none" w:pos="68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or provision, of such security or indemnity, shall have neglected or refused to institute any such action, suit or proceeding; and</w:t>
      </w:r>
    </w:p>
    <w:p>
      <w:pPr>
        <w:spacing w:after="0" w:line="168" w:lineRule="exact"/>
        <w:rPr>
          <w:rFonts w:ascii="Times New Roman" w:cs="Times New Roman" w:eastAsia="Times New Roman" w:hAnsi="Times New Roman"/>
          <w:sz w:val="18"/>
          <w:szCs w:val="18"/>
          <w:color w:val="auto"/>
        </w:rPr>
      </w:pPr>
    </w:p>
    <w:p>
      <w:pPr>
        <w:ind w:left="3" w:firstLine="427"/>
        <w:spacing w:after="0" w:line="270" w:lineRule="auto"/>
        <w:tabs>
          <w:tab w:leader="none" w:pos="6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spacing w:after="0" w:line="168" w:lineRule="exact"/>
        <w:rPr>
          <w:sz w:val="20"/>
          <w:szCs w:val="20"/>
          <w:color w:val="auto"/>
        </w:rPr>
      </w:pPr>
    </w:p>
    <w:p>
      <w:pPr>
        <w:ind w:left="3" w:right="20"/>
        <w:spacing w:after="0" w:line="249" w:lineRule="auto"/>
        <w:rPr>
          <w:sz w:val="20"/>
          <w:szCs w:val="20"/>
          <w:color w:val="auto"/>
        </w:rPr>
      </w:pPr>
      <w:r>
        <w:rPr>
          <w:rFonts w:ascii="Times New Roman" w:cs="Times New Roman" w:eastAsia="Times New Roman" w:hAnsi="Times New Roman"/>
          <w:sz w:val="18"/>
          <w:szCs w:val="18"/>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7" w:lineRule="exact"/>
        <w:rPr>
          <w:sz w:val="20"/>
          <w:szCs w:val="20"/>
          <w:color w:val="auto"/>
        </w:rPr>
      </w:pPr>
    </w:p>
    <w:p>
      <w:pPr>
        <w:jc w:val="both"/>
        <w:ind w:left="3" w:right="440" w:firstLine="431"/>
        <w:spacing w:after="0" w:line="270" w:lineRule="auto"/>
        <w:rPr>
          <w:sz w:val="20"/>
          <w:szCs w:val="20"/>
          <w:color w:val="auto"/>
        </w:rPr>
      </w:pPr>
      <w:r>
        <w:rPr>
          <w:rFonts w:ascii="Times New Roman" w:cs="Times New Roman" w:eastAsia="Times New Roman" w:hAnsi="Times New Roman"/>
          <w:sz w:val="17"/>
          <w:szCs w:val="17"/>
          <w:color w:val="auto"/>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w:t>
      </w:r>
    </w:p>
    <w:p>
      <w:pPr>
        <w:ind w:left="3" w:right="60" w:hanging="3"/>
        <w:spacing w:after="0" w:line="278" w:lineRule="auto"/>
        <w:tabs>
          <w:tab w:leader="none" w:pos="25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61" w:lineRule="exact"/>
        <w:rPr>
          <w:sz w:val="20"/>
          <w:szCs w:val="20"/>
          <w:color w:val="auto"/>
        </w:rPr>
      </w:pPr>
    </w:p>
    <w:p>
      <w:pPr>
        <w:ind w:left="3" w:right="140" w:firstLine="431"/>
        <w:spacing w:after="0" w:line="251"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Proceedings by Trustee.</w:t>
      </w:r>
      <w:r>
        <w:rPr>
          <w:rFonts w:ascii="Times New Roman" w:cs="Times New Roman" w:eastAsia="Times New Roman" w:hAnsi="Times New Roman"/>
          <w:sz w:val="18"/>
          <w:szCs w:val="18"/>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83"/>
          </w:cols>
          <w:pgMar w:left="557" w:top="266" w:right="559" w:bottom="1440" w:gutter="0" w:footer="0" w:header="0"/>
        </w:sectPr>
      </w:pPr>
    </w:p>
    <w:bookmarkStart w:id="54" w:name="page55"/>
    <w:bookmarkEnd w:id="54"/>
    <w:p>
      <w:pPr>
        <w:ind w:left="3" w:right="40" w:firstLine="431"/>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6.08</w:t>
      </w:r>
      <w:r>
        <w:rPr>
          <w:rFonts w:ascii="Times New Roman" w:cs="Times New Roman" w:eastAsia="Times New Roman" w:hAnsi="Times New Roman"/>
          <w:sz w:val="18"/>
          <w:szCs w:val="18"/>
          <w:i w:val="1"/>
          <w:iCs w:val="1"/>
          <w:color w:val="auto"/>
        </w:rPr>
        <w:t>. Remedies Cumulative and Continuing.</w:t>
      </w:r>
      <w:r>
        <w:rPr>
          <w:rFonts w:ascii="Times New Roman" w:cs="Times New Roman" w:eastAsia="Times New Roman" w:hAnsi="Times New Roman"/>
          <w:sz w:val="18"/>
          <w:szCs w:val="18"/>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90" w:lineRule="exact"/>
        <w:rPr>
          <w:sz w:val="20"/>
          <w:szCs w:val="20"/>
          <w:color w:val="auto"/>
        </w:rPr>
      </w:pPr>
    </w:p>
    <w:p>
      <w:pPr>
        <w:ind w:left="3" w:right="20" w:firstLine="431"/>
        <w:spacing w:after="0" w:line="261" w:lineRule="auto"/>
        <w:rPr>
          <w:sz w:val="20"/>
          <w:szCs w:val="20"/>
          <w:color w:val="auto"/>
        </w:rPr>
      </w:pPr>
      <w:r>
        <w:rPr>
          <w:rFonts w:ascii="Times New Roman" w:cs="Times New Roman" w:eastAsia="Times New Roman" w:hAnsi="Times New Roman"/>
          <w:sz w:val="17"/>
          <w:szCs w:val="17"/>
          <w:color w:val="auto"/>
        </w:rPr>
        <w:t>Section 6.09</w:t>
      </w:r>
      <w:r>
        <w:rPr>
          <w:rFonts w:ascii="Times New Roman" w:cs="Times New Roman" w:eastAsia="Times New Roman" w:hAnsi="Times New Roman"/>
          <w:sz w:val="17"/>
          <w:szCs w:val="17"/>
          <w:i w:val="1"/>
          <w:iCs w:val="1"/>
          <w:color w:val="auto"/>
        </w:rPr>
        <w:t>. Direction of Proceedings and Waiver of Defaults by Majority of Holders.</w:t>
      </w:r>
      <w:r>
        <w:rPr>
          <w:rFonts w:ascii="Times New Roman" w:cs="Times New Roman" w:eastAsia="Times New Roman" w:hAnsi="Times New Roman"/>
          <w:sz w:val="17"/>
          <w:szCs w:val="17"/>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(a) such direction shall not be in conflict with any rule of law or with this Indenture, and (b) the Trustee may take any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w:t>
      </w:r>
    </w:p>
    <w:p>
      <w:pPr>
        <w:spacing w:after="0" w:line="4" w:lineRule="exact"/>
        <w:rPr>
          <w:sz w:val="20"/>
          <w:szCs w:val="20"/>
          <w:color w:val="auto"/>
        </w:rPr>
      </w:pPr>
    </w:p>
    <w:p>
      <w:pPr>
        <w:ind w:left="3" w:hanging="3"/>
        <w:spacing w:after="0" w:line="245" w:lineRule="auto"/>
        <w:tabs>
          <w:tab w:leader="none" w:pos="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2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763"/>
          </w:cols>
          <w:pgMar w:left="557" w:top="264" w:right="579" w:bottom="1440" w:gutter="0" w:footer="0" w:header="0"/>
        </w:sectPr>
      </w:pPr>
    </w:p>
    <w:bookmarkStart w:id="55" w:name="page56"/>
    <w:bookmarkEnd w:id="55"/>
    <w:p>
      <w:pPr>
        <w:ind w:right="100" w:firstLine="43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6.10</w:t>
      </w:r>
      <w:r>
        <w:rPr>
          <w:rFonts w:ascii="Times New Roman" w:cs="Times New Roman" w:eastAsia="Times New Roman" w:hAnsi="Times New Roman"/>
          <w:sz w:val="18"/>
          <w:szCs w:val="18"/>
          <w:i w:val="1"/>
          <w:iCs w:val="1"/>
          <w:color w:val="auto"/>
        </w:rPr>
        <w:t>. Notice of Defaults.</w:t>
      </w:r>
      <w:r>
        <w:rPr>
          <w:rFonts w:ascii="Times New Roman" w:cs="Times New Roman" w:eastAsia="Times New Roman" w:hAnsi="Times New Roman"/>
          <w:sz w:val="18"/>
          <w:szCs w:val="18"/>
          <w:color w:val="auto"/>
        </w:rPr>
        <w:t xml:space="preserve"> The Trustee shall, within 90 days after a Responsible Officer obtains actual knowledge of the occurrence of a Default that is then continuing, deliver to all Holders notice of all Defaults actually known to a Responsible Officer, unless such Defaults shall have been cured or waived before the giving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spacing w:after="0" w:line="185" w:lineRule="exact"/>
        <w:rPr>
          <w:sz w:val="20"/>
          <w:szCs w:val="20"/>
          <w:color w:val="auto"/>
        </w:rPr>
      </w:pPr>
    </w:p>
    <w:p>
      <w:pPr>
        <w:ind w:firstLine="431"/>
        <w:spacing w:after="0" w:line="264" w:lineRule="auto"/>
        <w:rPr>
          <w:sz w:val="20"/>
          <w:szCs w:val="20"/>
          <w:color w:val="auto"/>
        </w:rPr>
      </w:pPr>
      <w:r>
        <w:rPr>
          <w:rFonts w:ascii="Times New Roman" w:cs="Times New Roman" w:eastAsia="Times New Roman" w:hAnsi="Times New Roman"/>
          <w:sz w:val="17"/>
          <w:szCs w:val="17"/>
          <w:color w:val="auto"/>
        </w:rPr>
        <w:t>Section 6.11</w:t>
      </w:r>
      <w:r>
        <w:rPr>
          <w:rFonts w:ascii="Times New Roman" w:cs="Times New Roman" w:eastAsia="Times New Roman" w:hAnsi="Times New Roman"/>
          <w:sz w:val="17"/>
          <w:szCs w:val="17"/>
          <w:i w:val="1"/>
          <w:iCs w:val="1"/>
          <w:color w:val="auto"/>
        </w:rPr>
        <w:t>. Undertaking to Pay Costs.</w:t>
      </w:r>
      <w:r>
        <w:rPr>
          <w:rFonts w:ascii="Times New Roman" w:cs="Times New Roman" w:eastAsia="Times New Roman" w:hAnsi="Times New Roman"/>
          <w:sz w:val="17"/>
          <w:szCs w:val="17"/>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this</w:t>
      </w:r>
    </w:p>
    <w:p>
      <w:pPr>
        <w:spacing w:after="0" w:line="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RUSTEE</w:t>
      </w:r>
    </w:p>
    <w:p>
      <w:pPr>
        <w:spacing w:after="0" w:line="196" w:lineRule="exact"/>
        <w:rPr>
          <w:sz w:val="20"/>
          <w:szCs w:val="20"/>
          <w:color w:val="auto"/>
        </w:rPr>
      </w:pPr>
    </w:p>
    <w:p>
      <w:pPr>
        <w:ind w:right="40" w:firstLine="431"/>
        <w:spacing w:after="0" w:line="248"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Duties and Responsibilities of Trustee.</w:t>
      </w:r>
      <w:r>
        <w:rPr>
          <w:rFonts w:ascii="Times New Roman" w:cs="Times New Roman" w:eastAsia="Times New Roman" w:hAnsi="Times New Roman"/>
          <w:sz w:val="18"/>
          <w:szCs w:val="18"/>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60"/>
          </w:cols>
          <w:pgMar w:left="560" w:top="264" w:right="579" w:bottom="1440" w:gutter="0" w:footer="0" w:header="0"/>
        </w:sectPr>
      </w:pPr>
    </w:p>
    <w:bookmarkStart w:id="56" w:name="page57"/>
    <w:bookmarkEnd w:id="56"/>
    <w:p>
      <w:pPr>
        <w:ind w:firstLine="431"/>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 provision of this Indenture shall be construed to relieve the Trustee from liability for its own grossly negligent action, its own grossly negligent failure to act or its own willful misconduct, except that:</w:t>
      </w:r>
    </w:p>
    <w:p>
      <w:pPr>
        <w:spacing w:after="0" w:line="62" w:lineRule="exact"/>
        <w:rPr>
          <w:sz w:val="20"/>
          <w:szCs w:val="20"/>
          <w:color w:val="auto"/>
        </w:rPr>
      </w:pPr>
    </w:p>
    <w:p>
      <w:pPr>
        <w:ind w:left="660" w:hanging="233"/>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Events of Default that may have occurred:</w:t>
      </w:r>
    </w:p>
    <w:p>
      <w:pPr>
        <w:spacing w:after="0" w:line="109" w:lineRule="exact"/>
        <w:rPr>
          <w:rFonts w:ascii="Times New Roman" w:cs="Times New Roman" w:eastAsia="Times New Roman" w:hAnsi="Times New Roman"/>
          <w:sz w:val="18"/>
          <w:szCs w:val="18"/>
          <w:color w:val="auto"/>
        </w:rPr>
      </w:pPr>
    </w:p>
    <w:p>
      <w:pPr>
        <w:ind w:left="420" w:right="160" w:firstLine="421"/>
        <w:spacing w:after="0" w:line="257" w:lineRule="auto"/>
        <w:tabs>
          <w:tab w:leader="none" w:pos="10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74" w:lineRule="exact"/>
        <w:rPr>
          <w:rFonts w:ascii="Times New Roman" w:cs="Times New Roman" w:eastAsia="Times New Roman" w:hAnsi="Times New Roman"/>
          <w:sz w:val="18"/>
          <w:szCs w:val="18"/>
          <w:color w:val="auto"/>
        </w:rPr>
      </w:pPr>
    </w:p>
    <w:p>
      <w:pPr>
        <w:ind w:left="420" w:right="220" w:firstLine="421"/>
        <w:spacing w:after="0" w:line="269" w:lineRule="auto"/>
        <w:tabs>
          <w:tab w:leader="none" w:pos="1093"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72" w:lineRule="exact"/>
        <w:rPr>
          <w:rFonts w:ascii="Times New Roman" w:cs="Times New Roman" w:eastAsia="Times New Roman" w:hAnsi="Times New Roman"/>
          <w:sz w:val="17"/>
          <w:szCs w:val="17"/>
          <w:color w:val="auto"/>
        </w:rPr>
      </w:pPr>
    </w:p>
    <w:p>
      <w:pPr>
        <w:ind w:right="140" w:firstLine="427"/>
        <w:spacing w:after="0" w:line="270"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68" w:lineRule="exact"/>
        <w:rPr>
          <w:rFonts w:ascii="Times New Roman" w:cs="Times New Roman" w:eastAsia="Times New Roman" w:hAnsi="Times New Roman"/>
          <w:sz w:val="18"/>
          <w:szCs w:val="18"/>
          <w:color w:val="auto"/>
        </w:rPr>
      </w:pPr>
    </w:p>
    <w:p>
      <w:pPr>
        <w:ind w:right="100" w:firstLine="427"/>
        <w:spacing w:after="0" w:line="253" w:lineRule="auto"/>
        <w:tabs>
          <w:tab w:leader="none" w:pos="6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183" w:lineRule="exact"/>
        <w:rPr>
          <w:rFonts w:ascii="Times New Roman" w:cs="Times New Roman" w:eastAsia="Times New Roman" w:hAnsi="Times New Roman"/>
          <w:sz w:val="18"/>
          <w:szCs w:val="18"/>
          <w:color w:val="auto"/>
        </w:rPr>
      </w:pPr>
    </w:p>
    <w:p>
      <w:pPr>
        <w:ind w:right="20" w:firstLine="427"/>
        <w:spacing w:after="0" w:line="270"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68" w:lineRule="exact"/>
        <w:rPr>
          <w:rFonts w:ascii="Times New Roman" w:cs="Times New Roman" w:eastAsia="Times New Roman" w:hAnsi="Times New Roman"/>
          <w:sz w:val="18"/>
          <w:szCs w:val="18"/>
          <w:color w:val="auto"/>
        </w:rPr>
      </w:pPr>
    </w:p>
    <w:p>
      <w:pPr>
        <w:ind w:right="40" w:firstLine="427"/>
        <w:spacing w:after="0" w:line="300" w:lineRule="auto"/>
        <w:tabs>
          <w:tab w:leader="none" w:pos="67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60"/>
          </w:cols>
          <w:pgMar w:left="560" w:top="266" w:right="579" w:bottom="1440" w:gutter="0" w:footer="0" w:header="0"/>
        </w:sectPr>
      </w:pPr>
    </w:p>
    <w:bookmarkStart w:id="57" w:name="page58"/>
    <w:bookmarkEnd w:id="57"/>
    <w:p>
      <w:pPr>
        <w:jc w:val="both"/>
        <w:ind w:right="180" w:firstLine="427"/>
        <w:spacing w:after="0" w:line="257" w:lineRule="auto"/>
        <w:tabs>
          <w:tab w:leader="none" w:pos="6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80"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execution of the trusts and powers under this Indenture;</w:t>
      </w:r>
    </w:p>
    <w:p>
      <w:pPr>
        <w:spacing w:after="0" w:line="215" w:lineRule="exact"/>
        <w:rPr>
          <w:rFonts w:ascii="Times New Roman" w:cs="Times New Roman" w:eastAsia="Times New Roman" w:hAnsi="Times New Roman"/>
          <w:sz w:val="18"/>
          <w:szCs w:val="18"/>
          <w:color w:val="auto"/>
        </w:rPr>
      </w:pPr>
    </w:p>
    <w:p>
      <w:pPr>
        <w:ind w:firstLine="427"/>
        <w:spacing w:after="0" w:line="269" w:lineRule="auto"/>
        <w:tabs>
          <w:tab w:leader="none" w:pos="6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spacing w:after="0" w:line="172" w:lineRule="exact"/>
        <w:rPr>
          <w:rFonts w:ascii="Times New Roman" w:cs="Times New Roman" w:eastAsia="Times New Roman" w:hAnsi="Times New Roman"/>
          <w:sz w:val="17"/>
          <w:szCs w:val="17"/>
          <w:color w:val="auto"/>
        </w:rPr>
      </w:pPr>
    </w:p>
    <w:p>
      <w:pPr>
        <w:jc w:val="both"/>
        <w:ind w:right="280" w:firstLine="427"/>
        <w:spacing w:after="0" w:line="257" w:lineRule="auto"/>
        <w:tabs>
          <w:tab w:leader="none" w:pos="64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80" w:lineRule="exact"/>
        <w:rPr>
          <w:sz w:val="20"/>
          <w:szCs w:val="20"/>
          <w:color w:val="auto"/>
        </w:rPr>
      </w:pPr>
    </w:p>
    <w:p>
      <w:pPr>
        <w:ind w:right="200" w:firstLine="431"/>
        <w:spacing w:after="0" w:line="279" w:lineRule="auto"/>
        <w:rPr>
          <w:sz w:val="20"/>
          <w:szCs w:val="20"/>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receive indemnification or security satisfactory to it against any loss, liability or expense caused by taking or not taking such action.</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Reliance on Documents, Opinions, Etc.</w:t>
      </w:r>
      <w:r>
        <w:rPr>
          <w:rFonts w:ascii="Times New Roman" w:cs="Times New Roman" w:eastAsia="Times New Roman" w:hAnsi="Times New Roman"/>
          <w:sz w:val="18"/>
          <w:szCs w:val="18"/>
          <w:color w:val="auto"/>
        </w:rPr>
        <w:t xml:space="preserve"> Except as otherwise provided in Section 7.01:</w:t>
      </w:r>
    </w:p>
    <w:p>
      <w:pPr>
        <w:spacing w:after="0" w:line="112" w:lineRule="exact"/>
        <w:rPr>
          <w:sz w:val="20"/>
          <w:szCs w:val="20"/>
          <w:color w:val="auto"/>
        </w:rPr>
      </w:pPr>
    </w:p>
    <w:p>
      <w:pPr>
        <w:ind w:right="60" w:firstLine="427"/>
        <w:spacing w:after="0" w:line="257" w:lineRule="auto"/>
        <w:tabs>
          <w:tab w:leader="none" w:pos="6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80" w:lineRule="exact"/>
        <w:rPr>
          <w:rFonts w:ascii="Times New Roman" w:cs="Times New Roman" w:eastAsia="Times New Roman" w:hAnsi="Times New Roman"/>
          <w:sz w:val="18"/>
          <w:szCs w:val="18"/>
          <w:color w:val="auto"/>
        </w:rPr>
      </w:pPr>
    </w:p>
    <w:p>
      <w:pPr>
        <w:ind w:right="240" w:firstLine="427"/>
        <w:spacing w:after="0" w:line="257"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0" w:lineRule="exact"/>
        <w:rPr>
          <w:rFonts w:ascii="Times New Roman" w:cs="Times New Roman" w:eastAsia="Times New Roman" w:hAnsi="Times New Roman"/>
          <w:sz w:val="18"/>
          <w:szCs w:val="18"/>
          <w:color w:val="auto"/>
        </w:rPr>
      </w:pPr>
    </w:p>
    <w:p>
      <w:pPr>
        <w:ind w:right="80" w:firstLine="427"/>
        <w:spacing w:after="0" w:line="257" w:lineRule="auto"/>
        <w:tabs>
          <w:tab w:leader="none" w:pos="6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60"/>
          </w:cols>
          <w:pgMar w:left="560" w:top="266" w:right="579" w:bottom="1440" w:gutter="0" w:footer="0" w:header="0"/>
        </w:sectPr>
      </w:pPr>
    </w:p>
    <w:bookmarkStart w:id="58" w:name="page59"/>
    <w:bookmarkEnd w:id="58"/>
    <w:p>
      <w:pPr>
        <w:ind w:right="20" w:firstLine="427"/>
        <w:spacing w:after="0" w:line="257"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80" w:lineRule="exact"/>
        <w:rPr>
          <w:rFonts w:ascii="Times New Roman" w:cs="Times New Roman" w:eastAsia="Times New Roman" w:hAnsi="Times New Roman"/>
          <w:sz w:val="18"/>
          <w:szCs w:val="18"/>
          <w:color w:val="auto"/>
        </w:rPr>
      </w:pPr>
    </w:p>
    <w:p>
      <w:pPr>
        <w:ind w:right="160" w:firstLine="427"/>
        <w:spacing w:after="0" w:line="251" w:lineRule="auto"/>
        <w:tabs>
          <w:tab w:leader="none" w:pos="6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5" w:lineRule="exact"/>
        <w:rPr>
          <w:rFonts w:ascii="Times New Roman" w:cs="Times New Roman" w:eastAsia="Times New Roman" w:hAnsi="Times New Roman"/>
          <w:sz w:val="18"/>
          <w:szCs w:val="18"/>
          <w:color w:val="auto"/>
        </w:rPr>
      </w:pPr>
    </w:p>
    <w:p>
      <w:pPr>
        <w:ind w:left="640" w:hanging="2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w:t>
      </w:r>
    </w:p>
    <w:p>
      <w:pPr>
        <w:spacing w:after="0" w:line="21" w:lineRule="exact"/>
        <w:rPr>
          <w:rFonts w:ascii="Times New Roman" w:cs="Times New Roman" w:eastAsia="Times New Roman" w:hAnsi="Times New Roman"/>
          <w:sz w:val="18"/>
          <w:szCs w:val="18"/>
          <w:color w:val="auto"/>
        </w:rPr>
      </w:pPr>
    </w:p>
    <w:p>
      <w:pPr>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custodians, nominees or attorneys and the Trustee shall not be responsible for any misconduct or negligence on the part of any agent, custodian, nominee or attorney appointed by it with due care hereunder;</w:t>
      </w:r>
    </w:p>
    <w:p>
      <w:pPr>
        <w:spacing w:after="0" w:line="186"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w:t>
      </w:r>
    </w:p>
    <w:p>
      <w:pPr>
        <w:spacing w:after="0" w:line="215" w:lineRule="exact"/>
        <w:rPr>
          <w:rFonts w:ascii="Times New Roman" w:cs="Times New Roman" w:eastAsia="Times New Roman" w:hAnsi="Times New Roman"/>
          <w:sz w:val="18"/>
          <w:szCs w:val="18"/>
          <w:color w:val="auto"/>
        </w:rPr>
      </w:pPr>
    </w:p>
    <w:p>
      <w:pPr>
        <w:ind w:right="100" w:firstLine="427"/>
        <w:spacing w:after="0" w:line="257"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80" w:lineRule="exact"/>
        <w:rPr>
          <w:rFonts w:ascii="Times New Roman" w:cs="Times New Roman" w:eastAsia="Times New Roman" w:hAnsi="Times New Roman"/>
          <w:sz w:val="18"/>
          <w:szCs w:val="18"/>
          <w:color w:val="auto"/>
        </w:rPr>
      </w:pPr>
    </w:p>
    <w:p>
      <w:pPr>
        <w:ind w:right="120" w:firstLine="427"/>
        <w:spacing w:after="0" w:line="251" w:lineRule="auto"/>
        <w:tabs>
          <w:tab w:leader="none" w:pos="6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85" w:lineRule="exact"/>
        <w:rPr>
          <w:sz w:val="20"/>
          <w:szCs w:val="20"/>
          <w:color w:val="auto"/>
        </w:rPr>
      </w:pPr>
    </w:p>
    <w:p>
      <w:pPr>
        <w:ind w:right="200" w:firstLine="431"/>
        <w:spacing w:after="0" w:line="251" w:lineRule="auto"/>
        <w:rPr>
          <w:sz w:val="20"/>
          <w:szCs w:val="20"/>
          <w:color w:val="auto"/>
        </w:rPr>
      </w:pPr>
      <w:r>
        <w:rPr>
          <w:rFonts w:ascii="Times New Roman" w:cs="Times New Roman" w:eastAsia="Times New Roman" w:hAnsi="Times New Roman"/>
          <w:sz w:val="18"/>
          <w:szCs w:val="18"/>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80"/>
          </w:cols>
          <w:pgMar w:left="560" w:top="266" w:right="559" w:bottom="1440" w:gutter="0" w:footer="0" w:header="0"/>
        </w:sectPr>
      </w:pPr>
    </w:p>
    <w:bookmarkStart w:id="59" w:name="page60"/>
    <w:bookmarkEnd w:id="59"/>
    <w:p>
      <w:pPr>
        <w:ind w:right="100"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7.03</w:t>
      </w:r>
      <w:r>
        <w:rPr>
          <w:rFonts w:ascii="Times New Roman" w:cs="Times New Roman" w:eastAsia="Times New Roman" w:hAnsi="Times New Roman"/>
          <w:sz w:val="18"/>
          <w:szCs w:val="18"/>
          <w:i w:val="1"/>
          <w:iCs w:val="1"/>
          <w:color w:val="auto"/>
        </w:rPr>
        <w:t>. No Responsibility for Recitals, Etc.</w:t>
      </w:r>
      <w:r>
        <w:rPr>
          <w:rFonts w:ascii="Times New Roman" w:cs="Times New Roman" w:eastAsia="Times New Roman" w:hAnsi="Times New Roman"/>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spacing w:after="0" w:line="185" w:lineRule="exact"/>
        <w:rPr>
          <w:sz w:val="20"/>
          <w:szCs w:val="20"/>
          <w:color w:val="auto"/>
        </w:rPr>
      </w:pPr>
    </w:p>
    <w:p>
      <w:pPr>
        <w:jc w:val="both"/>
        <w:ind w:right="340" w:firstLine="431"/>
        <w:spacing w:after="0" w:line="254"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Trustee, Paying Agents, Conversion Agents, Bid Solicitation Agent or Note Registrar May Own Notes.</w:t>
      </w:r>
      <w:r>
        <w:rPr>
          <w:rFonts w:ascii="Times New Roman" w:cs="Times New Roman" w:eastAsia="Times New Roman" w:hAnsi="Times New Roman"/>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0"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Monies and Shares of Class A Common Stock to Be Held in Trust.</w:t>
      </w:r>
      <w:r>
        <w:rPr>
          <w:rFonts w:ascii="Times New Roman" w:cs="Times New Roman" w:eastAsia="Times New Roman" w:hAnsi="Times New Roman"/>
          <w:sz w:val="18"/>
          <w:szCs w:val="18"/>
          <w:color w:val="auto"/>
        </w:rPr>
        <w:t xml:space="preserve"> All monies and shares of Class A Common Stock received by the Trustee shall, until used or applied as herein provided, be held in trust for the purposes for which they were received. Money and shares of Class A Common Stock held by the Trustee in trust hereunder need not be segregated from other funds except to the extent required by law. The Trustee shall be under no liability for interest on any money or shares of Class A Common Stock received by it hereunder except as may be agreed from time to time by the Company and the Trustee.</w:t>
      </w:r>
    </w:p>
    <w:p>
      <w:pPr>
        <w:spacing w:after="0" w:line="185" w:lineRule="exact"/>
        <w:rPr>
          <w:sz w:val="20"/>
          <w:szCs w:val="20"/>
          <w:color w:val="auto"/>
        </w:rPr>
      </w:pPr>
    </w:p>
    <w:p>
      <w:pPr>
        <w:ind w:firstLine="431"/>
        <w:spacing w:after="0" w:line="262" w:lineRule="auto"/>
        <w:rPr>
          <w:sz w:val="20"/>
          <w:szCs w:val="20"/>
          <w:color w:val="auto"/>
        </w:rPr>
      </w:pPr>
      <w:r>
        <w:rPr>
          <w:rFonts w:ascii="Times New Roman" w:cs="Times New Roman" w:eastAsia="Times New Roman" w:hAnsi="Times New Roman"/>
          <w:sz w:val="17"/>
          <w:szCs w:val="17"/>
          <w:color w:val="auto"/>
        </w:rPr>
        <w:t>Section 7.06</w:t>
      </w:r>
      <w:r>
        <w:rPr>
          <w:rFonts w:ascii="Times New Roman" w:cs="Times New Roman" w:eastAsia="Times New Roman" w:hAnsi="Times New Roman"/>
          <w:sz w:val="17"/>
          <w:szCs w:val="17"/>
          <w:i w:val="1"/>
          <w:iCs w:val="1"/>
          <w:color w:val="auto"/>
        </w:rPr>
        <w:t>. Compensation and Expenses of Trustee.</w:t>
      </w:r>
      <w:r>
        <w:rPr>
          <w:rFonts w:ascii="Times New Roman" w:cs="Times New Roman" w:eastAsia="Times New Roman" w:hAnsi="Times New Roman"/>
          <w:sz w:val="17"/>
          <w:szCs w:val="17"/>
          <w:color w:val="auto"/>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560" w:top="264" w:right="619" w:bottom="1440" w:gutter="0" w:footer="0" w:header="0"/>
        </w:sectPr>
      </w:pPr>
    </w:p>
    <w:bookmarkStart w:id="60" w:name="page61"/>
    <w:bookmarkEnd w:id="60"/>
    <w:p>
      <w:pPr>
        <w:ind w:right="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collected by the Trustee, except, subject to the effect of Section 6.05, funds held in trust herewith for the benefit of the Holders of particular Notes, and, for the avoidance of doubt, such claim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74" w:lineRule="exact"/>
        <w:rPr>
          <w:sz w:val="20"/>
          <w:szCs w:val="20"/>
          <w:color w:val="auto"/>
        </w:rPr>
      </w:pPr>
    </w:p>
    <w:p>
      <w:pPr>
        <w:ind w:right="60" w:firstLine="431"/>
        <w:spacing w:after="0" w:line="257" w:lineRule="auto"/>
        <w:rPr>
          <w:sz w:val="20"/>
          <w:szCs w:val="20"/>
          <w:color w:val="auto"/>
        </w:rPr>
      </w:pPr>
      <w:r>
        <w:rPr>
          <w:rFonts w:ascii="Times New Roman" w:cs="Times New Roman" w:eastAsia="Times New Roman" w:hAnsi="Times New Roman"/>
          <w:sz w:val="18"/>
          <w:szCs w:val="18"/>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78" w:lineRule="exact"/>
        <w:rPr>
          <w:sz w:val="20"/>
          <w:szCs w:val="20"/>
          <w:color w:val="auto"/>
        </w:rPr>
      </w:pPr>
    </w:p>
    <w:p>
      <w:pPr>
        <w:ind w:right="100" w:firstLine="431"/>
        <w:spacing w:after="0" w:line="250" w:lineRule="auto"/>
        <w:rPr>
          <w:sz w:val="20"/>
          <w:szCs w:val="20"/>
          <w:color w:val="auto"/>
        </w:rPr>
      </w:pPr>
      <w:r>
        <w:rPr>
          <w:rFonts w:ascii="Times New Roman" w:cs="Times New Roman" w:eastAsia="Times New Roman" w:hAnsi="Times New Roman"/>
          <w:sz w:val="18"/>
          <w:szCs w:val="18"/>
          <w:color w:val="auto"/>
        </w:rPr>
        <w:t>Section 7.07</w:t>
      </w:r>
      <w:r>
        <w:rPr>
          <w:rFonts w:ascii="Times New Roman" w:cs="Times New Roman" w:eastAsia="Times New Roman" w:hAnsi="Times New Roman"/>
          <w:sz w:val="18"/>
          <w:szCs w:val="18"/>
          <w:i w:val="1"/>
          <w:iCs w:val="1"/>
          <w:color w:val="auto"/>
        </w:rPr>
        <w:t>. Officer’s Certificate as Evidence.</w:t>
      </w:r>
      <w:r>
        <w:rPr>
          <w:rFonts w:ascii="Times New Roman" w:cs="Times New Roman" w:eastAsia="Times New Roman" w:hAnsi="Times New Roman"/>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85"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Section 7.08</w:t>
      </w:r>
      <w:r>
        <w:rPr>
          <w:rFonts w:ascii="Times New Roman" w:cs="Times New Roman" w:eastAsia="Times New Roman" w:hAnsi="Times New Roman"/>
          <w:sz w:val="18"/>
          <w:szCs w:val="18"/>
          <w:i w:val="1"/>
          <w:iCs w:val="1"/>
          <w:color w:val="auto"/>
        </w:rPr>
        <w:t>. Eligibility of Trustee.</w:t>
      </w:r>
      <w:r>
        <w:rPr>
          <w:rFonts w:ascii="Times New Roman" w:cs="Times New Roman" w:eastAsia="Times New Roman" w:hAnsi="Times New Roman"/>
          <w:sz w:val="18"/>
          <w:szCs w:val="18"/>
          <w:color w:val="auto"/>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7.09</w:t>
      </w:r>
      <w:r>
        <w:rPr>
          <w:rFonts w:ascii="Times New Roman" w:cs="Times New Roman" w:eastAsia="Times New Roman" w:hAnsi="Times New Roman"/>
          <w:sz w:val="18"/>
          <w:szCs w:val="18"/>
          <w:i w:val="1"/>
          <w:iCs w:val="1"/>
          <w:color w:val="auto"/>
        </w:rPr>
        <w:t>. Resignation or Removal of Trustee.</w:t>
      </w:r>
    </w:p>
    <w:p>
      <w:pPr>
        <w:spacing w:after="0" w:line="218" w:lineRule="exact"/>
        <w:rPr>
          <w:sz w:val="20"/>
          <w:szCs w:val="20"/>
          <w:color w:val="auto"/>
        </w:rPr>
      </w:pPr>
    </w:p>
    <w:p>
      <w:pPr>
        <w:ind w:right="60" w:firstLine="427"/>
        <w:spacing w:after="0" w:line="251" w:lineRule="auto"/>
        <w:tabs>
          <w:tab w:leader="none" w:pos="6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60"/>
          </w:cols>
          <w:pgMar w:left="560" w:top="266" w:right="57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84" w:lineRule="exact"/>
        <w:rPr>
          <w:sz w:val="20"/>
          <w:szCs w:val="20"/>
          <w:color w:val="auto"/>
        </w:rPr>
      </w:pPr>
    </w:p>
    <w:p>
      <w:pPr>
        <w:ind w:left="680" w:hanging="253"/>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of the following shall occur:</w:t>
      </w:r>
    </w:p>
    <w:p>
      <w:pPr>
        <w:spacing w:after="0" w:line="109" w:lineRule="exact"/>
        <w:rPr>
          <w:rFonts w:ascii="Times New Roman" w:cs="Times New Roman" w:eastAsia="Times New Roman" w:hAnsi="Times New Roman"/>
          <w:sz w:val="18"/>
          <w:szCs w:val="18"/>
          <w:color w:val="auto"/>
        </w:rPr>
      </w:pPr>
    </w:p>
    <w:p>
      <w:pPr>
        <w:ind w:left="420" w:right="540" w:firstLine="421"/>
        <w:spacing w:after="0" w:line="270" w:lineRule="auto"/>
        <w:tabs>
          <w:tab w:leader="none" w:pos="10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7.08 and shall fail to resign after written request therefor by the Company or by any such Holder, or</w:t>
      </w:r>
    </w:p>
    <w:p>
      <w:pPr>
        <w:spacing w:after="0" w:line="62" w:lineRule="exact"/>
        <w:rPr>
          <w:rFonts w:ascii="Times New Roman" w:cs="Times New Roman" w:eastAsia="Times New Roman" w:hAnsi="Times New Roman"/>
          <w:sz w:val="18"/>
          <w:szCs w:val="18"/>
          <w:color w:val="auto"/>
        </w:rPr>
      </w:pPr>
    </w:p>
    <w:p>
      <w:pPr>
        <w:ind w:left="420" w:right="100" w:firstLine="421"/>
        <w:spacing w:after="0" w:line="257" w:lineRule="auto"/>
        <w:tabs>
          <w:tab w:leader="none" w:pos="109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5" w:lineRule="exact"/>
        <w:rPr>
          <w:sz w:val="20"/>
          <w:szCs w:val="20"/>
          <w:color w:val="auto"/>
        </w:rPr>
      </w:pPr>
    </w:p>
    <w:p>
      <w:pPr>
        <w:ind w:right="100" w:firstLine="427"/>
        <w:spacing w:after="0" w:line="273" w:lineRule="auto"/>
        <w:tabs>
          <w:tab w:leader="none" w:pos="67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66" w:lineRule="exact"/>
        <w:rPr>
          <w:rFonts w:ascii="Times New Roman" w:cs="Times New Roman" w:eastAsia="Times New Roman" w:hAnsi="Times New Roman"/>
          <w:sz w:val="17"/>
          <w:szCs w:val="17"/>
          <w:color w:val="auto"/>
        </w:rPr>
      </w:pPr>
    </w:p>
    <w:p>
      <w:pPr>
        <w:ind w:right="180" w:firstLine="427"/>
        <w:spacing w:after="0" w:line="270"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66" w:lineRule="exact"/>
        <w:rPr>
          <w:sz w:val="20"/>
          <w:szCs w:val="20"/>
          <w:color w:val="auto"/>
        </w:rPr>
      </w:pPr>
    </w:p>
    <w:p>
      <w:pPr>
        <w:ind w:right="60" w:firstLine="431"/>
        <w:spacing w:after="0" w:line="254" w:lineRule="auto"/>
        <w:rPr>
          <w:sz w:val="20"/>
          <w:szCs w:val="20"/>
          <w:color w:val="auto"/>
        </w:rPr>
      </w:pPr>
      <w:r>
        <w:rPr>
          <w:rFonts w:ascii="Times New Roman" w:cs="Times New Roman" w:eastAsia="Times New Roman" w:hAnsi="Times New Roman"/>
          <w:sz w:val="18"/>
          <w:szCs w:val="18"/>
          <w:color w:val="auto"/>
        </w:rPr>
        <w:t>Section 7.10</w:t>
      </w:r>
      <w:r>
        <w:rPr>
          <w:rFonts w:ascii="Times New Roman" w:cs="Times New Roman" w:eastAsia="Times New Roman" w:hAnsi="Times New Roman"/>
          <w:sz w:val="18"/>
          <w:szCs w:val="18"/>
          <w:i w:val="1"/>
          <w:iCs w:val="1"/>
          <w:color w:val="auto"/>
        </w:rPr>
        <w:t>. Acceptance by Successor Trustee.</w:t>
      </w:r>
      <w:r>
        <w:rPr>
          <w:rFonts w:ascii="Times New Roman" w:cs="Times New Roman" w:eastAsia="Times New Roman" w:hAnsi="Times New Roman"/>
          <w:sz w:val="18"/>
          <w:szCs w:val="18"/>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20"/>
          </w:cols>
          <w:pgMar w:left="560" w:top="266" w:right="619" w:bottom="1440" w:gutter="0" w:footer="0" w:header="0"/>
        </w:sectPr>
      </w:pPr>
    </w:p>
    <w:bookmarkStart w:id="62" w:name="page63"/>
    <w:bookmarkEnd w:id="62"/>
    <w:p>
      <w:pPr>
        <w:ind w:right="8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right="20" w:firstLine="431"/>
        <w:spacing w:after="0" w:line="270" w:lineRule="auto"/>
        <w:rPr>
          <w:sz w:val="20"/>
          <w:szCs w:val="20"/>
          <w:color w:val="auto"/>
        </w:rPr>
      </w:pPr>
      <w:r>
        <w:rPr>
          <w:rFonts w:ascii="Times New Roman" w:cs="Times New Roman" w:eastAsia="Times New Roman" w:hAnsi="Times New Roman"/>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68" w:lineRule="exact"/>
        <w:rPr>
          <w:sz w:val="20"/>
          <w:szCs w:val="20"/>
          <w:color w:val="auto"/>
        </w:rPr>
      </w:pPr>
    </w:p>
    <w:p>
      <w:pPr>
        <w:ind w:right="100" w:firstLine="431"/>
        <w:spacing w:after="0" w:line="253" w:lineRule="auto"/>
        <w:rPr>
          <w:sz w:val="20"/>
          <w:szCs w:val="20"/>
          <w:color w:val="auto"/>
        </w:rPr>
      </w:pPr>
      <w:r>
        <w:rPr>
          <w:rFonts w:ascii="Times New Roman" w:cs="Times New Roman" w:eastAsia="Times New Roman" w:hAnsi="Times New Roman"/>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82" w:lineRule="exact"/>
        <w:rPr>
          <w:sz w:val="20"/>
          <w:szCs w:val="20"/>
          <w:color w:val="auto"/>
        </w:rPr>
      </w:pPr>
    </w:p>
    <w:p>
      <w:pPr>
        <w:ind w:right="80" w:firstLine="431"/>
        <w:spacing w:after="0" w:line="250" w:lineRule="auto"/>
        <w:rPr>
          <w:sz w:val="20"/>
          <w:szCs w:val="20"/>
          <w:color w:val="auto"/>
        </w:rPr>
      </w:pPr>
      <w:r>
        <w:rPr>
          <w:rFonts w:ascii="Times New Roman" w:cs="Times New Roman" w:eastAsia="Times New Roman" w:hAnsi="Times New Roman"/>
          <w:sz w:val="18"/>
          <w:szCs w:val="18"/>
          <w:color w:val="auto"/>
        </w:rPr>
        <w:t>Section 7.11</w:t>
      </w:r>
      <w:r>
        <w:rPr>
          <w:rFonts w:ascii="Times New Roman" w:cs="Times New Roman" w:eastAsia="Times New Roman" w:hAnsi="Times New Roman"/>
          <w:sz w:val="18"/>
          <w:szCs w:val="18"/>
          <w:i w:val="1"/>
          <w:iCs w:val="1"/>
          <w:color w:val="auto"/>
        </w:rPr>
        <w:t>. Succession by Merger, Etc.</w:t>
      </w:r>
      <w:r>
        <w:rPr>
          <w:rFonts w:ascii="Times New Roman" w:cs="Times New Roman" w:eastAsia="Times New Roman" w:hAnsi="Times New Roman"/>
          <w:sz w:val="18"/>
          <w:szCs w:val="18"/>
          <w:color w:val="auto"/>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w:t>
      </w:r>
    </w:p>
    <w:p>
      <w:pPr>
        <w:spacing w:after="0" w:line="187"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80"/>
          </w:cols>
          <w:pgMar w:left="560" w:top="266" w:right="559" w:bottom="1440" w:gutter="0" w:footer="0" w:header="0"/>
        </w:sectPr>
      </w:pPr>
    </w:p>
    <w:bookmarkStart w:id="63" w:name="page64"/>
    <w:bookmarkEnd w:id="63"/>
    <w:p>
      <w:pPr>
        <w:ind w:left="3" w:right="60" w:firstLine="431"/>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7.12</w:t>
      </w:r>
      <w:r>
        <w:rPr>
          <w:rFonts w:ascii="Times New Roman" w:cs="Times New Roman" w:eastAsia="Times New Roman" w:hAnsi="Times New Roman"/>
          <w:sz w:val="18"/>
          <w:szCs w:val="18"/>
          <w:i w:val="1"/>
          <w:iCs w:val="1"/>
          <w:color w:val="auto"/>
        </w:rPr>
        <w:t>. Trustee’s Application for Instructions from the Company.</w:t>
      </w:r>
      <w:r>
        <w:rPr>
          <w:rFonts w:ascii="Times New Roman" w:cs="Times New Roman" w:eastAsia="Times New Roman" w:hAnsi="Times New Roman"/>
          <w:sz w:val="18"/>
          <w:szCs w:val="18"/>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00" w:lineRule="exact"/>
        <w:rPr>
          <w:sz w:val="20"/>
          <w:szCs w:val="20"/>
          <w:color w:val="auto"/>
        </w:rPr>
      </w:pPr>
    </w:p>
    <w:p>
      <w:pPr>
        <w:spacing w:after="0" w:line="201"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8"/>
          <w:szCs w:val="18"/>
          <w:color w:val="auto"/>
        </w:rPr>
        <w:t>ARTICLE 8</w:t>
      </w:r>
    </w:p>
    <w:p>
      <w:pPr>
        <w:spacing w:after="0" w:line="22"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ONCERNING THE</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196" w:lineRule="exact"/>
        <w:rPr>
          <w:sz w:val="20"/>
          <w:szCs w:val="20"/>
          <w:color w:val="auto"/>
        </w:rPr>
      </w:pPr>
    </w:p>
    <w:p>
      <w:pPr>
        <w:jc w:val="both"/>
        <w:ind w:left="3" w:right="180" w:firstLine="431"/>
        <w:spacing w:after="0" w:line="267" w:lineRule="auto"/>
        <w:rPr>
          <w:sz w:val="20"/>
          <w:szCs w:val="20"/>
          <w:color w:val="auto"/>
        </w:rPr>
      </w:pPr>
      <w:r>
        <w:rPr>
          <w:rFonts w:ascii="Times New Roman" w:cs="Times New Roman" w:eastAsia="Times New Roman" w:hAnsi="Times New Roman"/>
          <w:sz w:val="17"/>
          <w:szCs w:val="17"/>
          <w:color w:val="auto"/>
        </w:rPr>
        <w:t>Section 8.01</w:t>
      </w:r>
      <w:r>
        <w:rPr>
          <w:rFonts w:ascii="Times New Roman" w:cs="Times New Roman" w:eastAsia="Times New Roman" w:hAnsi="Times New Roman"/>
          <w:sz w:val="17"/>
          <w:szCs w:val="17"/>
          <w:i w:val="1"/>
          <w:iCs w:val="1"/>
          <w:color w:val="auto"/>
        </w:rPr>
        <w:t>. Action by Holders.</w:t>
      </w:r>
      <w:r>
        <w:rPr>
          <w:rFonts w:ascii="Times New Roman" w:cs="Times New Roman" w:eastAsia="Times New Roman" w:hAnsi="Times New Roman"/>
          <w:sz w:val="17"/>
          <w:szCs w:val="17"/>
          <w:color w:val="auto"/>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w:t>
      </w:r>
    </w:p>
    <w:p>
      <w:pPr>
        <w:spacing w:after="0" w:line="1" w:lineRule="exact"/>
        <w:rPr>
          <w:sz w:val="20"/>
          <w:szCs w:val="20"/>
          <w:color w:val="auto"/>
        </w:rPr>
      </w:pPr>
    </w:p>
    <w:p>
      <w:pPr>
        <w:ind w:left="3" w:hanging="3"/>
        <w:spacing w:after="0" w:line="245" w:lineRule="auto"/>
        <w:tabs>
          <w:tab w:leader="none" w:pos="2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2" w:lineRule="exact"/>
        <w:rPr>
          <w:sz w:val="20"/>
          <w:szCs w:val="20"/>
          <w:color w:val="auto"/>
        </w:rPr>
      </w:pPr>
    </w:p>
    <w:p>
      <w:pPr>
        <w:ind w:left="3" w:firstLine="431"/>
        <w:spacing w:after="0" w:line="254" w:lineRule="auto"/>
        <w:rPr>
          <w:sz w:val="20"/>
          <w:szCs w:val="20"/>
          <w:color w:val="auto"/>
        </w:rPr>
      </w:pPr>
      <w:r>
        <w:rPr>
          <w:rFonts w:ascii="Times New Roman" w:cs="Times New Roman" w:eastAsia="Times New Roman" w:hAnsi="Times New Roman"/>
          <w:sz w:val="18"/>
          <w:szCs w:val="18"/>
          <w:color w:val="auto"/>
        </w:rPr>
        <w:t>Section 8.02</w:t>
      </w:r>
      <w:r>
        <w:rPr>
          <w:rFonts w:ascii="Times New Roman" w:cs="Times New Roman" w:eastAsia="Times New Roman" w:hAnsi="Times New Roman"/>
          <w:sz w:val="18"/>
          <w:szCs w:val="18"/>
          <w:i w:val="1"/>
          <w:iCs w:val="1"/>
          <w:color w:val="auto"/>
        </w:rPr>
        <w:t>. Proof of Execution by Holders.</w:t>
      </w:r>
      <w:r>
        <w:rPr>
          <w:rFonts w:ascii="Times New Roman" w:cs="Times New Roman" w:eastAsia="Times New Roman" w:hAnsi="Times New Roman"/>
          <w:sz w:val="18"/>
          <w:szCs w:val="18"/>
          <w:color w:val="auto"/>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 The holding of Notes shall be proved by the Note Register or by a certificate of the Note Registrar. The record of any Holders’ meeting shall be proved in the manner provided in Section 9.06.</w:t>
      </w:r>
    </w:p>
    <w:p>
      <w:pPr>
        <w:spacing w:after="0" w:line="116"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3"/>
          </w:cols>
          <w:pgMar w:left="557" w:top="264" w:right="619" w:bottom="1440" w:gutter="0" w:footer="0" w:header="0"/>
        </w:sectPr>
      </w:pPr>
    </w:p>
    <w:bookmarkStart w:id="64" w:name="page65"/>
    <w:bookmarkEnd w:id="64"/>
    <w:p>
      <w:pPr>
        <w:ind w:left="3" w:firstLine="431"/>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8.03</w:t>
      </w:r>
      <w:r>
        <w:rPr>
          <w:rFonts w:ascii="Times New Roman" w:cs="Times New Roman" w:eastAsia="Times New Roman" w:hAnsi="Times New Roman"/>
          <w:sz w:val="17"/>
          <w:szCs w:val="17"/>
          <w:i w:val="1"/>
          <w:iCs w:val="1"/>
          <w:color w:val="auto"/>
        </w:rPr>
        <w:t>. Who Are Deemed Absolute Owners.</w:t>
      </w:r>
      <w:r>
        <w:rPr>
          <w:rFonts w:ascii="Times New Roman" w:cs="Times New Roman" w:eastAsia="Times New Roman" w:hAnsi="Times New Roman"/>
          <w:sz w:val="17"/>
          <w:szCs w:val="17"/>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Class A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 Section 14.01(b)(v), and</w:t>
      </w:r>
    </w:p>
    <w:p>
      <w:pPr>
        <w:spacing w:after="0" w:line="4" w:lineRule="exact"/>
        <w:rPr>
          <w:sz w:val="20"/>
          <w:szCs w:val="20"/>
          <w:color w:val="auto"/>
        </w:rPr>
      </w:pPr>
    </w:p>
    <w:p>
      <w:pPr>
        <w:ind w:left="3" w:right="140" w:hanging="3"/>
        <w:spacing w:after="0" w:line="249" w:lineRule="auto"/>
        <w:tabs>
          <w:tab w:leader="none" w:pos="2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right to exchange such beneficial interest for a Note in certificated form in accordance with the provisions of this Indenture following an Event of Default.</w:t>
      </w:r>
    </w:p>
    <w:p>
      <w:pPr>
        <w:spacing w:after="0" w:line="185" w:lineRule="exact"/>
        <w:rPr>
          <w:sz w:val="20"/>
          <w:szCs w:val="20"/>
          <w:color w:val="auto"/>
        </w:rPr>
      </w:pPr>
    </w:p>
    <w:p>
      <w:pPr>
        <w:ind w:left="3" w:right="60" w:firstLine="431"/>
        <w:spacing w:after="0" w:line="247" w:lineRule="auto"/>
        <w:rPr>
          <w:sz w:val="20"/>
          <w:szCs w:val="20"/>
          <w:color w:val="auto"/>
        </w:rPr>
      </w:pPr>
      <w:r>
        <w:rPr>
          <w:rFonts w:ascii="Times New Roman" w:cs="Times New Roman" w:eastAsia="Times New Roman" w:hAnsi="Times New Roman"/>
          <w:sz w:val="18"/>
          <w:szCs w:val="18"/>
          <w:color w:val="auto"/>
        </w:rPr>
        <w:t>Section 8.04</w:t>
      </w:r>
      <w:r>
        <w:rPr>
          <w:rFonts w:ascii="Times New Roman" w:cs="Times New Roman" w:eastAsia="Times New Roman" w:hAnsi="Times New Roman"/>
          <w:sz w:val="18"/>
          <w:szCs w:val="18"/>
          <w:i w:val="1"/>
          <w:iCs w:val="1"/>
          <w:color w:val="auto"/>
        </w:rPr>
        <w:t>. Company-Owned Notes Disregarded.</w:t>
      </w:r>
      <w:r>
        <w:rPr>
          <w:rFonts w:ascii="Times New Roman" w:cs="Times New Roman" w:eastAsia="Times New Roman" w:hAnsi="Times New Roman"/>
          <w:sz w:val="18"/>
          <w:szCs w:val="18"/>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2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63"/>
          </w:cols>
          <w:pgMar w:left="557" w:top="264" w:right="579" w:bottom="1440" w:gutter="0" w:footer="0" w:header="0"/>
        </w:sectPr>
      </w:pPr>
    </w:p>
    <w:bookmarkStart w:id="65" w:name="page66"/>
    <w:bookmarkEnd w:id="65"/>
    <w:p>
      <w:pPr>
        <w:ind w:firstLine="431"/>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8.05</w:t>
      </w:r>
      <w:r>
        <w:rPr>
          <w:rFonts w:ascii="Times New Roman" w:cs="Times New Roman" w:eastAsia="Times New Roman" w:hAnsi="Times New Roman"/>
          <w:sz w:val="18"/>
          <w:szCs w:val="18"/>
          <w:i w:val="1"/>
          <w:iCs w:val="1"/>
          <w:color w:val="auto"/>
        </w:rPr>
        <w:t>. Revocation of Consents; Future Holders Bound.</w:t>
      </w:r>
      <w:r>
        <w:rPr>
          <w:rFonts w:ascii="Times New Roman" w:cs="Times New Roman" w:eastAsia="Times New Roman" w:hAnsi="Times New Roman"/>
          <w:sz w:val="18"/>
          <w:szCs w:val="18"/>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OLDERS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EETINGS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9.01</w:t>
      </w:r>
      <w:r>
        <w:rPr>
          <w:rFonts w:ascii="Times New Roman" w:cs="Times New Roman" w:eastAsia="Times New Roman" w:hAnsi="Times New Roman"/>
          <w:sz w:val="18"/>
          <w:szCs w:val="18"/>
          <w:i w:val="1"/>
          <w:iCs w:val="1"/>
          <w:color w:val="auto"/>
        </w:rPr>
        <w:t>. Purpose of Meetings.</w:t>
      </w:r>
      <w:r>
        <w:rPr>
          <w:rFonts w:ascii="Times New Roman" w:cs="Times New Roman" w:eastAsia="Times New Roman" w:hAnsi="Times New Roman"/>
          <w:sz w:val="18"/>
          <w:szCs w:val="18"/>
          <w:color w:val="auto"/>
        </w:rPr>
        <w:t xml:space="preserve"> A meeting of Holders may be called at any time and from time to time pursuant to the provisions of this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9 for any of the following purposes:</w:t>
      </w:r>
    </w:p>
    <w:p>
      <w:pPr>
        <w:spacing w:after="0" w:line="92" w:lineRule="exact"/>
        <w:rPr>
          <w:sz w:val="20"/>
          <w:szCs w:val="20"/>
          <w:color w:val="auto"/>
        </w:rPr>
      </w:pPr>
    </w:p>
    <w:p>
      <w:pPr>
        <w:jc w:val="both"/>
        <w:ind w:right="80" w:firstLine="427"/>
        <w:spacing w:after="0" w:line="257" w:lineRule="auto"/>
        <w:tabs>
          <w:tab w:leader="none" w:pos="6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80"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Trustee and nominate a successor trustee pursuant to the provisions of Article 7;</w:t>
      </w:r>
    </w:p>
    <w:p>
      <w:pPr>
        <w:spacing w:after="0" w:line="215" w:lineRule="exact"/>
        <w:rPr>
          <w:rFonts w:ascii="Times New Roman" w:cs="Times New Roman" w:eastAsia="Times New Roman" w:hAnsi="Times New Roman"/>
          <w:sz w:val="18"/>
          <w:szCs w:val="18"/>
          <w:color w:val="auto"/>
        </w:rPr>
      </w:pPr>
    </w:p>
    <w:p>
      <w:pPr>
        <w:ind w:left="660" w:hanging="233"/>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consent to the execution of an indenture or indentures supplemental hereto pursuant to the provisions of Section 10.02; or</w:t>
      </w:r>
    </w:p>
    <w:p>
      <w:pPr>
        <w:spacing w:after="0" w:line="215" w:lineRule="exact"/>
        <w:rPr>
          <w:rFonts w:ascii="Times New Roman" w:cs="Times New Roman" w:eastAsia="Times New Roman" w:hAnsi="Times New Roman"/>
          <w:sz w:val="18"/>
          <w:szCs w:val="18"/>
          <w:color w:val="auto"/>
        </w:rPr>
      </w:pPr>
    </w:p>
    <w:p>
      <w:pPr>
        <w:ind w:right="160" w:firstLine="427"/>
        <w:spacing w:after="0" w:line="270" w:lineRule="auto"/>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66" w:lineRule="exact"/>
        <w:rPr>
          <w:sz w:val="20"/>
          <w:szCs w:val="20"/>
          <w:color w:val="auto"/>
        </w:rPr>
      </w:pPr>
    </w:p>
    <w:p>
      <w:pPr>
        <w:ind w:right="20" w:firstLine="431"/>
        <w:spacing w:after="0" w:line="251" w:lineRule="auto"/>
        <w:rPr>
          <w:sz w:val="20"/>
          <w:szCs w:val="20"/>
          <w:color w:val="auto"/>
        </w:rPr>
      </w:pPr>
      <w:r>
        <w:rPr>
          <w:rFonts w:ascii="Times New Roman" w:cs="Times New Roman" w:eastAsia="Times New Roman" w:hAnsi="Times New Roman"/>
          <w:sz w:val="18"/>
          <w:szCs w:val="18"/>
          <w:color w:val="auto"/>
        </w:rPr>
        <w:t>Section 9.02</w:t>
      </w:r>
      <w:r>
        <w:rPr>
          <w:rFonts w:ascii="Times New Roman" w:cs="Times New Roman" w:eastAsia="Times New Roman" w:hAnsi="Times New Roman"/>
          <w:sz w:val="18"/>
          <w:szCs w:val="18"/>
          <w:i w:val="1"/>
          <w:iCs w:val="1"/>
          <w:color w:val="auto"/>
        </w:rPr>
        <w:t>. Call of Meetings by Trustee.</w:t>
      </w:r>
      <w:r>
        <w:rPr>
          <w:rFonts w:ascii="Times New Roman" w:cs="Times New Roman" w:eastAsia="Times New Roman" w:hAnsi="Times New Roman"/>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7" w:lineRule="exact"/>
        <w:rPr>
          <w:sz w:val="20"/>
          <w:szCs w:val="20"/>
          <w:color w:val="auto"/>
        </w:rPr>
      </w:pPr>
    </w:p>
    <w:p>
      <w:pPr>
        <w:ind w:right="140" w:firstLine="431"/>
        <w:spacing w:after="0" w:line="257" w:lineRule="auto"/>
        <w:rPr>
          <w:sz w:val="20"/>
          <w:szCs w:val="20"/>
          <w:color w:val="auto"/>
        </w:rPr>
      </w:pPr>
      <w:r>
        <w:rPr>
          <w:rFonts w:ascii="Times New Roman" w:cs="Times New Roman" w:eastAsia="Times New Roman" w:hAnsi="Times New Roman"/>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40"/>
          </w:cols>
          <w:pgMar w:left="560" w:top="264" w:right="599" w:bottom="1440" w:gutter="0" w:footer="0" w:header="0"/>
        </w:sectPr>
      </w:pPr>
    </w:p>
    <w:bookmarkStart w:id="66" w:name="page67"/>
    <w:bookmarkEnd w:id="66"/>
    <w:p>
      <w:pPr>
        <w:ind w:right="20"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9.03</w:t>
      </w:r>
      <w:r>
        <w:rPr>
          <w:rFonts w:ascii="Times New Roman" w:cs="Times New Roman" w:eastAsia="Times New Roman" w:hAnsi="Times New Roman"/>
          <w:sz w:val="18"/>
          <w:szCs w:val="18"/>
          <w:i w:val="1"/>
          <w:iCs w:val="1"/>
          <w:color w:val="auto"/>
        </w:rPr>
        <w:t>. Call of Meetings by Company or Holders.</w:t>
      </w:r>
      <w:r>
        <w:rPr>
          <w:rFonts w:ascii="Times New Roman" w:cs="Times New Roman" w:eastAsia="Times New Roman" w:hAnsi="Times New Roman"/>
          <w:sz w:val="18"/>
          <w:szCs w:val="18"/>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85" w:lineRule="exact"/>
        <w:rPr>
          <w:sz w:val="20"/>
          <w:szCs w:val="20"/>
          <w:color w:val="auto"/>
        </w:rPr>
      </w:pPr>
    </w:p>
    <w:p>
      <w:pPr>
        <w:jc w:val="both"/>
        <w:ind w:right="20" w:firstLine="431"/>
        <w:spacing w:after="0" w:line="273" w:lineRule="auto"/>
        <w:rPr>
          <w:sz w:val="20"/>
          <w:szCs w:val="20"/>
          <w:color w:val="auto"/>
        </w:rPr>
      </w:pPr>
      <w:r>
        <w:rPr>
          <w:rFonts w:ascii="Times New Roman" w:cs="Times New Roman" w:eastAsia="Times New Roman" w:hAnsi="Times New Roman"/>
          <w:sz w:val="17"/>
          <w:szCs w:val="17"/>
          <w:color w:val="auto"/>
        </w:rPr>
        <w:t>Section 9.04</w:t>
      </w:r>
      <w:r>
        <w:rPr>
          <w:rFonts w:ascii="Times New Roman" w:cs="Times New Roman" w:eastAsia="Times New Roman" w:hAnsi="Times New Roman"/>
          <w:sz w:val="17"/>
          <w:szCs w:val="17"/>
          <w:i w:val="1"/>
          <w:iCs w:val="1"/>
          <w:color w:val="auto"/>
        </w:rPr>
        <w:t>. Qualifications for Voting.</w:t>
      </w:r>
      <w:r>
        <w:rPr>
          <w:rFonts w:ascii="Times New Roman" w:cs="Times New Roman" w:eastAsia="Times New Roman" w:hAnsi="Times New Roman"/>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7" w:lineRule="exact"/>
        <w:rPr>
          <w:sz w:val="20"/>
          <w:szCs w:val="20"/>
          <w:color w:val="auto"/>
        </w:rPr>
      </w:pPr>
    </w:p>
    <w:p>
      <w:pPr>
        <w:ind w:right="160" w:firstLine="431"/>
        <w:spacing w:after="0" w:line="254" w:lineRule="auto"/>
        <w:rPr>
          <w:sz w:val="20"/>
          <w:szCs w:val="20"/>
          <w:color w:val="auto"/>
        </w:rPr>
      </w:pPr>
      <w:r>
        <w:rPr>
          <w:rFonts w:ascii="Times New Roman" w:cs="Times New Roman" w:eastAsia="Times New Roman" w:hAnsi="Times New Roman"/>
          <w:sz w:val="18"/>
          <w:szCs w:val="18"/>
          <w:color w:val="auto"/>
        </w:rPr>
        <w:t>Section 9.05</w:t>
      </w:r>
      <w:r>
        <w:rPr>
          <w:rFonts w:ascii="Times New Roman" w:cs="Times New Roman" w:eastAsia="Times New Roman" w:hAnsi="Times New Roman"/>
          <w:sz w:val="18"/>
          <w:szCs w:val="18"/>
          <w:i w:val="1"/>
          <w:iCs w:val="1"/>
          <w:color w:val="auto"/>
        </w:rPr>
        <w:t>. Regulations.</w:t>
      </w:r>
      <w:r>
        <w:rPr>
          <w:rFonts w:ascii="Times New Roman" w:cs="Times New Roman" w:eastAsia="Times New Roman" w:hAnsi="Times New Roman"/>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2" w:lineRule="exact"/>
        <w:rPr>
          <w:sz w:val="20"/>
          <w:szCs w:val="20"/>
          <w:color w:val="auto"/>
        </w:rPr>
      </w:pPr>
    </w:p>
    <w:p>
      <w:pPr>
        <w:jc w:val="both"/>
        <w:ind w:right="320" w:firstLine="431"/>
        <w:spacing w:after="0" w:line="253" w:lineRule="auto"/>
        <w:rPr>
          <w:sz w:val="20"/>
          <w:szCs w:val="20"/>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84"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60"/>
          </w:cols>
          <w:pgMar w:left="560" w:top="264" w:right="579" w:bottom="1440" w:gutter="0" w:footer="0" w:header="0"/>
        </w:sectPr>
      </w:pPr>
    </w:p>
    <w:bookmarkStart w:id="67" w:name="page68"/>
    <w:bookmarkEnd w:id="67"/>
    <w:p>
      <w:pPr>
        <w:ind w:firstLine="431"/>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9.06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record so signed and verified shall be conclusive evidence of the matters therein stated.</w:t>
      </w:r>
    </w:p>
    <w:p>
      <w:pPr>
        <w:spacing w:after="0" w:line="214" w:lineRule="exact"/>
        <w:rPr>
          <w:sz w:val="20"/>
          <w:szCs w:val="20"/>
          <w:color w:val="auto"/>
        </w:rPr>
      </w:pPr>
    </w:p>
    <w:p>
      <w:pPr>
        <w:ind w:right="20" w:firstLine="431"/>
        <w:spacing w:after="0" w:line="281" w:lineRule="auto"/>
        <w:rPr>
          <w:sz w:val="20"/>
          <w:szCs w:val="20"/>
          <w:color w:val="auto"/>
        </w:rPr>
      </w:pPr>
      <w:r>
        <w:rPr>
          <w:rFonts w:ascii="Times New Roman" w:cs="Times New Roman" w:eastAsia="Times New Roman" w:hAnsi="Times New Roman"/>
          <w:sz w:val="17"/>
          <w:szCs w:val="17"/>
          <w:color w:val="auto"/>
        </w:rPr>
        <w:t>Section 9.07</w:t>
      </w:r>
      <w:r>
        <w:rPr>
          <w:rFonts w:ascii="Times New Roman" w:cs="Times New Roman" w:eastAsia="Times New Roman" w:hAnsi="Times New Roman"/>
          <w:sz w:val="17"/>
          <w:szCs w:val="17"/>
          <w:i w:val="1"/>
          <w:iCs w:val="1"/>
          <w:color w:val="auto"/>
        </w:rPr>
        <w:t>. No Delay of Rights by Meeting.</w:t>
      </w:r>
      <w:r>
        <w:rPr>
          <w:rFonts w:ascii="Times New Roman" w:cs="Times New Roman" w:eastAsia="Times New Roman" w:hAnsi="Times New Roman"/>
          <w:sz w:val="17"/>
          <w:szCs w:val="17"/>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10</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NDENTURES</w:t>
      </w:r>
    </w:p>
    <w:p>
      <w:pPr>
        <w:spacing w:after="0" w:line="194" w:lineRule="exact"/>
        <w:rPr>
          <w:sz w:val="20"/>
          <w:szCs w:val="20"/>
          <w:color w:val="auto"/>
        </w:rPr>
      </w:pPr>
    </w:p>
    <w:p>
      <w:pPr>
        <w:ind w:right="60" w:firstLine="431"/>
        <w:spacing w:after="0" w:line="272"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18"/>
          <w:szCs w:val="18"/>
          <w:i w:val="1"/>
          <w:iCs w:val="1"/>
          <w:color w:val="auto"/>
        </w:rPr>
        <w:t>. Supplemental Indentures Without Consent of Holders.</w:t>
      </w:r>
      <w:r>
        <w:rPr>
          <w:rFonts w:ascii="Times New Roman" w:cs="Times New Roman" w:eastAsia="Times New Roman" w:hAnsi="Times New Roman"/>
          <w:sz w:val="18"/>
          <w:szCs w:val="18"/>
          <w:color w:val="auto"/>
        </w:rPr>
        <w:t xml:space="preserve"> The Company and the Trustee, at the Company’s expense, may from time to time and at any time enter into an indenture or indentures supplemental hereto for one or more of the following purposes:</w:t>
      </w:r>
    </w:p>
    <w:p>
      <w:pPr>
        <w:spacing w:after="0" w:line="61" w:lineRule="exact"/>
        <w:rPr>
          <w:sz w:val="20"/>
          <w:szCs w:val="20"/>
          <w:color w:val="auto"/>
        </w:rPr>
      </w:pPr>
    </w:p>
    <w:p>
      <w:pPr>
        <w:ind w:left="660" w:hanging="233"/>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by a Successor Entity of the obligations of the Company under this Indenture pursuant to Article 11;</w:t>
      </w:r>
    </w:p>
    <w:p>
      <w:pPr>
        <w:spacing w:after="0" w:line="215" w:lineRule="exact"/>
        <w:rPr>
          <w:rFonts w:ascii="Times New Roman" w:cs="Times New Roman" w:eastAsia="Times New Roman" w:hAnsi="Times New Roman"/>
          <w:sz w:val="18"/>
          <w:szCs w:val="18"/>
          <w:color w:val="auto"/>
        </w:rPr>
      </w:pPr>
    </w:p>
    <w:p>
      <w:pPr>
        <w:ind w:left="660" w:hanging="233"/>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the Notes;</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215" w:lineRule="exact"/>
        <w:rPr>
          <w:rFonts w:ascii="Times New Roman" w:cs="Times New Roman" w:eastAsia="Times New Roman" w:hAnsi="Times New Roman"/>
          <w:sz w:val="18"/>
          <w:szCs w:val="18"/>
          <w:color w:val="auto"/>
        </w:rPr>
      </w:pPr>
    </w:p>
    <w:p>
      <w:pPr>
        <w:ind w:right="100" w:firstLine="427"/>
        <w:spacing w:after="0" w:line="270" w:lineRule="auto"/>
        <w:tabs>
          <w:tab w:leader="none" w:pos="67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or Events of Default of the Company for the benefit of the Holders or surrender any right or power conferred upon the Company;</w:t>
      </w:r>
    </w:p>
    <w:p>
      <w:pPr>
        <w:spacing w:after="0" w:line="168" w:lineRule="exact"/>
        <w:rPr>
          <w:rFonts w:ascii="Times New Roman" w:cs="Times New Roman" w:eastAsia="Times New Roman" w:hAnsi="Times New Roman"/>
          <w:sz w:val="18"/>
          <w:szCs w:val="18"/>
          <w:color w:val="auto"/>
        </w:rPr>
      </w:pPr>
    </w:p>
    <w:p>
      <w:pPr>
        <w:ind w:right="100" w:firstLine="427"/>
        <w:spacing w:after="0" w:line="270" w:lineRule="auto"/>
        <w:tabs>
          <w:tab w:leader="none" w:pos="6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 as certified by the Company in an Officer’s Certificate;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60"/>
          </w:cols>
          <w:pgMar w:left="560" w:top="264" w:right="579" w:bottom="1440" w:gutter="0" w:footer="0" w:header="0"/>
        </w:sectPr>
      </w:pPr>
    </w:p>
    <w:bookmarkStart w:id="68" w:name="page69"/>
    <w:bookmarkEnd w:id="68"/>
    <w:p>
      <w:pPr>
        <w:ind w:right="200" w:firstLine="427"/>
        <w:spacing w:after="0" w:line="270"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connection with any Share Exchange Event, to provide that the Notes are convertible into Reference Property, subject to the provisions of Section 14.02, and make such related changes to the terms of the Notes to the extent expressly required by Section 14.07;</w:t>
      </w:r>
    </w:p>
    <w:p>
      <w:pPr>
        <w:spacing w:after="0" w:line="168" w:lineRule="exact"/>
        <w:rPr>
          <w:rFonts w:ascii="Times New Roman" w:cs="Times New Roman" w:eastAsia="Times New Roman" w:hAnsi="Times New Roman"/>
          <w:sz w:val="18"/>
          <w:szCs w:val="18"/>
          <w:color w:val="auto"/>
        </w:rPr>
      </w:pPr>
    </w:p>
    <w:p>
      <w:pPr>
        <w:ind w:right="40" w:firstLine="427"/>
        <w:spacing w:after="0" w:line="270"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this Indenture or the Notes to the “Description of Notes” section of the Offering Memorandum as evidenced in an Officer’s Certificate;</w:t>
      </w:r>
    </w:p>
    <w:p>
      <w:pPr>
        <w:spacing w:after="0" w:line="168" w:lineRule="exact"/>
        <w:rPr>
          <w:rFonts w:ascii="Times New Roman" w:cs="Times New Roman" w:eastAsia="Times New Roman" w:hAnsi="Times New Roman"/>
          <w:sz w:val="18"/>
          <w:szCs w:val="18"/>
          <w:color w:val="auto"/>
        </w:rPr>
      </w:pPr>
    </w:p>
    <w:p>
      <w:pPr>
        <w:ind w:right="660" w:firstLine="427"/>
        <w:spacing w:after="0" w:line="270" w:lineRule="auto"/>
        <w:tabs>
          <w:tab w:leader="none" w:pos="6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Depositary, including The Depository Trust Company, so long as such amendment does not adversely affect the rights of any Holder in any material respect;</w:t>
      </w:r>
    </w:p>
    <w:p>
      <w:pPr>
        <w:spacing w:after="0" w:line="168" w:lineRule="exact"/>
        <w:rPr>
          <w:rFonts w:ascii="Times New Roman" w:cs="Times New Roman" w:eastAsia="Times New Roman" w:hAnsi="Times New Roman"/>
          <w:sz w:val="18"/>
          <w:szCs w:val="18"/>
          <w:color w:val="auto"/>
        </w:rPr>
      </w:pPr>
    </w:p>
    <w:p>
      <w:pPr>
        <w:ind w:left="640" w:hanging="21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Notes;</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the Conversion Rate as provided in this Indenture;</w:t>
      </w:r>
    </w:p>
    <w:p>
      <w:pPr>
        <w:spacing w:after="0" w:line="215" w:lineRule="exact"/>
        <w:rPr>
          <w:rFonts w:ascii="Times New Roman" w:cs="Times New Roman" w:eastAsia="Times New Roman" w:hAnsi="Times New Roman"/>
          <w:sz w:val="18"/>
          <w:szCs w:val="18"/>
          <w:color w:val="auto"/>
        </w:rPr>
      </w:pPr>
    </w:p>
    <w:p>
      <w:pPr>
        <w:ind w:firstLine="427"/>
        <w:spacing w:after="0" w:line="270" w:lineRule="auto"/>
        <w:tabs>
          <w:tab w:leader="none" w:pos="6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Note Registrar, Paying Agent, Bid Solicitation Agent or Conversion Agent to facilitate the administration of the trusts under this Indenture by more than one trustee; or</w:t>
      </w:r>
    </w:p>
    <w:p>
      <w:pPr>
        <w:spacing w:after="0" w:line="168" w:lineRule="exact"/>
        <w:rPr>
          <w:rFonts w:ascii="Times New Roman" w:cs="Times New Roman" w:eastAsia="Times New Roman" w:hAnsi="Times New Roman"/>
          <w:sz w:val="18"/>
          <w:szCs w:val="18"/>
          <w:color w:val="auto"/>
        </w:rPr>
      </w:pPr>
    </w:p>
    <w:p>
      <w:pPr>
        <w:ind w:right="240" w:firstLine="427"/>
        <w:spacing w:after="0" w:line="257" w:lineRule="auto"/>
        <w:tabs>
          <w:tab w:leader="none" w:pos="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irrevocably elect a Settlement Method or a Specified Dollar Amount, or eliminate the Company’s right to elect a Settlement Method (including at the Company’s option upon an Irrevocable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election or elimination shall affect any Settlement Method theretofore elected (or deemed to be elected) with respect to any Note pursuant to the provisions of Article 14.</w:t>
      </w:r>
    </w:p>
    <w:p>
      <w:pPr>
        <w:spacing w:after="0" w:line="180" w:lineRule="exact"/>
        <w:rPr>
          <w:sz w:val="20"/>
          <w:szCs w:val="20"/>
          <w:color w:val="auto"/>
        </w:rPr>
      </w:pPr>
    </w:p>
    <w:p>
      <w:pPr>
        <w:ind w:right="120" w:firstLine="431"/>
        <w:spacing w:after="0" w:line="270" w:lineRule="auto"/>
        <w:rPr>
          <w:sz w:val="20"/>
          <w:szCs w:val="20"/>
          <w:color w:val="auto"/>
        </w:rPr>
      </w:pPr>
      <w:r>
        <w:rPr>
          <w:rFonts w:ascii="Times New Roman" w:cs="Times New Roman" w:eastAsia="Times New Roman" w:hAnsi="Times New Roman"/>
          <w:sz w:val="18"/>
          <w:szCs w:val="18"/>
          <w:color w:val="auto"/>
        </w:rPr>
        <w:t>For the avoidance of doubt, no amendment under Section 10.01(i) will affect the Company’s obligation to pay Additional Interest pursuant to the provisions of Section 4.06(e).</w:t>
      </w:r>
    </w:p>
    <w:p>
      <w:pPr>
        <w:spacing w:after="0" w:line="168" w:lineRule="exact"/>
        <w:rPr>
          <w:sz w:val="20"/>
          <w:szCs w:val="20"/>
          <w:color w:val="auto"/>
        </w:rPr>
      </w:pPr>
    </w:p>
    <w:p>
      <w:pPr>
        <w:ind w:right="80" w:firstLine="431"/>
        <w:spacing w:after="0" w:line="279" w:lineRule="auto"/>
        <w:rPr>
          <w:sz w:val="20"/>
          <w:szCs w:val="20"/>
          <w:color w:val="auto"/>
        </w:rPr>
      </w:pPr>
      <w:r>
        <w:rPr>
          <w:rFonts w:ascii="Times New Roman" w:cs="Times New Roman" w:eastAsia="Times New Roman" w:hAnsi="Times New Roman"/>
          <w:sz w:val="17"/>
          <w:szCs w:val="17"/>
          <w:color w:val="auto"/>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63" w:lineRule="exact"/>
        <w:rPr>
          <w:sz w:val="20"/>
          <w:szCs w:val="20"/>
          <w:color w:val="auto"/>
        </w:rPr>
      </w:pPr>
    </w:p>
    <w:p>
      <w:pPr>
        <w:ind w:right="400" w:firstLine="431"/>
        <w:spacing w:after="0" w:line="270"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66" w:lineRule="exact"/>
        <w:rPr>
          <w:sz w:val="20"/>
          <w:szCs w:val="20"/>
          <w:color w:val="auto"/>
        </w:rPr>
      </w:pPr>
    </w:p>
    <w:p>
      <w:pPr>
        <w:ind w:right="20" w:firstLine="431"/>
        <w:spacing w:after="0" w:line="268" w:lineRule="auto"/>
        <w:rPr>
          <w:sz w:val="20"/>
          <w:szCs w:val="20"/>
          <w:color w:val="auto"/>
        </w:rPr>
      </w:pPr>
      <w:r>
        <w:rPr>
          <w:rFonts w:ascii="Times New Roman" w:cs="Times New Roman" w:eastAsia="Times New Roman" w:hAnsi="Times New Roman"/>
          <w:sz w:val="17"/>
          <w:szCs w:val="17"/>
          <w:color w:val="auto"/>
        </w:rPr>
        <w:t>Section 10.02</w:t>
      </w:r>
      <w:r>
        <w:rPr>
          <w:rFonts w:ascii="Times New Roman" w:cs="Times New Roman" w:eastAsia="Times New Roman" w:hAnsi="Times New Roman"/>
          <w:sz w:val="17"/>
          <w:szCs w:val="17"/>
          <w:i w:val="1"/>
          <w:iCs w:val="1"/>
          <w:color w:val="auto"/>
        </w:rPr>
        <w:t>. Supplemental Indentures with Consent of Holders.</w:t>
      </w:r>
      <w:r>
        <w:rPr>
          <w:rFonts w:ascii="Times New Roman" w:cs="Times New Roman" w:eastAsia="Times New Roman" w:hAnsi="Times New Roman"/>
          <w:sz w:val="17"/>
          <w:szCs w:val="17"/>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without the consent of each Holder of an outstanding Note affected, no such supplemental indenture shall:</w:t>
      </w:r>
    </w:p>
    <w:p>
      <w:pPr>
        <w:spacing w:after="0" w:line="65" w:lineRule="exact"/>
        <w:rPr>
          <w:sz w:val="20"/>
          <w:szCs w:val="20"/>
          <w:color w:val="auto"/>
        </w:rPr>
      </w:pPr>
    </w:p>
    <w:p>
      <w:pPr>
        <w:ind w:left="660" w:hanging="233"/>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stated time for payment of interest on any Note;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60"/>
          </w:cols>
          <w:pgMar w:left="560" w:top="266" w:right="579" w:bottom="1440" w:gutter="0" w:footer="0" w:header="0"/>
        </w:sectPr>
      </w:pPr>
    </w:p>
    <w:bookmarkStart w:id="69" w:name="page70"/>
    <w:bookmarkEnd w:id="69"/>
    <w:p>
      <w:pPr>
        <w:ind w:left="660" w:hanging="233"/>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reduce the principal of or extend the Maturity Date of any Note;</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this Indenture, make any change that adversely affects the conversion rights of any Notes;</w:t>
      </w:r>
    </w:p>
    <w:p>
      <w:pPr>
        <w:spacing w:after="0" w:line="215" w:lineRule="exact"/>
        <w:rPr>
          <w:rFonts w:ascii="Times New Roman" w:cs="Times New Roman" w:eastAsia="Times New Roman" w:hAnsi="Times New Roman"/>
          <w:sz w:val="18"/>
          <w:szCs w:val="18"/>
          <w:color w:val="auto"/>
        </w:rPr>
      </w:pPr>
    </w:p>
    <w:p>
      <w:pPr>
        <w:jc w:val="both"/>
        <w:ind w:right="300" w:firstLine="427"/>
        <w:spacing w:after="0" w:line="257" w:lineRule="auto"/>
        <w:tabs>
          <w:tab w:leader="none" w:pos="67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80" w:lineRule="exact"/>
        <w:rPr>
          <w:rFonts w:ascii="Times New Roman" w:cs="Times New Roman" w:eastAsia="Times New Roman" w:hAnsi="Times New Roman"/>
          <w:sz w:val="18"/>
          <w:szCs w:val="18"/>
          <w:color w:val="auto"/>
        </w:rPr>
      </w:pPr>
    </w:p>
    <w:p>
      <w:pPr>
        <w:ind w:left="640" w:hanging="21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a currency, or at a place of payment, other than that stated in the Note;</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Notes; or</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this Article 10 that requires each Holder’s consent or in the waiver provisions in Section 6.02 or Section 6.09.</w:t>
      </w:r>
    </w:p>
    <w:p>
      <w:pPr>
        <w:spacing w:after="0" w:line="216" w:lineRule="exact"/>
        <w:rPr>
          <w:sz w:val="20"/>
          <w:szCs w:val="20"/>
          <w:color w:val="auto"/>
        </w:rPr>
      </w:pPr>
    </w:p>
    <w:p>
      <w:pPr>
        <w:jc w:val="both"/>
        <w:ind w:right="60" w:firstLine="431"/>
        <w:spacing w:after="0" w:line="253" w:lineRule="auto"/>
        <w:rPr>
          <w:sz w:val="20"/>
          <w:szCs w:val="20"/>
          <w:color w:val="auto"/>
        </w:rPr>
      </w:pPr>
      <w:r>
        <w:rPr>
          <w:rFonts w:ascii="Times New Roman" w:cs="Times New Roman" w:eastAsia="Times New Roman" w:hAnsi="Times New Roman"/>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4" w:lineRule="exact"/>
        <w:rPr>
          <w:sz w:val="20"/>
          <w:szCs w:val="20"/>
          <w:color w:val="auto"/>
        </w:rPr>
      </w:pPr>
    </w:p>
    <w:p>
      <w:pPr>
        <w:ind w:right="20" w:firstLine="431"/>
        <w:spacing w:after="0" w:line="253" w:lineRule="auto"/>
        <w:rPr>
          <w:sz w:val="20"/>
          <w:szCs w:val="20"/>
          <w:color w:val="auto"/>
        </w:rPr>
      </w:pPr>
      <w:r>
        <w:rPr>
          <w:rFonts w:ascii="Times New Roman" w:cs="Times New Roman" w:eastAsia="Times New Roman" w:hAnsi="Times New Roman"/>
          <w:sz w:val="18"/>
          <w:szCs w:val="18"/>
          <w:color w:val="auto"/>
        </w:rPr>
        <w:t>Holders do not need under this Section 10.02 to approve the particular form of any proposed supplemental indenture. It shall be sufficient if such Holders approve the substance thereof. After any supplemental indenture under Section 10.01 or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w:t>
      </w:r>
    </w:p>
    <w:p>
      <w:pPr>
        <w:spacing w:after="0" w:line="182"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Section 10.03</w:t>
      </w:r>
      <w:r>
        <w:rPr>
          <w:rFonts w:ascii="Times New Roman" w:cs="Times New Roman" w:eastAsia="Times New Roman" w:hAnsi="Times New Roman"/>
          <w:sz w:val="18"/>
          <w:szCs w:val="18"/>
          <w:i w:val="1"/>
          <w:iCs w:val="1"/>
          <w:color w:val="auto"/>
        </w:rPr>
        <w:t>. Effect of Supplemental Indentures.</w:t>
      </w:r>
      <w:r>
        <w:rPr>
          <w:rFonts w:ascii="Times New Roman" w:cs="Times New Roman" w:eastAsia="Times New Roman" w:hAnsi="Times New Roman"/>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60"/>
          </w:cols>
          <w:pgMar w:left="560" w:top="266" w:right="679" w:bottom="1440" w:gutter="0" w:footer="0" w:header="0"/>
        </w:sectPr>
      </w:pPr>
    </w:p>
    <w:bookmarkStart w:id="70" w:name="page71"/>
    <w:bookmarkEnd w:id="70"/>
    <w:p>
      <w:pPr>
        <w:ind w:right="80" w:firstLine="43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10.04</w:t>
      </w:r>
      <w:r>
        <w:rPr>
          <w:rFonts w:ascii="Times New Roman" w:cs="Times New Roman" w:eastAsia="Times New Roman" w:hAnsi="Times New Roman"/>
          <w:sz w:val="18"/>
          <w:szCs w:val="18"/>
          <w:i w:val="1"/>
          <w:iCs w:val="1"/>
          <w:color w:val="auto"/>
        </w:rPr>
        <w:t>. Notation on Notes.</w:t>
      </w:r>
      <w:r>
        <w:rPr>
          <w:rFonts w:ascii="Times New Roman" w:cs="Times New Roman" w:eastAsia="Times New Roman" w:hAnsi="Times New Roman"/>
          <w:sz w:val="18"/>
          <w:szCs w:val="18"/>
          <w:color w:val="auto"/>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85" w:lineRule="exact"/>
        <w:rPr>
          <w:sz w:val="20"/>
          <w:szCs w:val="20"/>
          <w:color w:val="auto"/>
        </w:rPr>
      </w:pPr>
    </w:p>
    <w:p>
      <w:pPr>
        <w:ind w:right="60" w:firstLine="431"/>
        <w:spacing w:after="0" w:line="250" w:lineRule="auto"/>
        <w:rPr>
          <w:sz w:val="20"/>
          <w:szCs w:val="20"/>
          <w:color w:val="auto"/>
        </w:rPr>
      </w:pPr>
      <w:r>
        <w:rPr>
          <w:rFonts w:ascii="Times New Roman" w:cs="Times New Roman" w:eastAsia="Times New Roman" w:hAnsi="Times New Roman"/>
          <w:sz w:val="18"/>
          <w:szCs w:val="18"/>
          <w:color w:val="auto"/>
        </w:rPr>
        <w:t>Section 10.05</w:t>
      </w:r>
      <w:r>
        <w:rPr>
          <w:rFonts w:ascii="Times New Roman" w:cs="Times New Roman" w:eastAsia="Times New Roman" w:hAnsi="Times New Roman"/>
          <w:sz w:val="18"/>
          <w:szCs w:val="18"/>
          <w:i w:val="1"/>
          <w:iCs w:val="1"/>
          <w:color w:val="auto"/>
        </w:rPr>
        <w:t>. Evidence of Compliance of Supplemental Indenture to Be Furnished to Trustee.</w:t>
      </w:r>
      <w:r>
        <w:rPr>
          <w:rFonts w:ascii="Times New Roman" w:cs="Times New Roman" w:eastAsia="Times New Roman" w:hAnsi="Times New Roman"/>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11</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ONSOLIDATION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ALE</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ONVEYANCE 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EASE</w:t>
      </w:r>
    </w:p>
    <w:p>
      <w:pPr>
        <w:spacing w:after="0" w:line="196" w:lineRule="exact"/>
        <w:rPr>
          <w:sz w:val="20"/>
          <w:szCs w:val="20"/>
          <w:color w:val="auto"/>
        </w:rPr>
      </w:pPr>
    </w:p>
    <w:p>
      <w:pPr>
        <w:ind w:right="140" w:firstLine="431"/>
        <w:spacing w:after="0" w:line="254" w:lineRule="auto"/>
        <w:rPr>
          <w:sz w:val="20"/>
          <w:szCs w:val="20"/>
          <w:color w:val="auto"/>
        </w:rPr>
      </w:pPr>
      <w:r>
        <w:rPr>
          <w:rFonts w:ascii="Times New Roman" w:cs="Times New Roman" w:eastAsia="Times New Roman" w:hAnsi="Times New Roman"/>
          <w:sz w:val="18"/>
          <w:szCs w:val="18"/>
          <w:color w:val="auto"/>
        </w:rPr>
        <w:t>Section 11.01</w:t>
      </w:r>
      <w:r>
        <w:rPr>
          <w:rFonts w:ascii="Times New Roman" w:cs="Times New Roman" w:eastAsia="Times New Roman" w:hAnsi="Times New Roman"/>
          <w:sz w:val="18"/>
          <w:szCs w:val="18"/>
          <w:i w:val="1"/>
          <w:iCs w:val="1"/>
          <w:color w:val="auto"/>
        </w:rPr>
        <w:t>. Company May Consolidate, Etc. on Certain Terms.</w:t>
      </w:r>
      <w:r>
        <w:rPr>
          <w:rFonts w:ascii="Times New Roman" w:cs="Times New Roman" w:eastAsia="Times New Roman" w:hAnsi="Times New Roman"/>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74" w:lineRule="exact"/>
        <w:rPr>
          <w:sz w:val="20"/>
          <w:szCs w:val="20"/>
          <w:color w:val="auto"/>
        </w:rPr>
      </w:pPr>
    </w:p>
    <w:p>
      <w:pPr>
        <w:ind w:firstLine="427"/>
        <w:spacing w:after="0" w:line="258" w:lineRule="auto"/>
        <w:tabs>
          <w:tab w:leader="none" w:pos="6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w:t>
      </w:r>
    </w:p>
    <w:p>
      <w:pPr>
        <w:spacing w:after="0" w:line="179" w:lineRule="exact"/>
        <w:rPr>
          <w:rFonts w:ascii="Times New Roman" w:cs="Times New Roman" w:eastAsia="Times New Roman" w:hAnsi="Times New Roman"/>
          <w:sz w:val="18"/>
          <w:szCs w:val="18"/>
          <w:color w:val="auto"/>
        </w:rPr>
      </w:pPr>
    </w:p>
    <w:p>
      <w:pPr>
        <w:ind w:right="260" w:firstLine="427"/>
        <w:spacing w:after="0" w:line="270"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shall have occurred and be continuing under this Indenture.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20"/>
          </w:cols>
          <w:pgMar w:left="560" w:top="264" w:right="619" w:bottom="1440" w:gutter="0" w:footer="0" w:header="0"/>
        </w:sectPr>
      </w:pPr>
    </w:p>
    <w:bookmarkStart w:id="71" w:name="page72"/>
    <w:bookmarkEnd w:id="71"/>
    <w:p>
      <w:pPr>
        <w:ind w:right="20" w:firstLine="43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spacing w:after="0" w:line="182" w:lineRule="exact"/>
        <w:rPr>
          <w:sz w:val="20"/>
          <w:szCs w:val="20"/>
          <w:color w:val="auto"/>
        </w:rPr>
      </w:pPr>
    </w:p>
    <w:p>
      <w:pPr>
        <w:ind w:firstLine="431"/>
        <w:spacing w:after="0" w:line="246" w:lineRule="auto"/>
        <w:rPr>
          <w:sz w:val="20"/>
          <w:szCs w:val="20"/>
          <w:color w:val="auto"/>
        </w:rPr>
      </w:pPr>
      <w:r>
        <w:rPr>
          <w:rFonts w:ascii="Times New Roman" w:cs="Times New Roman" w:eastAsia="Times New Roman" w:hAnsi="Times New Roman"/>
          <w:sz w:val="18"/>
          <w:szCs w:val="18"/>
          <w:color w:val="auto"/>
        </w:rPr>
        <w:t>Section 11.02</w:t>
      </w:r>
      <w:r>
        <w:rPr>
          <w:rFonts w:ascii="Times New Roman" w:cs="Times New Roman" w:eastAsia="Times New Roman" w:hAnsi="Times New Roman"/>
          <w:sz w:val="18"/>
          <w:szCs w:val="18"/>
          <w:i w:val="1"/>
          <w:iCs w:val="1"/>
          <w:color w:val="auto"/>
        </w:rPr>
        <w:t>. Successor Entity to Be Substituted.</w:t>
      </w:r>
      <w:r>
        <w:rPr>
          <w:rFonts w:ascii="Times New Roman" w:cs="Times New Roman" w:eastAsia="Times New Roman" w:hAnsi="Times New Roman"/>
          <w:sz w:val="18"/>
          <w:szCs w:val="18"/>
          <w:color w:val="auto"/>
        </w:rPr>
        <w:t xml:space="preserve">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Business Combination Event, such changes in phraseology and form (but not in substance) may be made in the Notes thereafter to be issued as may be appropriate.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MMUNITY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NCORPORATORS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TOCKHOLDERS</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FFICERS AND</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IRECTORS</w:t>
      </w:r>
    </w:p>
    <w:p>
      <w:pPr>
        <w:spacing w:after="0" w:line="196" w:lineRule="exact"/>
        <w:rPr>
          <w:sz w:val="20"/>
          <w:szCs w:val="20"/>
          <w:color w:val="auto"/>
        </w:rPr>
      </w:pPr>
    </w:p>
    <w:p>
      <w:pPr>
        <w:ind w:right="140" w:firstLine="431"/>
        <w:spacing w:after="0" w:line="254" w:lineRule="auto"/>
        <w:rPr>
          <w:sz w:val="20"/>
          <w:szCs w:val="20"/>
          <w:color w:val="auto"/>
        </w:rPr>
      </w:pPr>
      <w:r>
        <w:rPr>
          <w:rFonts w:ascii="Times New Roman" w:cs="Times New Roman" w:eastAsia="Times New Roman" w:hAnsi="Times New Roman"/>
          <w:sz w:val="18"/>
          <w:szCs w:val="18"/>
          <w:color w:val="auto"/>
        </w:rPr>
        <w:t>Section 12.01</w:t>
      </w:r>
      <w:r>
        <w:rPr>
          <w:rFonts w:ascii="Times New Roman" w:cs="Times New Roman" w:eastAsia="Times New Roman" w:hAnsi="Times New Roman"/>
          <w:sz w:val="18"/>
          <w:szCs w:val="18"/>
          <w:i w:val="1"/>
          <w:iCs w:val="1"/>
          <w:color w:val="auto"/>
        </w:rPr>
        <w:t>. Indenture and Notes Solely Corporate Obligations.</w:t>
      </w:r>
      <w:r>
        <w:rPr>
          <w:rFonts w:ascii="Times New Roman" w:cs="Times New Roman" w:eastAsia="Times New Roman" w:hAnsi="Times New Roman"/>
          <w:sz w:val="18"/>
          <w:szCs w:val="18"/>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60"/>
          </w:cols>
          <w:pgMar w:left="560" w:top="266" w:right="579" w:bottom="1440" w:gutter="0" w:footer="0" w:header="0"/>
        </w:sectPr>
      </w:pPr>
    </w:p>
    <w:bookmarkStart w:id="72" w:name="page73"/>
    <w:bookmarkEnd w:id="72"/>
    <w:p>
      <w:pPr>
        <w:spacing w:after="0" w:line="27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13</w:t>
      </w:r>
    </w:p>
    <w:p>
      <w:pPr>
        <w:spacing w:after="0" w:line="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MITTED</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14</w:t>
      </w:r>
    </w:p>
    <w:p>
      <w:pPr>
        <w:spacing w:after="0" w:line="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ONVERSION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14.01</w:t>
      </w:r>
      <w:r>
        <w:rPr>
          <w:rFonts w:ascii="Times New Roman" w:cs="Times New Roman" w:eastAsia="Times New Roman" w:hAnsi="Times New Roman"/>
          <w:sz w:val="18"/>
          <w:szCs w:val="18"/>
          <w:i w:val="1"/>
          <w:iCs w:val="1"/>
          <w:color w:val="auto"/>
        </w:rPr>
        <w:t>. Conversion Privilege.</w:t>
      </w:r>
    </w:p>
    <w:p>
      <w:pPr>
        <w:spacing w:after="0" w:line="218" w:lineRule="exact"/>
        <w:rPr>
          <w:sz w:val="20"/>
          <w:szCs w:val="20"/>
          <w:color w:val="auto"/>
        </w:rPr>
      </w:pPr>
    </w:p>
    <w:p>
      <w:pPr>
        <w:ind w:right="20" w:firstLine="427"/>
        <w:spacing w:after="0" w:line="248" w:lineRule="auto"/>
        <w:tabs>
          <w:tab w:leader="none" w:pos="67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March 15, 2030 under the circumstances and during the periods set forth in Section 14.01(b), and (ii) regardless of the conditions described in Section 14.01(b), on or after March 15, 2030 and prior to the close of business on the second Scheduled Trading Day immediately preceding the Maturity Date, in each case, at an initial conversion rate of 21.2495 shares of Class A Common Stock (subject to adjustment as provided in this Article 14,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 per $1,000 principal amount of Notes (subject to, and in accordance with, the settlement provisions of Section 14.02, the “</w:t>
      </w:r>
      <w:r>
        <w:rPr>
          <w:rFonts w:ascii="Times New Roman" w:cs="Times New Roman" w:eastAsia="Times New Roman" w:hAnsi="Times New Roman"/>
          <w:sz w:val="18"/>
          <w:szCs w:val="18"/>
          <w:b w:val="1"/>
          <w:bCs w:val="1"/>
          <w:color w:val="auto"/>
        </w:rPr>
        <w:t>Conversion Obligation</w:t>
      </w:r>
      <w:r>
        <w:rPr>
          <w:rFonts w:ascii="Times New Roman" w:cs="Times New Roman" w:eastAsia="Times New Roman" w:hAnsi="Times New Roman"/>
          <w:sz w:val="18"/>
          <w:szCs w:val="18"/>
          <w:color w:val="auto"/>
        </w:rPr>
        <w:t>”). The Trustee shall have no obligation to make any determination as to whether any of the conditions described in Section 14.01(b) have been satisfied.</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10" w:lineRule="exact"/>
        <w:rPr>
          <w:sz w:val="20"/>
          <w:szCs w:val="20"/>
          <w:color w:val="auto"/>
        </w:rPr>
      </w:pPr>
    </w:p>
    <w:p>
      <w:pPr>
        <w:ind w:left="420" w:right="40" w:firstLine="421"/>
        <w:spacing w:after="0" w:line="265" w:lineRule="auto"/>
        <w:tabs>
          <w:tab w:leader="none" w:pos="104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close of business on the Business Day immediately preceding March 15, 2030, a Holder may surrender all or any portion of its Notes for conversion at any time during the five Business Day period immediately after any ten consecutive Trading Day period (the “</w:t>
      </w:r>
      <w:r>
        <w:rPr>
          <w:rFonts w:ascii="Times New Roman" w:cs="Times New Roman" w:eastAsia="Times New Roman" w:hAnsi="Times New Roman"/>
          <w:sz w:val="17"/>
          <w:szCs w:val="17"/>
          <w:b w:val="1"/>
          <w:bCs w:val="1"/>
          <w:color w:val="auto"/>
        </w:rPr>
        <w:t>Measurement Period</w:t>
      </w:r>
      <w:r>
        <w:rPr>
          <w:rFonts w:ascii="Times New Roman" w:cs="Times New Roman" w:eastAsia="Times New Roman" w:hAnsi="Times New Roman"/>
          <w:sz w:val="17"/>
          <w:szCs w:val="17"/>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Class A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640"/>
          </w:cols>
          <w:pgMar w:left="560" w:top="266" w:right="699" w:bottom="1440" w:gutter="0" w:footer="0" w:header="0"/>
        </w:sectPr>
      </w:pPr>
    </w:p>
    <w:bookmarkStart w:id="73" w:name="page74"/>
    <w:bookmarkEnd w:id="73"/>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the Company is acting as Bid Solicitation Agent, the Company shall have no obligation to determine the Trading Price per $1,000 principal amount of Notes) unless a Holder or Holders of at least $5,000,000 aggregate principal amount of Notes provides the Company with reasonable evidence that the Trading Price per $1,000 principal amount of Notes on any Trading Day would be less than 98% of the product of the Last Reported Sale Price of the Class A Common Stock on such Trading Day and the Conversion Rate on such Trading Day, at which time the Company shall instruct three independent nationally recognized securities dealers to deliver bids and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Class A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spacing w:after="0" w:line="87" w:lineRule="exact"/>
        <w:rPr>
          <w:sz w:val="20"/>
          <w:szCs w:val="20"/>
          <w:color w:val="auto"/>
        </w:rPr>
      </w:pPr>
    </w:p>
    <w:p>
      <w:pPr>
        <w:ind w:left="680" w:hanging="259"/>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close of business on the Business Day immediately preceding March 15, 2030, the Company elects to:</w:t>
      </w:r>
    </w:p>
    <w:p>
      <w:pPr>
        <w:spacing w:after="0" w:line="109" w:lineRule="exact"/>
        <w:rPr>
          <w:rFonts w:ascii="Times New Roman" w:cs="Times New Roman" w:eastAsia="Times New Roman" w:hAnsi="Times New Roman"/>
          <w:sz w:val="18"/>
          <w:szCs w:val="18"/>
          <w:color w:val="auto"/>
        </w:rPr>
      </w:pPr>
    </w:p>
    <w:p>
      <w:pPr>
        <w:ind w:left="540" w:firstLine="398"/>
        <w:spacing w:after="0" w:line="250" w:lineRule="auto"/>
        <w:tabs>
          <w:tab w:leader="none" w:pos="1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to all or substantially all holders of the Class A Common Stock any rights, options or warrants (other than in connection with a stockholder rights plan prior to the separation of such rights from the Class A Common Stock)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or</w:t>
      </w:r>
    </w:p>
    <w:p>
      <w:pPr>
        <w:spacing w:after="0" w:line="11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320"/>
          </w:cols>
          <w:pgMar w:left="980" w:top="266" w:right="599" w:bottom="1440" w:gutter="0" w:footer="0" w:header="0"/>
        </w:sectPr>
      </w:pPr>
    </w:p>
    <w:bookmarkStart w:id="74" w:name="page75"/>
    <w:bookmarkEnd w:id="74"/>
    <w:p>
      <w:pPr>
        <w:ind w:left="540" w:right="120" w:firstLine="398"/>
        <w:spacing w:after="0" w:line="273" w:lineRule="auto"/>
        <w:tabs>
          <w:tab w:leader="none" w:pos="12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distribute to all or substantially all holders of the Class A Common Stock the Company’s assets, securities or rights to purchase securities of the Company (other than in connection with a stockholder rights plan prior to separation of such rights from the Class A Common Stock), which distribution has a per share value, as reasonably determined by the Company in good faith, exceeding 10% of the Last Reported Sale Price of the Class A Common Stock on the Trading Day preceding the date of announcement for such distribution,</w:t>
      </w:r>
    </w:p>
    <w:p>
      <w:pPr>
        <w:spacing w:after="0" w:line="6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then, in either case, the Company shall notify all Holders of the Notes, the Trustee and the Conversion Agent (if other than the Trustee) in writing at least 46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Company is then otherwise permitted to settle conversions of Notes by Physical Settlement (and, for the avoidance of doubt, has not irrevocably elected another Settlement Method for conversions of Notes), then the Company may instead elect to provide such notice at least five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Holders may not convert their Notes pursuant to this subsection (b)(ii) if they participate, at the same time and upon the same terms as holders of the Class A Common Stock and solely as a result of holding the Notes, in any of the transactions described in clause (A) or (B) of this subsection (b)(ii)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91" w:lineRule="exact"/>
        <w:rPr>
          <w:sz w:val="20"/>
          <w:szCs w:val="20"/>
          <w:color w:val="auto"/>
        </w:rPr>
      </w:pPr>
    </w:p>
    <w:p>
      <w:pPr>
        <w:ind w:firstLine="421"/>
        <w:spacing w:after="0" w:line="251" w:lineRule="auto"/>
        <w:tabs>
          <w:tab w:leader="none" w:pos="7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transaction or event that constitutes a Fundamental Change or a Make-Whole Fundamental Change occurs prior to the close of business on the Business Day immediately preceding March 15, 2030, regardless of whether a Holder has the right to require the Company to repurchase the Notes pursuant to Section 15.02, or (B) if the Company is a party to a Share Exchange Event (other than a Share Exchange Event that is solely for the purpose of changing the Company’s jurisdiction of organization that (x) does not constitute a Fundamental Change or a Make-Whole Fundamental Change and</w:t>
      </w:r>
    </w:p>
    <w:p>
      <w:pPr>
        <w:spacing w:after="0" w:line="11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360"/>
          </w:cols>
          <w:pgMar w:left="980" w:top="266" w:right="559" w:bottom="1440" w:gutter="0" w:footer="0" w:header="0"/>
        </w:sectPr>
      </w:pPr>
    </w:p>
    <w:bookmarkStart w:id="75" w:name="page76"/>
    <w:bookmarkEnd w:id="75"/>
    <w:p>
      <w:pPr>
        <w:ind w:firstLine="7"/>
        <w:spacing w:after="0" w:line="247" w:lineRule="auto"/>
        <w:tabs>
          <w:tab w:leader="none" w:pos="2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results in a reclassification, conversion or exchange of outstanding shares of Class A Common Stock solely into shares of common stock of the surviving entity and such common stock becomes Reference Property for the Notes) that occurs prior to the close of business on the Business Day immediately preceding March 15, 2030, (each such Fundamental Change, Make-Whole Fundamental Change or Share Exchange Event,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all or any portion of a Holder’s Notes may be surrendered for conversion at any time from or after the effective date of such Corporate Event until the earlier of (x) 35 Trading Days after the effective date of the Corporate Event (or, if the Company gives notice after the effective date of such Corporate Event, until 35 Trading Days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one Business Day after the effective date of such Corporate Event.</w:t>
      </w:r>
    </w:p>
    <w:p>
      <w:pPr>
        <w:spacing w:after="0" w:line="86" w:lineRule="exact"/>
        <w:rPr>
          <w:rFonts w:ascii="Times New Roman" w:cs="Times New Roman" w:eastAsia="Times New Roman" w:hAnsi="Times New Roman"/>
          <w:sz w:val="18"/>
          <w:szCs w:val="18"/>
          <w:color w:val="auto"/>
        </w:rPr>
      </w:pPr>
    </w:p>
    <w:p>
      <w:pPr>
        <w:ind w:right="80" w:firstLine="421"/>
        <w:spacing w:after="0" w:line="251" w:lineRule="auto"/>
        <w:tabs>
          <w:tab w:leader="none" w:pos="71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close of business on the Business Day immediately preceding March 15, 2030, a Holder may surrender all or any portion of its Notes for conversion at any time during any calendar quarter commencing after the calendar quarter ending on September 30, 2025 (and only during such calendar quarter), if the Last Reported Sale Price of the Class A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spacing w:after="0" w:line="79" w:lineRule="exact"/>
        <w:rPr>
          <w:rFonts w:ascii="Times New Roman" w:cs="Times New Roman" w:eastAsia="Times New Roman" w:hAnsi="Times New Roman"/>
          <w:sz w:val="18"/>
          <w:szCs w:val="18"/>
          <w:color w:val="auto"/>
        </w:rPr>
      </w:pPr>
    </w:p>
    <w:p>
      <w:pPr>
        <w:ind w:firstLine="421"/>
        <w:spacing w:after="0" w:line="247" w:lineRule="auto"/>
        <w:tabs>
          <w:tab w:leader="none" w:pos="66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Notes for Optional Redemption pursuant to Article 16, then a Holder may surrender all or any portion of its Called Notes for conversion at any time prior to the close of business on the second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pursuant to Article 16, and the Holder of any Note (or any owner of a beneficial interest in any Global Note) is reasonably not able to determine, prior to the close of business on the 44th Scheduled Trading Day immediately preceding the relevant Redemption Date (or if, as permitted by Section 16.02(a), the Company delivers a Notice of Redemption not less than 15 nor more than 60 calendar days prior to the related Redemption Date, then prior to close of business on the 14th calendar day immediately before the relevant Redemption Date), whether such Note or</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340"/>
          </w:cols>
          <w:pgMar w:left="980" w:top="266" w:right="579" w:bottom="1440" w:gutter="0" w:footer="0" w:header="0"/>
        </w:sectPr>
      </w:pPr>
    </w:p>
    <w:bookmarkStart w:id="76" w:name="page77"/>
    <w:bookmarkEnd w:id="76"/>
    <w:p>
      <w:pPr>
        <w:ind w:left="42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beneficial interest, as applicable, is to be redeemed pursuant to such Optional Redemption (and, as a result thereof, convertible on account of the related Notice of Redemption in accordance with the provisions of this Indenture),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 w:cs="Times New Roman" w:eastAsia="Times New Roman" w:hAnsi="Times New Roman"/>
          <w:sz w:val="18"/>
          <w:szCs w:val="18"/>
          <w:b w:val="1"/>
          <w:bCs w:val="1"/>
          <w:color w:val="auto"/>
        </w:rPr>
        <w:t>Deemed Redemption</w:t>
      </w:r>
      <w:r>
        <w:rPr>
          <w:rFonts w:ascii="Times New Roman" w:cs="Times New Roman" w:eastAsia="Times New Roman" w:hAnsi="Times New Roman"/>
          <w:sz w:val="18"/>
          <w:szCs w:val="18"/>
          <w:color w:val="auto"/>
        </w:rPr>
        <w:t>”). If a Holder elects to convert Called Notes during the related Redemption Period, such conversion will be deemed “in connection with” the relevant Notice of Redemption pursuant to Section 14.03(a), and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Notice of Redemption for conversions of such Notes during the related Redemption Period, even if such Notes are otherwise convertible pursuant to any other provision of this Section 14.01(b).</w:t>
      </w:r>
    </w:p>
    <w:p>
      <w:pPr>
        <w:spacing w:after="0" w:line="190"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Section 14.02</w:t>
      </w:r>
      <w:r>
        <w:rPr>
          <w:rFonts w:ascii="Times New Roman" w:cs="Times New Roman" w:eastAsia="Times New Roman" w:hAnsi="Times New Roman"/>
          <w:sz w:val="18"/>
          <w:szCs w:val="18"/>
          <w:i w:val="1"/>
          <w:iCs w:val="1"/>
          <w:color w:val="auto"/>
        </w:rPr>
        <w:t>. Conversion Procedure; Settlement Upon Conversion.</w:t>
      </w:r>
    </w:p>
    <w:p>
      <w:pPr>
        <w:spacing w:after="0" w:line="218" w:lineRule="exact"/>
        <w:rPr>
          <w:sz w:val="20"/>
          <w:szCs w:val="20"/>
          <w:color w:val="auto"/>
        </w:rPr>
      </w:pPr>
    </w:p>
    <w:p>
      <w:pPr>
        <w:ind w:left="3" w:right="100" w:firstLine="427"/>
        <w:spacing w:after="0" w:line="263" w:lineRule="auto"/>
        <w:tabs>
          <w:tab w:leader="none" w:pos="67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cs="Times New Roman" w:eastAsia="Times New Roman" w:hAnsi="Times New Roman"/>
          <w:sz w:val="17"/>
          <w:szCs w:val="17"/>
          <w:b w:val="1"/>
          <w:bCs w:val="1"/>
          <w:color w:val="auto"/>
        </w:rPr>
        <w:t>Cash Settlement</w:t>
      </w:r>
      <w:r>
        <w:rPr>
          <w:rFonts w:ascii="Times New Roman" w:cs="Times New Roman" w:eastAsia="Times New Roman" w:hAnsi="Times New Roman"/>
          <w:sz w:val="17"/>
          <w:szCs w:val="17"/>
          <w:color w:val="auto"/>
        </w:rPr>
        <w:t>”), shares of Class A Common Stock, together with cash, if applicable, in lieu of delivering any fractional share of Class A Common Stock in accordance with subsection (j) of this Section 14.02 (“</w:t>
      </w:r>
      <w:r>
        <w:rPr>
          <w:rFonts w:ascii="Times New Roman" w:cs="Times New Roman" w:eastAsia="Times New Roman" w:hAnsi="Times New Roman"/>
          <w:sz w:val="17"/>
          <w:szCs w:val="17"/>
          <w:b w:val="1"/>
          <w:bCs w:val="1"/>
          <w:color w:val="auto"/>
        </w:rPr>
        <w:t>Physical Settlement</w:t>
      </w:r>
      <w:r>
        <w:rPr>
          <w:rFonts w:ascii="Times New Roman" w:cs="Times New Roman" w:eastAsia="Times New Roman" w:hAnsi="Times New Roman"/>
          <w:sz w:val="17"/>
          <w:szCs w:val="17"/>
          <w:color w:val="auto"/>
        </w:rPr>
        <w:t>”) or a combination of cash and shares of Class A Common Stock, together with cash, if applicable, in lieu of delivering any fractional share of Class A Common Stock in accordance with subsection</w:t>
      </w:r>
    </w:p>
    <w:p>
      <w:pPr>
        <w:spacing w:after="0" w:line="2" w:lineRule="exact"/>
        <w:rPr>
          <w:rFonts w:ascii="Times New Roman" w:cs="Times New Roman" w:eastAsia="Times New Roman" w:hAnsi="Times New Roman"/>
          <w:sz w:val="17"/>
          <w:szCs w:val="17"/>
          <w:color w:val="auto"/>
        </w:rPr>
      </w:pPr>
    </w:p>
    <w:p>
      <w:pPr>
        <w:ind w:left="203" w:hanging="203"/>
        <w:spacing w:after="0"/>
        <w:tabs>
          <w:tab w:leader="none" w:pos="2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14.02 (“</w:t>
      </w:r>
      <w:r>
        <w:rPr>
          <w:rFonts w:ascii="Times New Roman" w:cs="Times New Roman" w:eastAsia="Times New Roman" w:hAnsi="Times New Roman"/>
          <w:sz w:val="18"/>
          <w:szCs w:val="18"/>
          <w:b w:val="1"/>
          <w:bCs w:val="1"/>
          <w:color w:val="auto"/>
        </w:rPr>
        <w:t>Combination Settlement</w:t>
      </w:r>
      <w:r>
        <w:rPr>
          <w:rFonts w:ascii="Times New Roman" w:cs="Times New Roman" w:eastAsia="Times New Roman" w:hAnsi="Times New Roman"/>
          <w:sz w:val="18"/>
          <w:szCs w:val="18"/>
          <w:color w:val="auto"/>
        </w:rPr>
        <w:t>”), at its election, as set forth in this Section 14.02.</w:t>
      </w:r>
    </w:p>
    <w:p>
      <w:pPr>
        <w:spacing w:after="0" w:line="92" w:lineRule="exact"/>
        <w:rPr>
          <w:rFonts w:ascii="Times New Roman" w:cs="Times New Roman" w:eastAsia="Times New Roman" w:hAnsi="Times New Roman"/>
          <w:sz w:val="18"/>
          <w:szCs w:val="18"/>
          <w:color w:val="auto"/>
        </w:rPr>
      </w:pPr>
    </w:p>
    <w:p>
      <w:pPr>
        <w:ind w:left="423" w:right="500" w:firstLine="421"/>
        <w:spacing w:after="0" w:line="300" w:lineRule="auto"/>
        <w:tabs>
          <w:tab w:leader="none" w:pos="1047" w:val="left"/>
        </w:tabs>
        <w:numPr>
          <w:ilvl w:val="2"/>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conversions of Called Notes for which the relevant Conversion Date occurs during the related Redemption Period, and all conversions for which the relevant Conversion Date occurs on or after March 15, 2030, shall be settled using the same Settlement Method.</w:t>
      </w:r>
    </w:p>
    <w:p>
      <w:pPr>
        <w:spacing w:after="0" w:line="39" w:lineRule="exact"/>
        <w:rPr>
          <w:rFonts w:ascii="Times New Roman" w:cs="Times New Roman" w:eastAsia="Times New Roman" w:hAnsi="Times New Roman"/>
          <w:sz w:val="17"/>
          <w:szCs w:val="17"/>
          <w:color w:val="auto"/>
        </w:rPr>
      </w:pPr>
    </w:p>
    <w:p>
      <w:pPr>
        <w:ind w:left="423" w:firstLine="421"/>
        <w:spacing w:after="0" w:line="250" w:lineRule="auto"/>
        <w:tabs>
          <w:tab w:leader="none" w:pos="1096"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conversions of Called Notes for which the relevant Conversion Date occurs during the related Redemption Period, and any conversions for which the relevant Conversion Date occurs on or after March 15, 2030, and except to the extent the Company has irrevocably elected Physical Settlement pursuant to Section 14.01(b)(ii) in a notice as described in such Section or has previously made an Irrevocable Election with respect to all subsequent conversions of the Notes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w:t>
      </w:r>
    </w:p>
    <w:p>
      <w:pPr>
        <w:spacing w:after="0" w:line="119"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03"/>
          </w:cols>
          <w:pgMar w:left="557" w:top="266" w:right="639" w:bottom="1440" w:gutter="0" w:footer="0" w:header="0"/>
        </w:sectPr>
      </w:pPr>
    </w:p>
    <w:bookmarkStart w:id="77" w:name="page78"/>
    <w:bookmarkEnd w:id="77"/>
    <w:p>
      <w:pPr>
        <w:ind w:firstLine="421"/>
        <w:spacing w:after="0" w:line="261" w:lineRule="auto"/>
        <w:tabs>
          <w:tab w:leader="none" w:pos="72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in respect of any Conversion Date (or any conversions of Called Notes for which the relevant Conversion Date occurs during the related Redemption Period, or any conversions for which the relevant Conversion Date occurs on or after March 15, 2030 or for which the Company has irrevocably elected Physical Settlement pursuant to Section 14.01(b)(ii) in a notice as described in such Section), the Company elects to deliver a notice (the “</w:t>
      </w:r>
      <w:r>
        <w:rPr>
          <w:rFonts w:ascii="Times New Roman" w:cs="Times New Roman" w:eastAsia="Times New Roman" w:hAnsi="Times New Roman"/>
          <w:sz w:val="17"/>
          <w:szCs w:val="17"/>
          <w:b w:val="1"/>
          <w:bCs w:val="1"/>
          <w:color w:val="auto"/>
        </w:rPr>
        <w:t>Settlement Notice</w:t>
      </w:r>
      <w:r>
        <w:rPr>
          <w:rFonts w:ascii="Times New Roman" w:cs="Times New Roman" w:eastAsia="Times New Roman" w:hAnsi="Times New Roman"/>
          <w:sz w:val="17"/>
          <w:szCs w:val="17"/>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 any conversions of Called Notes for which the relevant Conversion Date occurs during the related Redemption Period, in the related Notice of Redemption, (B) any conversions of Notes for which the relevant Conversion Date occurs on or after March 15, 2030, no later than March 15, 2030 or (C) any conversions for which the Company has irrevocably elected Physical Settlement pursuant to Section 14.01(b)(ii), in a notice as described in such Section or for which the Company has previously made an Irrevocable Election with respect to all subsequent conversions of Notes, as described in the next succeeding paragraph).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under this Indenture.</w:t>
      </w:r>
    </w:p>
    <w:p>
      <w:pPr>
        <w:spacing w:after="0" w:line="81" w:lineRule="exact"/>
        <w:rPr>
          <w:sz w:val="20"/>
          <w:szCs w:val="20"/>
          <w:color w:val="auto"/>
        </w:rPr>
      </w:pPr>
    </w:p>
    <w:p>
      <w:pPr>
        <w:ind w:right="20" w:firstLine="414"/>
        <w:spacing w:after="0" w:line="250" w:lineRule="auto"/>
        <w:rPr>
          <w:sz w:val="20"/>
          <w:szCs w:val="20"/>
          <w:color w:val="auto"/>
        </w:rPr>
      </w:pPr>
      <w:r>
        <w:rPr>
          <w:rFonts w:ascii="Times New Roman" w:cs="Times New Roman" w:eastAsia="Times New Roman" w:hAnsi="Times New Roman"/>
          <w:sz w:val="18"/>
          <w:szCs w:val="18"/>
          <w:color w:val="auto"/>
        </w:rPr>
        <w:t>By notice to Holders, the Trustee and the Conversion Agent (if other than the Trustee), the Company may, from time to time, change the Default Settlement Method prior to March 15, 2030. By notice to all Holders, the Company may, prior to March 15, 2030,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election notice (any such election, an “</w:t>
      </w:r>
      <w:r>
        <w:rPr>
          <w:rFonts w:ascii="Times New Roman" w:cs="Times New Roman" w:eastAsia="Times New Roman" w:hAnsi="Times New Roman"/>
          <w:sz w:val="18"/>
          <w:szCs w:val="18"/>
          <w:b w:val="1"/>
          <w:bCs w:val="1"/>
          <w:color w:val="auto"/>
        </w:rPr>
        <w:t>Irrevocable Election</w:t>
      </w:r>
      <w:r>
        <w:rPr>
          <w:rFonts w:ascii="Times New Roman" w:cs="Times New Roman" w:eastAsia="Times New Roman" w:hAnsi="Times New Roman"/>
          <w:sz w:val="18"/>
          <w:szCs w:val="18"/>
          <w:color w:val="auto"/>
        </w:rPr>
        <w:t>”). If the Company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340"/>
          </w:cols>
          <w:pgMar w:left="980" w:top="266" w:right="579" w:bottom="1440" w:gutter="0" w:footer="0" w:header="0"/>
        </w:sectPr>
      </w:pPr>
    </w:p>
    <w:bookmarkStart w:id="78" w:name="page79"/>
    <w:bookmarkEnd w:id="78"/>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w:t>
      </w:r>
    </w:p>
    <w:p>
      <w:pPr>
        <w:spacing w:after="0" w:line="92" w:lineRule="exact"/>
        <w:rPr>
          <w:sz w:val="20"/>
          <w:szCs w:val="20"/>
          <w:color w:val="auto"/>
        </w:rPr>
      </w:pPr>
    </w:p>
    <w:p>
      <w:pPr>
        <w:ind w:right="120" w:firstLine="421"/>
        <w:spacing w:after="0" w:line="270" w:lineRule="auto"/>
        <w:tabs>
          <w:tab w:leader="none" w:pos="7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shares of Class A Common Stock or combination of cash and shares of Class A Common Stock in respect of any conversion of Notes (the “</w:t>
      </w:r>
      <w:r>
        <w:rPr>
          <w:rFonts w:ascii="Times New Roman" w:cs="Times New Roman" w:eastAsia="Times New Roman" w:hAnsi="Times New Roman"/>
          <w:sz w:val="18"/>
          <w:szCs w:val="18"/>
          <w:b w:val="1"/>
          <w:bCs w:val="1"/>
          <w:color w:val="auto"/>
        </w:rPr>
        <w:t>Settlement Amount</w:t>
      </w:r>
      <w:r>
        <w:rPr>
          <w:rFonts w:ascii="Times New Roman" w:cs="Times New Roman" w:eastAsia="Times New Roman" w:hAnsi="Times New Roman"/>
          <w:sz w:val="18"/>
          <w:szCs w:val="18"/>
          <w:color w:val="auto"/>
        </w:rPr>
        <w:t>”) shall be computed as follows:</w:t>
      </w:r>
    </w:p>
    <w:p>
      <w:pPr>
        <w:spacing w:after="0" w:line="62" w:lineRule="exact"/>
        <w:rPr>
          <w:rFonts w:ascii="Times New Roman" w:cs="Times New Roman" w:eastAsia="Times New Roman" w:hAnsi="Times New Roman"/>
          <w:sz w:val="18"/>
          <w:szCs w:val="18"/>
          <w:color w:val="auto"/>
        </w:rPr>
      </w:pPr>
    </w:p>
    <w:p>
      <w:pPr>
        <w:jc w:val="both"/>
        <w:ind w:left="540" w:right="540" w:firstLine="398"/>
        <w:spacing w:after="0" w:line="257" w:lineRule="auto"/>
        <w:tabs>
          <w:tab w:leader="none" w:pos="12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Class A Common Stock equal to the Conversion Rate in effect on the Conversion Date;</w:t>
      </w:r>
    </w:p>
    <w:p>
      <w:pPr>
        <w:spacing w:after="0" w:line="74" w:lineRule="exact"/>
        <w:rPr>
          <w:rFonts w:ascii="Times New Roman" w:cs="Times New Roman" w:eastAsia="Times New Roman" w:hAnsi="Times New Roman"/>
          <w:sz w:val="18"/>
          <w:szCs w:val="18"/>
          <w:color w:val="auto"/>
        </w:rPr>
      </w:pPr>
    </w:p>
    <w:p>
      <w:pPr>
        <w:jc w:val="both"/>
        <w:ind w:left="540" w:right="140" w:firstLine="398"/>
        <w:spacing w:after="0" w:line="253" w:lineRule="auto"/>
        <w:tabs>
          <w:tab w:leader="none" w:pos="12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Trading Days during the related Observation Period; and</w:t>
      </w:r>
    </w:p>
    <w:p>
      <w:pPr>
        <w:spacing w:after="0" w:line="77" w:lineRule="exact"/>
        <w:rPr>
          <w:rFonts w:ascii="Times New Roman" w:cs="Times New Roman" w:eastAsia="Times New Roman" w:hAnsi="Times New Roman"/>
          <w:sz w:val="18"/>
          <w:szCs w:val="18"/>
          <w:color w:val="auto"/>
        </w:rPr>
      </w:pPr>
    </w:p>
    <w:p>
      <w:pPr>
        <w:ind w:left="540" w:right="320" w:firstLine="398"/>
        <w:spacing w:after="0" w:line="253" w:lineRule="auto"/>
        <w:tabs>
          <w:tab w:leader="none" w:pos="121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Trading Days during the related Observation Period.</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320"/>
          </w:cols>
          <w:pgMar w:left="980" w:top="266" w:right="599" w:bottom="1440" w:gutter="0" w:footer="0" w:header="0"/>
        </w:sectPr>
      </w:pPr>
    </w:p>
    <w:bookmarkStart w:id="79" w:name="page80"/>
    <w:bookmarkEnd w:id="79"/>
    <w:p>
      <w:pPr>
        <w:ind w:left="420" w:right="20" w:firstLine="421"/>
        <w:spacing w:after="0" w:line="250" w:lineRule="auto"/>
        <w:tabs>
          <w:tab w:leader="none" w:pos="108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Class A Common Stock, the Company shall notify the Trustee and the Conversion Agent (if other than the Trustee) of the Daily Settlement Amounts (if applicable), the Daily Conversion Values (if applicable) and the amount of cash payable in lieu of delivering any fractional shares of Class A Common Stock. The Trustee and the Conversion Agent (if other than the Trustee) shall have no responsibility for any such determination.</w:t>
      </w:r>
    </w:p>
    <w:p>
      <w:pPr>
        <w:spacing w:after="0" w:line="185" w:lineRule="exact"/>
        <w:rPr>
          <w:rFonts w:ascii="Times New Roman" w:cs="Times New Roman" w:eastAsia="Times New Roman" w:hAnsi="Times New Roman"/>
          <w:sz w:val="18"/>
          <w:szCs w:val="18"/>
          <w:color w:val="auto"/>
        </w:rPr>
      </w:pPr>
    </w:p>
    <w:p>
      <w:pPr>
        <w:ind w:firstLine="427"/>
        <w:spacing w:after="0" w:line="246"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at the office of the Conversion Agent and state in writing therein the principal amount of Notes to be converted and the name or names (with addresses) in which such Holder wishes the certificate or certificates for any shares of Class A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99" w:lineRule="exact"/>
        <w:rPr>
          <w:sz w:val="20"/>
          <w:szCs w:val="20"/>
          <w:color w:val="auto"/>
        </w:rPr>
      </w:pPr>
    </w:p>
    <w:p>
      <w:pPr>
        <w:ind w:right="140" w:firstLine="431"/>
        <w:spacing w:after="0" w:line="257" w:lineRule="auto"/>
        <w:rPr>
          <w:sz w:val="20"/>
          <w:szCs w:val="20"/>
          <w:color w:val="auto"/>
        </w:rPr>
      </w:pPr>
      <w:r>
        <w:rPr>
          <w:rFonts w:ascii="Times New Roman" w:cs="Times New Roman" w:eastAsia="Times New Roman" w:hAnsi="Times New Roman"/>
          <w:sz w:val="18"/>
          <w:szCs w:val="18"/>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40"/>
          </w:cols>
          <w:pgMar w:left="560" w:top="266" w:right="599" w:bottom="1440" w:gutter="0" w:footer="0" w:header="0"/>
        </w:sectPr>
      </w:pPr>
    </w:p>
    <w:bookmarkStart w:id="80" w:name="page81"/>
    <w:bookmarkEnd w:id="80"/>
    <w:p>
      <w:pPr>
        <w:ind w:firstLine="427"/>
        <w:spacing w:after="0" w:line="248" w:lineRule="auto"/>
        <w:tabs>
          <w:tab w:leader="none" w:pos="6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 Note shall be deemed to have been converted immediately prior to the close of business on the date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Conversion Date following the Regular Record Date immediately preceding the Maturity Date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Class A Common Stock are due to a converting Holder, the Company shall issue or cause to be issued, and deliver (if applicable) to the Conversion Agent or to such Holder, or such Holder’s nominee or nominees, the full number of shares of Class A Common Stock to which such Holder shall be entitled, in book-entry format through the Depositary, in satisfaction of the Company’s Conversion Obligation.</w:t>
      </w:r>
    </w:p>
    <w:p>
      <w:pPr>
        <w:spacing w:after="0" w:line="187" w:lineRule="exact"/>
        <w:rPr>
          <w:rFonts w:ascii="Times New Roman" w:cs="Times New Roman" w:eastAsia="Times New Roman" w:hAnsi="Times New Roman"/>
          <w:sz w:val="18"/>
          <w:szCs w:val="18"/>
          <w:color w:val="auto"/>
        </w:rPr>
      </w:pPr>
    </w:p>
    <w:p>
      <w:pPr>
        <w:ind w:right="140" w:firstLine="427"/>
        <w:spacing w:after="0" w:line="250"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85" w:lineRule="exact"/>
        <w:rPr>
          <w:rFonts w:ascii="Times New Roman" w:cs="Times New Roman" w:eastAsia="Times New Roman" w:hAnsi="Times New Roman"/>
          <w:sz w:val="18"/>
          <w:szCs w:val="18"/>
          <w:color w:val="auto"/>
        </w:rPr>
      </w:pPr>
    </w:p>
    <w:p>
      <w:pPr>
        <w:ind w:right="160" w:firstLine="427"/>
        <w:spacing w:after="0" w:line="251" w:lineRule="auto"/>
        <w:tabs>
          <w:tab w:leader="none" w:pos="6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submits a Note for conversion, the Company shall pay any documentary, stamp or similar issue or transfer tax due on the issue of any shares of Class A Common Stock upon conversion, unless the tax is due because the Holder requests such shares to be issued in a name other than the Holder’s name, in which case the Holder shall pay that tax. The Conversion Agent may refuse to deliver the certificates representing the shares of Class A Common Stock being issued in a name other than the Holder’s name until the Trustee receives a sum sufficient to pay any tax that is due by such Holder in accordance with the immediately preceding sentence.</w:t>
      </w:r>
    </w:p>
    <w:p>
      <w:pPr>
        <w:spacing w:after="0" w:line="185" w:lineRule="exact"/>
        <w:rPr>
          <w:rFonts w:ascii="Times New Roman" w:cs="Times New Roman" w:eastAsia="Times New Roman" w:hAnsi="Times New Roman"/>
          <w:sz w:val="18"/>
          <w:szCs w:val="18"/>
          <w:color w:val="auto"/>
        </w:rPr>
      </w:pPr>
    </w:p>
    <w:p>
      <w:pPr>
        <w:ind w:right="440" w:firstLine="427"/>
        <w:spacing w:after="0" w:line="270" w:lineRule="auto"/>
        <w:tabs>
          <w:tab w:leader="none" w:pos="6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14.04, no adjustment shall be made for dividends on any shares of Class A Common Stock issued upon the conversion of any Note as provided in this Article 14.</w:t>
      </w:r>
    </w:p>
    <w:p>
      <w:pPr>
        <w:spacing w:after="0" w:line="168" w:lineRule="exact"/>
        <w:rPr>
          <w:rFonts w:ascii="Times New Roman" w:cs="Times New Roman" w:eastAsia="Times New Roman" w:hAnsi="Times New Roman"/>
          <w:sz w:val="18"/>
          <w:szCs w:val="18"/>
          <w:color w:val="auto"/>
        </w:rPr>
      </w:pPr>
    </w:p>
    <w:p>
      <w:pPr>
        <w:jc w:val="both"/>
        <w:ind w:right="20" w:firstLine="427"/>
        <w:spacing w:after="0" w:line="257"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60"/>
          </w:cols>
          <w:pgMar w:left="560" w:top="264" w:right="579" w:bottom="1440" w:gutter="0" w:footer="0" w:header="0"/>
        </w:sectPr>
      </w:pPr>
    </w:p>
    <w:bookmarkStart w:id="81" w:name="page82"/>
    <w:bookmarkEnd w:id="81"/>
    <w:p>
      <w:pPr>
        <w:ind w:right="40" w:firstLine="966"/>
        <w:spacing w:after="0" w:line="246" w:lineRule="auto"/>
        <w:tabs>
          <w:tab w:leader="none" w:pos="121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Class A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(1) for conversions following the close of business on the Regular Record Date immediately preceding the Maturity Date; (2) for conversions of Called Notes during a Redemption Period; (3)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w:t>
      </w:r>
    </w:p>
    <w:p>
      <w:pPr>
        <w:spacing w:after="0" w:line="196" w:lineRule="exact"/>
        <w:rPr>
          <w:rFonts w:ascii="Times New Roman" w:cs="Times New Roman" w:eastAsia="Times New Roman" w:hAnsi="Times New Roman"/>
          <w:sz w:val="18"/>
          <w:szCs w:val="18"/>
          <w:color w:val="auto"/>
        </w:rPr>
      </w:pPr>
    </w:p>
    <w:p>
      <w:pPr>
        <w:ind w:firstLine="427"/>
        <w:spacing w:after="0" w:line="273" w:lineRule="auto"/>
        <w:tabs>
          <w:tab w:leader="none" w:pos="64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in whose name the shares of Class A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66" w:lineRule="exact"/>
        <w:rPr>
          <w:rFonts w:ascii="Times New Roman" w:cs="Times New Roman" w:eastAsia="Times New Roman" w:hAnsi="Times New Roman"/>
          <w:sz w:val="17"/>
          <w:szCs w:val="17"/>
          <w:color w:val="auto"/>
        </w:rPr>
      </w:pPr>
    </w:p>
    <w:p>
      <w:pPr>
        <w:ind w:firstLine="427"/>
        <w:spacing w:after="0" w:line="250" w:lineRule="auto"/>
        <w:tabs>
          <w:tab w:leader="none" w:pos="6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issue any fractional share of Class A Common Stock upon conversion of the Notes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760"/>
          </w:cols>
          <w:pgMar w:left="560" w:top="266" w:right="579" w:bottom="1440" w:gutter="0" w:footer="0" w:header="0"/>
        </w:sectPr>
      </w:pPr>
    </w:p>
    <w:bookmarkStart w:id="82" w:name="page83"/>
    <w:bookmarkEnd w:id="82"/>
    <w:p>
      <w:pPr>
        <w:ind w:left="3" w:right="100" w:firstLine="431"/>
        <w:spacing w:after="0" w:line="27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14.03</w:t>
      </w:r>
      <w:r>
        <w:rPr>
          <w:rFonts w:ascii="Times New Roman" w:cs="Times New Roman" w:eastAsia="Times New Roman" w:hAnsi="Times New Roman"/>
          <w:sz w:val="18"/>
          <w:szCs w:val="18"/>
          <w:i w:val="1"/>
          <w:iCs w:val="1"/>
          <w:color w:val="auto"/>
        </w:rPr>
        <w:t>. Increased Conversion Rate Applicable to Certain Notes Surrendered in Connection with Make-Whole Fundamental Changes or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of Redemption.</w:t>
      </w:r>
    </w:p>
    <w:p>
      <w:pPr>
        <w:spacing w:after="0" w:line="167" w:lineRule="exact"/>
        <w:rPr>
          <w:sz w:val="20"/>
          <w:szCs w:val="20"/>
          <w:color w:val="auto"/>
        </w:rPr>
      </w:pPr>
    </w:p>
    <w:p>
      <w:pPr>
        <w:ind w:left="3" w:right="20" w:firstLine="427"/>
        <w:spacing w:after="0" w:line="262" w:lineRule="auto"/>
        <w:tabs>
          <w:tab w:leader="none" w:pos="673"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Class A Common Stock (the “</w:t>
      </w:r>
      <w:r>
        <w:rPr>
          <w:rFonts w:ascii="Times New Roman" w:cs="Times New Roman" w:eastAsia="Times New Roman" w:hAnsi="Times New Roman"/>
          <w:sz w:val="17"/>
          <w:szCs w:val="17"/>
          <w:b w:val="1"/>
          <w:bCs w:val="1"/>
          <w:color w:val="auto"/>
        </w:rPr>
        <w:t>Additional Shares</w:t>
      </w:r>
      <w:r>
        <w:rPr>
          <w:rFonts w:ascii="Times New Roman" w:cs="Times New Roman" w:eastAsia="Times New Roman" w:hAnsi="Times New Roman"/>
          <w:sz w:val="17"/>
          <w:szCs w:val="17"/>
          <w:color w:val="auto"/>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cs="Times New Roman" w:eastAsia="Times New Roman" w:hAnsi="Times New Roman"/>
          <w:sz w:val="17"/>
          <w:szCs w:val="17"/>
          <w:i w:val="1"/>
          <w:iCs w:val="1"/>
          <w:color w:val="auto"/>
        </w:rPr>
        <w:t>proviso</w:t>
      </w:r>
      <w:r>
        <w:rPr>
          <w:rFonts w:ascii="Times New Roman" w:cs="Times New Roman" w:eastAsia="Times New Roman" w:hAnsi="Times New Roman"/>
          <w:sz w:val="17"/>
          <w:szCs w:val="17"/>
          <w:color w:val="auto"/>
        </w:rPr>
        <w:t xml:space="preserve"> in clause</w:t>
      </w:r>
    </w:p>
    <w:p>
      <w:pPr>
        <w:ind w:left="3" w:hanging="3"/>
        <w:spacing w:after="0" w:line="245" w:lineRule="auto"/>
        <w:tabs>
          <w:tab w:leader="none" w:pos="2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the 35th Trading Day immediately following the Effective Date of such Make-Whole Fundamental Change) (such period, the “</w:t>
      </w:r>
      <w:r>
        <w:rPr>
          <w:rFonts w:ascii="Times New Roman" w:cs="Times New Roman" w:eastAsia="Times New Roman" w:hAnsi="Times New Roman"/>
          <w:sz w:val="18"/>
          <w:szCs w:val="18"/>
          <w:b w:val="1"/>
          <w:bCs w:val="1"/>
          <w:color w:val="auto"/>
        </w:rPr>
        <w:t>Make-Whole Fundamental Change Period</w:t>
      </w:r>
      <w:r>
        <w:rPr>
          <w:rFonts w:ascii="Times New Roman" w:cs="Times New Roman" w:eastAsia="Times New Roman" w:hAnsi="Times New Roman"/>
          <w:sz w:val="18"/>
          <w:szCs w:val="18"/>
          <w:color w:val="auto"/>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shall not be entitled to convert such Notes pursuant to Section 14.01(b)(v) and shall not be entitled to an increase in the Conversion Rate for conversions of such Notes (on account of the Notice of Redemption) during the applicable Redemption Period, even if such Notes are otherwise convertible pursuant to Section 14.01(b)(i)-(iv).</w:t>
      </w:r>
    </w:p>
    <w:p>
      <w:pPr>
        <w:spacing w:after="0" w:line="193" w:lineRule="exact"/>
        <w:rPr>
          <w:rFonts w:ascii="Times New Roman" w:cs="Times New Roman" w:eastAsia="Times New Roman" w:hAnsi="Times New Roman"/>
          <w:sz w:val="18"/>
          <w:szCs w:val="18"/>
          <w:color w:val="auto"/>
        </w:rPr>
      </w:pPr>
    </w:p>
    <w:p>
      <w:pPr>
        <w:ind w:left="3" w:right="20" w:firstLine="427"/>
        <w:spacing w:after="0" w:line="247" w:lineRule="auto"/>
        <w:tabs>
          <w:tab w:leader="none" w:pos="68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spacing w:after="0" w:line="128"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23"/>
          </w:cols>
          <w:pgMar w:left="557" w:top="264" w:right="619" w:bottom="1440" w:gutter="0" w:footer="0" w:header="0"/>
        </w:sectPr>
      </w:pPr>
    </w:p>
    <w:bookmarkStart w:id="83" w:name="page84"/>
    <w:bookmarkEnd w:id="83"/>
    <w:p>
      <w:pPr>
        <w:ind w:right="340" w:firstLine="427"/>
        <w:spacing w:after="0" w:line="247" w:lineRule="auto"/>
        <w:tabs>
          <w:tab w:leader="none" w:pos="67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the price (the “</w:t>
      </w:r>
      <w:r>
        <w:rPr>
          <w:rFonts w:ascii="Times New Roman" w:cs="Times New Roman" w:eastAsia="Times New Roman" w:hAnsi="Times New Roman"/>
          <w:sz w:val="18"/>
          <w:szCs w:val="18"/>
          <w:b w:val="1"/>
          <w:bCs w:val="1"/>
          <w:color w:val="auto"/>
        </w:rPr>
        <w:t>Stock Price</w:t>
      </w:r>
      <w:r>
        <w:rPr>
          <w:rFonts w:ascii="Times New Roman" w:cs="Times New Roman" w:eastAsia="Times New Roman" w:hAnsi="Times New Roman"/>
          <w:sz w:val="18"/>
          <w:szCs w:val="18"/>
          <w:color w:val="auto"/>
        </w:rPr>
        <w:t>”) paid (or deemed to be paid) per share of the Class A Common Stock in the Make-Whole Fundamental Change or determined with respect to the Notice of Redemption, as the case may be. If the holders of the Class A Common Stock receive in exchange for their Class A Common Stock only cash in a Make-Whole Fundamental Change described in clause (b) of the definition of Fundamental Change, the Stock Price shall be the cash amount paid per share. Otherwise, the Stock Price shall be the average of the Last Reported Sale Prices of the Class A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w:t>
      </w:r>
    </w:p>
    <w:p>
      <w:pPr>
        <w:spacing w:after="0" w:line="190" w:lineRule="exact"/>
        <w:rPr>
          <w:rFonts w:ascii="Times New Roman" w:cs="Times New Roman" w:eastAsia="Times New Roman" w:hAnsi="Times New Roman"/>
          <w:sz w:val="18"/>
          <w:szCs w:val="18"/>
          <w:color w:val="auto"/>
        </w:rPr>
      </w:pPr>
    </w:p>
    <w:p>
      <w:pPr>
        <w:ind w:right="460" w:firstLine="427"/>
        <w:spacing w:after="0" w:line="251"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5" w:lineRule="exact"/>
        <w:rPr>
          <w:rFonts w:ascii="Times New Roman" w:cs="Times New Roman" w:eastAsia="Times New Roman" w:hAnsi="Times New Roman"/>
          <w:sz w:val="18"/>
          <w:szCs w:val="18"/>
          <w:color w:val="auto"/>
        </w:rPr>
      </w:pPr>
    </w:p>
    <w:p>
      <w:pPr>
        <w:ind w:right="500" w:firstLine="427"/>
        <w:spacing w:after="0" w:line="270" w:lineRule="auto"/>
        <w:tabs>
          <w:tab w:leader="none" w:pos="67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8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739775</wp:posOffset>
            </wp:positionH>
            <wp:positionV relativeFrom="paragraph">
              <wp:posOffset>5715</wp:posOffset>
            </wp:positionV>
            <wp:extent cx="6308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8725" cy="8255"/>
                    </a:xfrm>
                    <a:prstGeom prst="rect">
                      <a:avLst/>
                    </a:prstGeom>
                    <a:noFill/>
                  </pic:spPr>
                </pic:pic>
              </a:graphicData>
            </a:graphic>
          </wp:anchor>
        </w:drawing>
      </w:r>
    </w:p>
    <w:p>
      <w:pPr>
        <w:spacing w:after="0"/>
        <w:tabs>
          <w:tab w:leader="none" w:pos="1860" w:val="left"/>
          <w:tab w:leader="none" w:pos="2600" w:val="left"/>
          <w:tab w:leader="none" w:pos="3320" w:val="left"/>
          <w:tab w:leader="none" w:pos="4040" w:val="left"/>
          <w:tab w:leader="none" w:pos="4760" w:val="left"/>
          <w:tab w:leader="none" w:pos="5500" w:val="left"/>
          <w:tab w:leader="none" w:pos="6220" w:val="left"/>
          <w:tab w:leader="none" w:pos="6940" w:val="left"/>
          <w:tab w:leader="none" w:pos="7680" w:val="left"/>
          <w:tab w:leader="none" w:pos="8400" w:val="left"/>
          <w:tab w:leader="none" w:pos="9120" w:val="left"/>
          <w:tab w:leader="none" w:pos="9860" w:val="left"/>
          <w:tab w:leader="none" w:pos="10580" w:val="left"/>
        </w:tabs>
        <w:rPr>
          <w:sz w:val="20"/>
          <w:szCs w:val="20"/>
          <w:color w:val="auto"/>
        </w:rPr>
      </w:pPr>
      <w:r>
        <w:rPr>
          <w:rFonts w:ascii="Times New Roman" w:cs="Times New Roman" w:eastAsia="Times New Roman" w:hAnsi="Times New Roman"/>
          <w:sz w:val="18"/>
          <w:szCs w:val="18"/>
          <w:b w:val="1"/>
          <w:bCs w:val="1"/>
          <w:color w:val="auto"/>
          <w:shd w:val="clear" w:color="auto" w:fill="CCEEFF"/>
        </w:rPr>
        <w:t xml:space="preserve">Effective Date </w:t>
      </w:r>
      <w:r>
        <w:rPr>
          <w:rFonts w:ascii="Times New Roman" w:cs="Times New Roman" w:eastAsia="Times New Roman" w:hAnsi="Times New Roman"/>
          <w:sz w:val="18"/>
          <w:szCs w:val="18"/>
          <w:color w:val="auto"/>
          <w:shd w:val="clear" w:color="auto" w:fill="CCEEFF"/>
        </w:rPr>
        <w:t>$ 36.20</w:t>
      </w:r>
      <w:r>
        <w:rPr>
          <w:sz w:val="20"/>
          <w:szCs w:val="20"/>
          <w:color w:val="auto"/>
        </w:rPr>
        <w:tab/>
      </w:r>
      <w:r>
        <w:rPr>
          <w:rFonts w:ascii="Times New Roman" w:cs="Times New Roman" w:eastAsia="Times New Roman" w:hAnsi="Times New Roman"/>
          <w:sz w:val="18"/>
          <w:szCs w:val="18"/>
          <w:color w:val="auto"/>
          <w:shd w:val="clear" w:color="auto" w:fill="CCEEFF"/>
        </w:rPr>
        <w:t>$ 40.00</w:t>
        <w:tab/>
        <w:t>$ 45.00</w:t>
        <w:tab/>
        <w:t>$ 47.06</w:t>
        <w:tab/>
        <w:t>$ 50.00</w:t>
        <w:tab/>
        <w:t>$ 61.18</w:t>
        <w:tab/>
        <w:t>$ 75.00</w:t>
      </w:r>
      <w:r>
        <w:rPr>
          <w:sz w:val="20"/>
          <w:szCs w:val="20"/>
          <w:color w:val="auto"/>
        </w:rPr>
        <w:tab/>
      </w:r>
      <w:r>
        <w:rPr>
          <w:rFonts w:ascii="Times New Roman" w:cs="Times New Roman" w:eastAsia="Times New Roman" w:hAnsi="Times New Roman"/>
          <w:sz w:val="18"/>
          <w:szCs w:val="18"/>
          <w:u w:val="single" w:color="auto"/>
          <w:color w:val="auto"/>
          <w:shd w:val="clear" w:color="auto" w:fill="CCEEFF"/>
        </w:rPr>
        <w:t>$</w:t>
      </w:r>
      <w:r>
        <w:rPr>
          <w:rFonts w:ascii="Times New Roman" w:cs="Times New Roman" w:eastAsia="Times New Roman" w:hAnsi="Times New Roman"/>
          <w:sz w:val="18"/>
          <w:szCs w:val="18"/>
          <w:color w:val="auto"/>
          <w:shd w:val="clear" w:color="auto" w:fill="CCEEFF"/>
        </w:rPr>
        <w:t>100.00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125.00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150.00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175.00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200.00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225.00</w:t>
      </w:r>
      <w:r>
        <w:rPr>
          <w:rFonts w:ascii="Times New Roman" w:cs="Times New Roman" w:eastAsia="Times New Roman" w:hAnsi="Times New Roman"/>
          <w:sz w:val="18"/>
          <w:szCs w:val="18"/>
          <w:u w:val="single" w:color="auto"/>
          <w:color w:val="auto"/>
          <w:shd w:val="clear" w:color="auto" w:fill="CCEEFF"/>
        </w:rPr>
        <w:tab/>
        <w:t>$</w:t>
      </w:r>
      <w:r>
        <w:rPr>
          <w:rFonts w:ascii="Times New Roman" w:cs="Times New Roman" w:eastAsia="Times New Roman" w:hAnsi="Times New Roman"/>
          <w:sz w:val="18"/>
          <w:szCs w:val="18"/>
          <w:color w:val="auto"/>
          <w:shd w:val="clear" w:color="auto" w:fill="CCEEFF"/>
        </w:rPr>
        <w:t>250.0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June 12, 2025</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4.7364</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4.3272</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0.7004</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0.3398</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0.1637</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0.0731</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0.0268</w:t>
            </w:r>
          </w:p>
        </w:tc>
        <w:tc>
          <w:tcPr>
            <w:tcW w:w="1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0.0056</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w:t>
            </w:r>
          </w:p>
        </w:tc>
      </w:tr>
      <w:tr>
        <w:trPr>
          <w:trHeight w:val="21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June 15, 2026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6.3748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5.9665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4.7364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4.3032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3.7684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2.3612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1.4063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0.6063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0.2744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0.1211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0.0471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0.0129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w:t>
            </w:r>
          </w:p>
        </w:tc>
      </w:tr>
      <w:tr>
        <w:trPr>
          <w:trHeight w:val="2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June 15, 2027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4.5651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0.4606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0.1838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0.0184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0.0013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w:t>
            </w:r>
          </w:p>
        </w:tc>
      </w:tr>
      <w:tr>
        <w:trPr>
          <w:trHeight w:val="21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June 15, 2028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6.3748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5.6830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4.2004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3.7244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3.1492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1.7241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0.8687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0.2742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0.0844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0.0189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w:t>
            </w:r>
          </w:p>
        </w:tc>
      </w:tr>
      <w:tr>
        <w:trPr>
          <w:trHeight w:val="2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June 15, 2029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2.3666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0.0783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0.0091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0.000</w:t>
            </w:r>
          </w:p>
        </w:tc>
      </w:tr>
      <w:tr>
        <w:trPr>
          <w:trHeight w:val="211"/>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June 15, 2030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6.3748</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3.7505</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0.9727</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0.0000</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0.000</w:t>
            </w:r>
          </w:p>
        </w:tc>
      </w:tr>
    </w:tbl>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exact Stock Price and Effective Date may not be set forth in the table above, in which case:</w:t>
      </w:r>
    </w:p>
    <w:p>
      <w:pPr>
        <w:spacing w:after="0" w:line="110" w:lineRule="exact"/>
        <w:rPr>
          <w:sz w:val="20"/>
          <w:szCs w:val="20"/>
          <w:color w:val="auto"/>
        </w:rPr>
      </w:pPr>
    </w:p>
    <w:p>
      <w:pPr>
        <w:jc w:val="both"/>
        <w:ind w:left="420" w:right="660" w:firstLine="421"/>
        <w:spacing w:after="0" w:line="253" w:lineRule="auto"/>
        <w:tabs>
          <w:tab w:leader="none" w:pos="10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spacing w:after="0" w:line="1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560" w:top="266" w:right="239" w:bottom="1440" w:gutter="0" w:footer="0" w:header="0"/>
        </w:sectPr>
      </w:pPr>
    </w:p>
    <w:bookmarkStart w:id="84" w:name="page85"/>
    <w:bookmarkEnd w:id="84"/>
    <w:p>
      <w:pPr>
        <w:ind w:left="420" w:right="60" w:firstLine="421"/>
        <w:spacing w:after="0" w:line="270" w:lineRule="auto"/>
        <w:tabs>
          <w:tab w:leader="none" w:pos="109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the Stock Price is greater than $250.00 per share (subject to adjustment in the same manner as the Stock Prices set forth in the column headings of the table above pursuant to subsection (d) above), no Additional Shares shall be added to the Conversion Rate; and</w:t>
      </w:r>
    </w:p>
    <w:p>
      <w:pPr>
        <w:spacing w:after="0" w:line="62" w:lineRule="exact"/>
        <w:rPr>
          <w:rFonts w:ascii="Times New Roman" w:cs="Times New Roman" w:eastAsia="Times New Roman" w:hAnsi="Times New Roman"/>
          <w:sz w:val="18"/>
          <w:szCs w:val="18"/>
          <w:color w:val="auto"/>
        </w:rPr>
      </w:pPr>
    </w:p>
    <w:p>
      <w:pPr>
        <w:ind w:left="420" w:right="320" w:firstLine="421"/>
        <w:spacing w:after="0" w:line="270" w:lineRule="auto"/>
        <w:tabs>
          <w:tab w:leader="none" w:pos="114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Price is less than $36.20 per share (subject to adjustment in the same manner as the Stock Prices set forth in the column headings of the table above pursuant to subsection (d) above), no Additional Shares shall be added to the Conversion Rate.</w:t>
      </w:r>
    </w:p>
    <w:p>
      <w:pPr>
        <w:spacing w:after="0" w:line="16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Notwithstanding the foregoing, in no event shall the Conversion Rate per $1,000 principal amount of Notes exceed 27.6243 shares of Class A Common Stock, subject to adjustment in the same manner as the Conversion Rate pursuant to Section 14.04.</w:t>
      </w:r>
    </w:p>
    <w:p>
      <w:pPr>
        <w:spacing w:after="0" w:line="168" w:lineRule="exact"/>
        <w:rPr>
          <w:sz w:val="20"/>
          <w:szCs w:val="20"/>
          <w:color w:val="auto"/>
        </w:rPr>
      </w:pPr>
    </w:p>
    <w:p>
      <w:pPr>
        <w:ind w:firstLine="427"/>
        <w:spacing w:after="0" w:line="270" w:lineRule="auto"/>
        <w:tabs>
          <w:tab w:leader="none" w:pos="6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14.03 shall prevent an adjustment to the Conversion Rate that would otherwise be required pursuant to Section 14.04 in respect of a Make-Whole Fundamental Change.</w:t>
      </w:r>
    </w:p>
    <w:p>
      <w:pPr>
        <w:spacing w:after="0" w:line="166"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Section 14.04</w:t>
      </w:r>
      <w:r>
        <w:rPr>
          <w:rFonts w:ascii="Times New Roman" w:cs="Times New Roman" w:eastAsia="Times New Roman" w:hAnsi="Times New Roman"/>
          <w:sz w:val="18"/>
          <w:szCs w:val="18"/>
          <w:i w:val="1"/>
          <w:iCs w:val="1"/>
          <w:color w:val="auto"/>
        </w:rPr>
        <w:t>. Adjustment of Conversion Rate.</w:t>
      </w:r>
      <w:r>
        <w:rPr>
          <w:rFonts w:ascii="Times New Roman" w:cs="Times New Roman" w:eastAsia="Times New Roman" w:hAnsi="Times New Roman"/>
          <w:sz w:val="18"/>
          <w:szCs w:val="18"/>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Class A Common Stock and solely as a result of holding the Notes, in any of the transactions described in this Section 14.04, without having to convert their Notes, as if they held a number of shares of Class A Common Stock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principal amount (expressed in thousands) of Notes held by such Holder.</w:t>
      </w:r>
    </w:p>
    <w:p>
      <w:pPr>
        <w:spacing w:after="0" w:line="187" w:lineRule="exact"/>
        <w:rPr>
          <w:sz w:val="20"/>
          <w:szCs w:val="20"/>
          <w:color w:val="auto"/>
        </w:rPr>
      </w:pPr>
    </w:p>
    <w:p>
      <w:pPr>
        <w:ind w:right="120" w:firstLine="427"/>
        <w:spacing w:after="0" w:line="270" w:lineRule="auto"/>
        <w:tabs>
          <w:tab w:leader="none" w:pos="6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Class A Common Stock as a dividend or distribution on shares of the Class A Common Stock, or if the Company effects a share split or share combination, the Conversion Rate shall be adjusted based on the following formula:</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740"/>
          </w:cols>
          <w:pgMar w:left="560" w:top="266" w:right="599" w:bottom="1440" w:gutter="0" w:footer="0" w:header="0"/>
        </w:sect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540" w:hanging="319"/>
        <w:spacing w:after="0" w:line="300" w:lineRule="auto"/>
        <w:rPr>
          <w:sz w:val="20"/>
          <w:szCs w:val="20"/>
          <w:color w:val="auto"/>
        </w:rPr>
      </w:pPr>
      <w:r>
        <w:rPr>
          <w:rFonts w:ascii="Times New Roman" w:cs="Times New Roman" w:eastAsia="Times New Roman" w:hAnsi="Times New Roman"/>
          <w:sz w:val="17"/>
          <w:szCs w:val="17"/>
          <w:color w:val="auto"/>
        </w:rPr>
        <w:t>=</w:t>
      </w:r>
      <w:r>
        <w:rPr>
          <w:sz w:val="20"/>
          <w:szCs w:val="20"/>
          <w:color w:val="auto"/>
        </w:rPr>
        <w:t xml:space="preserve"> </w:t>
      </w:r>
      <w:r>
        <w:rPr>
          <w:rFonts w:ascii="Times New Roman" w:cs="Times New Roman" w:eastAsia="Times New Roman" w:hAnsi="Times New Roman"/>
          <w:sz w:val="17"/>
          <w:szCs w:val="17"/>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39" w:lineRule="exact"/>
        <w:rPr>
          <w:sz w:val="20"/>
          <w:szCs w:val="20"/>
          <w:color w:val="auto"/>
        </w:rPr>
      </w:pPr>
    </w:p>
    <w:p>
      <w:pPr>
        <w:sectPr>
          <w:pgSz w:w="11900" w:h="16838" w:orient="portrait"/>
          <w:cols w:equalWidth="0" w:num="2">
            <w:col w:w="300" w:space="560"/>
            <w:col w:w="9880"/>
          </w:cols>
          <w:pgMar w:left="560" w:top="266" w:right="5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17"/>
          <w:szCs w:val="17"/>
          <w:color w:val="auto"/>
        </w:rPr>
        <w:t>=</w:t>
        <w:tab/>
        <w:t>the Conversion Rate in effect immediately after the open of business on such Ex-Dividend Date or Effective Date;</w:t>
      </w:r>
    </w:p>
    <w:p>
      <w:pPr>
        <w:spacing w:after="0" w:line="161" w:lineRule="exact"/>
        <w:rPr>
          <w:sz w:val="20"/>
          <w:szCs w:val="20"/>
          <w:color w:val="auto"/>
        </w:rPr>
      </w:pPr>
    </w:p>
    <w:p>
      <w:pPr>
        <w:sectPr>
          <w:pgSz w:w="11900" w:h="16838" w:orient="portrait"/>
          <w:cols w:equalWidth="0" w:num="2">
            <w:col w:w="300" w:space="240"/>
            <w:col w:w="10200"/>
          </w:cols>
          <w:pgMar w:left="560" w:top="266" w:right="5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40"/>
          </w:cols>
          <w:pgMar w:left="560" w:top="266" w:right="599" w:bottom="1440" w:gutter="0" w:footer="0" w:header="0"/>
          <w:type w:val="continuous"/>
        </w:sectPr>
      </w:pPr>
    </w:p>
    <w:bookmarkStart w:id="85" w:name="page86"/>
    <w:bookmarkEnd w:id="85"/>
    <w:p>
      <w:pPr>
        <w:ind w:left="3"/>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ind w:right="52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Class A Common Stock outstanding immediately prior to the open of business on such Ex-Dividend Date or Effective Date (before giving effect to any such dividend, distribution, split or combination);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-375285</wp:posOffset>
            </wp:positionV>
            <wp:extent cx="717740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83" w:space="580"/>
            <w:col w:w="9860"/>
          </w:cols>
          <w:pgMar w:left="557" w:top="266" w:right="619" w:bottom="1440" w:gutter="0" w:footer="0" w:header="0"/>
        </w:sectPr>
      </w:pPr>
    </w:p>
    <w:p>
      <w:pPr>
        <w:ind w:left="3"/>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ind w:right="26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number of shares of Class A Common Stock outstanding immediately after giving effect to such dividend, distribution, share split or share combination.</w:t>
      </w:r>
    </w:p>
    <w:p>
      <w:pPr>
        <w:spacing w:after="0" w:line="168" w:lineRule="exact"/>
        <w:rPr>
          <w:sz w:val="20"/>
          <w:szCs w:val="20"/>
          <w:color w:val="auto"/>
        </w:rPr>
      </w:pPr>
    </w:p>
    <w:p>
      <w:pPr>
        <w:sectPr>
          <w:pgSz w:w="11900" w:h="16838" w:orient="portrait"/>
          <w:cols w:equalWidth="0" w:num="2">
            <w:col w:w="283" w:space="580"/>
            <w:col w:w="9860"/>
          </w:cols>
          <w:pgMar w:left="557" w:top="266" w:right="619" w:bottom="1440" w:gutter="0" w:footer="0" w:header="0"/>
          <w:type w:val="continuous"/>
        </w:sectPr>
      </w:pPr>
    </w:p>
    <w:p>
      <w:pPr>
        <w:ind w:left="3"/>
        <w:spacing w:after="0" w:line="251" w:lineRule="auto"/>
        <w:rPr>
          <w:sz w:val="20"/>
          <w:szCs w:val="20"/>
          <w:color w:val="auto"/>
        </w:rPr>
      </w:pPr>
      <w:r>
        <w:rPr>
          <w:rFonts w:ascii="Times New Roman" w:cs="Times New Roman" w:eastAsia="Times New Roman" w:hAnsi="Times New Roman"/>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5" w:lineRule="exact"/>
        <w:rPr>
          <w:sz w:val="20"/>
          <w:szCs w:val="20"/>
          <w:color w:val="auto"/>
        </w:rPr>
      </w:pPr>
    </w:p>
    <w:p>
      <w:pPr>
        <w:ind w:left="3" w:firstLine="427"/>
        <w:spacing w:after="0" w:line="251" w:lineRule="auto"/>
        <w:tabs>
          <w:tab w:leader="none" w:pos="68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to all or substantially all holders of the Class A Common Stock any rights, options or warrants (other than pursuant to a stockholder rights plan) entitling them, for a period of not more than 60 calendar days after the announcement date of such distribution, to subscribe for or purchase shares of the Class A Common Stock at a price per share that is less than the average of the Last Reported Sale Prices of the Class A Common Stock for the 10 consecutive Trading Day period ending on, and including, the Trading Day immediately preceding the date of announcement of such distribution, the Conversion Rate shall be increased based on the following formula:</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where,</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34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9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Conversion Rate in effect immediately prior to the open of business on the Ex-Dividend Date for such distribution;</w:t>
            </w:r>
          </w:p>
        </w:tc>
      </w:tr>
      <w:tr>
        <w:trPr>
          <w:trHeight w:val="30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such Ex-Dividend Date;</w:t>
            </w:r>
          </w:p>
        </w:tc>
      </w:tr>
      <w:tr>
        <w:trPr>
          <w:trHeight w:val="34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6"/>
                <w:szCs w:val="26"/>
                <w:color w:val="auto"/>
                <w:vertAlign w:val="subscript"/>
              </w:rPr>
              <w:t>0</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the number of shares of Class A Common Stock outstanding immediately prior to the open of business on such Ex-Dividend Date;</w:t>
            </w:r>
          </w:p>
        </w:tc>
      </w:tr>
    </w:tbl>
    <w:p>
      <w:pPr>
        <w:spacing w:after="0" w:line="57" w:lineRule="exact"/>
        <w:rPr>
          <w:sz w:val="20"/>
          <w:szCs w:val="20"/>
          <w:color w:val="auto"/>
        </w:rPr>
      </w:pPr>
    </w:p>
    <w:p>
      <w:pPr>
        <w:ind w:left="543" w:hanging="543"/>
        <w:spacing w:after="0"/>
        <w:tabs>
          <w:tab w:leader="none" w:pos="5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Class A Common Stock distributable pursuant to such rights, options or warrants; and</w:t>
      </w:r>
    </w:p>
    <w:p>
      <w:pPr>
        <w:spacing w:after="0" w:line="108" w:lineRule="exact"/>
        <w:rPr>
          <w:sz w:val="20"/>
          <w:szCs w:val="20"/>
          <w:color w:val="auto"/>
        </w:rPr>
      </w:pPr>
    </w:p>
    <w:p>
      <w:pPr>
        <w:ind w:left="543" w:hanging="543"/>
        <w:spacing w:after="0"/>
        <w:tabs>
          <w:tab w:leader="none" w:pos="54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the number of shares of Class A Common Stock equal to the aggregate price payable to exercise such rights, options or warrants, </w:t>
      </w:r>
      <w:r>
        <w:rPr>
          <w:rFonts w:ascii="Times New Roman" w:cs="Times New Roman" w:eastAsia="Times New Roman" w:hAnsi="Times New Roman"/>
          <w:sz w:val="17"/>
          <w:szCs w:val="17"/>
          <w:i w:val="1"/>
          <w:iCs w:val="1"/>
          <w:color w:val="auto"/>
        </w:rPr>
        <w:t>divided by</w:t>
      </w:r>
    </w:p>
    <w:p>
      <w:pPr>
        <w:spacing w:after="0" w:line="35" w:lineRule="exact"/>
        <w:rPr>
          <w:rFonts w:ascii="Times New Roman" w:cs="Times New Roman" w:eastAsia="Times New Roman" w:hAnsi="Times New Roman"/>
          <w:sz w:val="17"/>
          <w:szCs w:val="17"/>
          <w:color w:val="auto"/>
        </w:rPr>
      </w:pPr>
    </w:p>
    <w:p>
      <w:pPr>
        <w:ind w:left="863" w:right="340"/>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of the Last Reported Sale Prices of the Class A Common Stock over the 10 consecutive Trading Day period ending on, and including, the Trading Day immediately preceding the date of announcement of the distribution of such rights, options or warrants.</w:t>
      </w:r>
    </w:p>
    <w:p>
      <w:pPr>
        <w:spacing w:after="0" w:line="97"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723"/>
          </w:cols>
          <w:pgMar w:left="557" w:top="266" w:right="619" w:bottom="1440" w:gutter="0" w:footer="0" w:header="0"/>
          <w:type w:val="continuous"/>
        </w:sectPr>
      </w:pPr>
    </w:p>
    <w:bookmarkStart w:id="86" w:name="page87"/>
    <w:bookmarkEnd w:id="86"/>
    <w:p>
      <w:pPr>
        <w:ind w:right="1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increase made under this Section 14.04(b) shall be made successively whenever any such rights, options or warrants are distributed and shall become effective immediately after the open of business on the Ex-Dividend Date for such distribution. To the extent that shares of the Class A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Class A Common Stock actually delivered. If such rights, options or warrants are not so distributed, the Conversion Rate shall be decreased to the Conversion Rate that would then be in effect if such Ex-Dividend Date for such distribution had not occurred.</w:t>
      </w:r>
    </w:p>
    <w:p>
      <w:pPr>
        <w:spacing w:after="0" w:line="174" w:lineRule="exact"/>
        <w:rPr>
          <w:sz w:val="20"/>
          <w:szCs w:val="20"/>
          <w:color w:val="auto"/>
        </w:rPr>
      </w:pPr>
    </w:p>
    <w:p>
      <w:pPr>
        <w:ind w:firstLine="431"/>
        <w:spacing w:after="0" w:line="267" w:lineRule="auto"/>
        <w:rPr>
          <w:sz w:val="20"/>
          <w:szCs w:val="20"/>
          <w:color w:val="auto"/>
        </w:rPr>
      </w:pPr>
      <w:r>
        <w:rPr>
          <w:rFonts w:ascii="Times New Roman" w:cs="Times New Roman" w:eastAsia="Times New Roman" w:hAnsi="Times New Roman"/>
          <w:sz w:val="17"/>
          <w:szCs w:val="17"/>
          <w:color w:val="auto"/>
        </w:rPr>
        <w:t>For purposes of this Section 14.04(b) and for the purpose of Section 14.01(b)(ii)(A), in determining whether any rights, options or warrants entitle the holders of Class A Common Stock to subscribe for or purchase shares of the Class A Common Stock at a price per share that is less than such average of the Last Reported Sale Prices of the Class A Common Stock for the 10 consecutive Trading Day period ending on, and including, the Trading Day immediately preceding the date of announcement of such distribution, 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74" w:lineRule="exact"/>
        <w:rPr>
          <w:sz w:val="20"/>
          <w:szCs w:val="20"/>
          <w:color w:val="auto"/>
        </w:rPr>
      </w:pPr>
    </w:p>
    <w:p>
      <w:pPr>
        <w:ind w:right="40" w:firstLine="427"/>
        <w:spacing w:after="0" w:line="262" w:lineRule="auto"/>
        <w:tabs>
          <w:tab w:leader="none" w:pos="67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distributes shares of its Capital Stock, evidences of its indebtedness, other assets or property of the Company or rights, options or warrants to acquire its Capital Stock or other securities, to all or substantially all holders of the Class A Common Stock, excluding (i) dividends, distributions or issuances (including share splits) as to which an adjustment was effected pursuant to Section 14.04(a) or Section 14.04(b), (ii) except as otherwise provided in Section 14.11, rights issued pursuant to any stockholder rights plan of the Company then in effect, (iii) distributions of Reference Property in exchange for, or upon conversion of, Class A Common Stock in a Share Exchange Event, (iv) dividends or distributions paid exclusively in cash as to which the provisions set forth in Section 14.04(d) shall apply, and (v) Spin-Offs as to which the provisions set forth below in this</w:t>
      </w:r>
    </w:p>
    <w:p>
      <w:pPr>
        <w:spacing w:after="0" w:line="4" w:lineRule="exact"/>
        <w:rPr>
          <w:rFonts w:ascii="Times New Roman" w:cs="Times New Roman" w:eastAsia="Times New Roman" w:hAnsi="Times New Roman"/>
          <w:sz w:val="17"/>
          <w:szCs w:val="17"/>
          <w:color w:val="auto"/>
        </w:rPr>
      </w:pPr>
    </w:p>
    <w:p>
      <w:pPr>
        <w:jc w:val="both"/>
        <w:ind w:right="280"/>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14.04(c)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7"/>
          <w:szCs w:val="17"/>
          <w:b w:val="1"/>
          <w:bCs w:val="1"/>
          <w:color w:val="auto"/>
        </w:rPr>
        <w:t>Distributed Property</w:t>
      </w:r>
      <w:r>
        <w:rPr>
          <w:rFonts w:ascii="Times New Roman" w:cs="Times New Roman" w:eastAsia="Times New Roman" w:hAnsi="Times New Roman"/>
          <w:sz w:val="17"/>
          <w:szCs w:val="17"/>
          <w:color w:val="auto"/>
        </w:rPr>
        <w:t>”), then the Conversion Rate shall be increased based on the following formula: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37" w:lineRule="exact"/>
        <w:rPr>
          <w:sz w:val="20"/>
          <w:szCs w:val="20"/>
          <w:color w:val="auto"/>
        </w:rPr>
      </w:pPr>
    </w:p>
    <w:p>
      <w:pPr>
        <w:spacing w:after="0"/>
        <w:tabs>
          <w:tab w:leader="none" w:pos="520" w:val="left"/>
          <w:tab w:leader="none" w:pos="840" w:val="left"/>
        </w:tabs>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ab/>
        <w:t>=</w:t>
      </w:r>
      <w:r>
        <w:rPr>
          <w:sz w:val="20"/>
          <w:szCs w:val="20"/>
          <w:color w:val="auto"/>
        </w:rPr>
        <w:tab/>
      </w:r>
      <w:r>
        <w:rPr>
          <w:rFonts w:ascii="Times New Roman" w:cs="Times New Roman" w:eastAsia="Times New Roman" w:hAnsi="Times New Roman"/>
          <w:sz w:val="17"/>
          <w:szCs w:val="17"/>
          <w:color w:val="auto"/>
        </w:rPr>
        <w:t>the Conversion Rate in effect immediately prior to the open of business on the Ex-Dividend Date for such distribution;</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60"/>
          </w:cols>
          <w:pgMar w:left="560" w:top="266" w:right="5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the Conversion Rate in effect immediately after the open of business on such Ex-Dividend Date;</w:t>
            </w:r>
          </w:p>
        </w:tc>
      </w:tr>
      <w:tr>
        <w:trPr>
          <w:trHeight w:val="2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the average of the Last Reported Sale Prices of the Class A Common Stock over the 10 consecutive Trading Day period ending on, and</w:t>
            </w:r>
          </w:p>
        </w:tc>
      </w:tr>
      <w:tr>
        <w:trPr>
          <w:trHeight w:val="229"/>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 Trading Day immediately preceding the Ex-Dividend Date for such distribution; and</w:t>
            </w:r>
          </w:p>
        </w:tc>
      </w:tr>
      <w:tr>
        <w:trPr>
          <w:trHeight w:val="2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the fair market value (as determined by the Company in good faith) of the Distributed Property with respect to each outstanding share of</w:t>
            </w:r>
          </w:p>
        </w:tc>
      </w:tr>
      <w:tr>
        <w:trPr>
          <w:trHeight w:val="229"/>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Class A Common Stock on the Ex-Dividend Date for such distribution.</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233" w:lineRule="auto"/>
        <w:rPr>
          <w:sz w:val="20"/>
          <w:szCs w:val="20"/>
          <w:color w:val="auto"/>
        </w:rPr>
      </w:pPr>
      <w:r>
        <w:rPr>
          <w:rFonts w:ascii="Times New Roman" w:cs="Times New Roman" w:eastAsia="Times New Roman" w:hAnsi="Times New Roman"/>
          <w:sz w:val="18"/>
          <w:szCs w:val="18"/>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in respect of each $1,000 principal amount thereof, at the same time and upon the same terms as holders of the Class A Common Stock receive the Distributed Property, the amount and kind of Distributed Property such Holder would have received if such Holder owned a number of shares of Class A Common Stock equal to the Conversion Rate in effect on the Ex-Dividend Date for the distribution.</w:t>
      </w:r>
    </w:p>
    <w:p>
      <w:pPr>
        <w:spacing w:after="0" w:line="194" w:lineRule="exact"/>
        <w:rPr>
          <w:sz w:val="20"/>
          <w:szCs w:val="20"/>
          <w:color w:val="auto"/>
        </w:rPr>
      </w:pPr>
    </w:p>
    <w:p>
      <w:pPr>
        <w:ind w:right="40" w:firstLine="431"/>
        <w:spacing w:after="0" w:line="253" w:lineRule="auto"/>
        <w:rPr>
          <w:sz w:val="20"/>
          <w:szCs w:val="20"/>
          <w:color w:val="auto"/>
        </w:rPr>
      </w:pPr>
      <w:r>
        <w:rPr>
          <w:rFonts w:ascii="Times New Roman" w:cs="Times New Roman" w:eastAsia="Times New Roman" w:hAnsi="Times New Roman"/>
          <w:sz w:val="18"/>
          <w:szCs w:val="18"/>
          <w:color w:val="auto"/>
        </w:rPr>
        <w:t>With respect to an adjustment pursuant to this Section 14.04(c) where there has been a payment of a dividend or other distribution on the Class A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 Conversion Rate shall be increased based on the following formula: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680"/>
          </w:cols>
          <w:pgMar w:left="560" w:top="372" w:right="659" w:bottom="1440" w:gutter="0" w:footer="0" w:header="0"/>
        </w:sect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the Conversion Rate in effect immediately prior to the end of the Valuation Period;</w:t>
      </w:r>
    </w:p>
    <w:p>
      <w:pPr>
        <w:spacing w:after="0" w:line="121" w:lineRule="exact"/>
        <w:rPr>
          <w:sz w:val="20"/>
          <w:szCs w:val="20"/>
          <w:color w:val="auto"/>
        </w:rPr>
      </w:pPr>
    </w:p>
    <w:p>
      <w:pPr>
        <w:sectPr>
          <w:pgSz w:w="11900" w:h="16838" w:orient="portrait"/>
          <w:cols w:equalWidth="0" w:num="2">
            <w:col w:w="300" w:space="340"/>
            <w:col w:w="10040"/>
          </w:cols>
          <w:pgMar w:left="560" w:top="372"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the Conversion Rate in effect immediately after the end of the Valuation Period;</w:t>
      </w:r>
    </w:p>
    <w:p>
      <w:pPr>
        <w:spacing w:after="0" w:line="121" w:lineRule="exact"/>
        <w:rPr>
          <w:sz w:val="20"/>
          <w:szCs w:val="20"/>
          <w:color w:val="auto"/>
        </w:rPr>
      </w:pPr>
    </w:p>
    <w:p>
      <w:pPr>
        <w:sectPr>
          <w:pgSz w:w="11900" w:h="16838" w:orient="portrait"/>
          <w:cols w:equalWidth="0" w:num="2">
            <w:col w:w="300" w:space="340"/>
            <w:col w:w="10040"/>
          </w:cols>
          <w:pgMar w:left="560" w:top="372"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FMV</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jc w:val="both"/>
        <w:ind w:right="120" w:hanging="219"/>
        <w:spacing w:after="0" w:line="273" w:lineRule="auto"/>
        <w:rPr>
          <w:sz w:val="20"/>
          <w:szCs w:val="20"/>
          <w:color w:val="auto"/>
        </w:rPr>
      </w:pPr>
      <w:r>
        <w:rPr>
          <w:rFonts w:ascii="Times New Roman" w:cs="Times New Roman" w:eastAsia="Times New Roman" w:hAnsi="Times New Roman"/>
          <w:sz w:val="17"/>
          <w:szCs w:val="17"/>
          <w:color w:val="auto"/>
        </w:rPr>
        <w:t>=</w:t>
      </w:r>
      <w:r>
        <w:rPr>
          <w:sz w:val="20"/>
          <w:szCs w:val="20"/>
          <w:color w:val="auto"/>
        </w:rPr>
        <w:t xml:space="preserve"> </w:t>
      </w:r>
      <w:r>
        <w:rPr>
          <w:rFonts w:ascii="Times New Roman" w:cs="Times New Roman" w:eastAsia="Times New Roman" w:hAnsi="Times New Roman"/>
          <w:sz w:val="17"/>
          <w:szCs w:val="17"/>
          <w:color w:val="auto"/>
        </w:rPr>
        <w:t>the average of the Last Reported Sale Prices of the Capital Stock or similar equity interest distributed to holders of the Class A Common Stock applicable to one share of the Class A Common Stock (determined by reference to the definition of Last Reported Sale Price as set forth in Section 1.01 as if references therein to Class A Common Stock were to such Capital Stock or similar equity interest) over the first 10 consecutive Trading Day period after, and including, the Ex-Dividend Date of the Spin-Off (the “</w:t>
      </w:r>
      <w:r>
        <w:rPr>
          <w:rFonts w:ascii="Times New Roman" w:cs="Times New Roman" w:eastAsia="Times New Roman" w:hAnsi="Times New Roman"/>
          <w:sz w:val="17"/>
          <w:szCs w:val="17"/>
          <w:b w:val="1"/>
          <w:bCs w:val="1"/>
          <w:color w:val="auto"/>
        </w:rPr>
        <w:t>Valuation Period</w:t>
      </w:r>
      <w:r>
        <w:rPr>
          <w:rFonts w:ascii="Times New Roman" w:cs="Times New Roman" w:eastAsia="Times New Roman" w:hAnsi="Times New Roman"/>
          <w:sz w:val="17"/>
          <w:szCs w:val="17"/>
          <w:color w:val="auto"/>
        </w:rPr>
        <w:t>”); and</w:t>
      </w:r>
    </w:p>
    <w:p>
      <w:pPr>
        <w:spacing w:after="0" w:line="61" w:lineRule="exact"/>
        <w:rPr>
          <w:sz w:val="20"/>
          <w:szCs w:val="20"/>
          <w:color w:val="auto"/>
        </w:rPr>
      </w:pPr>
    </w:p>
    <w:p>
      <w:pPr>
        <w:sectPr>
          <w:pgSz w:w="11900" w:h="16838" w:orient="portrait"/>
          <w:cols w:equalWidth="0" w:num="2">
            <w:col w:w="440" w:space="420"/>
            <w:col w:w="9820"/>
          </w:cols>
          <w:pgMar w:left="560" w:top="372"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MP</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the average of the Last Reported Sale Prices of the Class A Common Stock over the Valuation Period.</w:t>
      </w:r>
    </w:p>
    <w:p>
      <w:pPr>
        <w:spacing w:after="0" w:line="161" w:lineRule="exact"/>
        <w:rPr>
          <w:sz w:val="20"/>
          <w:szCs w:val="20"/>
          <w:color w:val="auto"/>
        </w:rPr>
      </w:pPr>
    </w:p>
    <w:p>
      <w:pPr>
        <w:sectPr>
          <w:pgSz w:w="11900" w:h="16838" w:orient="portrait"/>
          <w:cols w:equalWidth="0" w:num="2">
            <w:col w:w="320" w:space="320"/>
            <w:col w:w="10040"/>
          </w:cols>
          <w:pgMar w:left="560" w:top="372" w:right="65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680"/>
          </w:cols>
          <w:pgMar w:left="560" w:top="372" w:right="659" w:bottom="1440" w:gutter="0" w:footer="0" w:header="0"/>
          <w:type w:val="continuous"/>
        </w:sectPr>
      </w:pPr>
    </w:p>
    <w:bookmarkStart w:id="88" w:name="page89"/>
    <w:bookmarkEnd w:id="88"/>
    <w:p>
      <w:pPr>
        <w:ind w:left="3" w:firstLine="431"/>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The increase to the Conversion Rate under the preceding paragraph shall occur at the close of business on the last Trading Day of the Valuation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92" w:lineRule="exact"/>
        <w:rPr>
          <w:sz w:val="20"/>
          <w:szCs w:val="20"/>
          <w:color w:val="auto"/>
        </w:rPr>
      </w:pPr>
    </w:p>
    <w:p>
      <w:pPr>
        <w:ind w:left="3" w:right="20" w:firstLine="431"/>
        <w:spacing w:after="0" w:line="260" w:lineRule="auto"/>
        <w:rPr>
          <w:sz w:val="20"/>
          <w:szCs w:val="20"/>
          <w:color w:val="auto"/>
        </w:rPr>
      </w:pPr>
      <w:r>
        <w:rPr>
          <w:rFonts w:ascii="Times New Roman" w:cs="Times New Roman" w:eastAsia="Times New Roman" w:hAnsi="Times New Roman"/>
          <w:sz w:val="17"/>
          <w:szCs w:val="17"/>
          <w:color w:val="auto"/>
        </w:rPr>
        <w:t>For purposes of this Section 14.04(c) (and subject in all respect to Section 14.11), rights, options or warrants distributed by the Company to all holders of the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Times New Roman" w:cs="Times New Roman" w:eastAsia="Times New Roman" w:hAnsi="Times New Roman"/>
          <w:sz w:val="17"/>
          <w:szCs w:val="17"/>
          <w:b w:val="1"/>
          <w:bCs w:val="1"/>
          <w:color w:val="auto"/>
        </w:rPr>
        <w:t>Trigger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Event</w:t>
      </w:r>
      <w:r>
        <w:rPr>
          <w:rFonts w:ascii="Times New Roman" w:cs="Times New Roman" w:eastAsia="Times New Roman" w:hAnsi="Times New Roman"/>
          <w:sz w:val="17"/>
          <w:szCs w:val="17"/>
          <w:color w:val="auto"/>
        </w:rPr>
        <w:t>”): (i) are deemed to be transferred with such shares of the Class A Common Stock; (ii) are not exercisable; and (iii) are also issued in respect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future issuances of the Class A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spacing w:after="0" w:line="10" w:lineRule="exact"/>
        <w:rPr>
          <w:sz w:val="20"/>
          <w:szCs w:val="20"/>
          <w:color w:val="auto"/>
        </w:rPr>
      </w:pPr>
    </w:p>
    <w:p>
      <w:pPr>
        <w:ind w:left="243" w:hanging="243"/>
        <w:spacing w:after="0"/>
        <w:tabs>
          <w:tab w:leader="none" w:pos="24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such rights, options or warrants that shall all have been redeemed or purchased without exercise by any holders thereof, upon such</w:t>
      </w:r>
    </w:p>
    <w:p>
      <w:pPr>
        <w:spacing w:after="0" w:line="143" w:lineRule="exact"/>
        <w:rPr>
          <w:rFonts w:ascii="Times New Roman" w:cs="Times New Roman" w:eastAsia="Times New Roman" w:hAnsi="Times New Roman"/>
          <w:sz w:val="17"/>
          <w:szCs w:val="17"/>
          <w:color w:val="auto"/>
        </w:rPr>
      </w:pPr>
    </w:p>
    <w:p>
      <w:pPr>
        <w:ind w:left="53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77</w:t>
      </w:r>
    </w:p>
    <w:p>
      <w:pPr>
        <w:sectPr>
          <w:pgSz w:w="11900" w:h="16838" w:orient="portrait"/>
          <w:cols w:equalWidth="0" w:num="1">
            <w:col w:w="10763"/>
          </w:cols>
          <w:pgMar w:left="557" w:top="266" w:right="579" w:bottom="1440" w:gutter="0" w:footer="0" w:header="0"/>
        </w:sectPr>
      </w:pPr>
    </w:p>
    <w:bookmarkStart w:id="89" w:name="page90"/>
    <w:bookmarkEnd w:id="89"/>
    <w:p>
      <w:pPr>
        <w:ind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74" w:lineRule="exact"/>
        <w:rPr>
          <w:sz w:val="20"/>
          <w:szCs w:val="20"/>
          <w:color w:val="auto"/>
        </w:rPr>
      </w:pPr>
    </w:p>
    <w:p>
      <w:pPr>
        <w:ind w:right="420" w:firstLine="431"/>
        <w:spacing w:after="0" w:line="270" w:lineRule="auto"/>
        <w:rPr>
          <w:sz w:val="20"/>
          <w:szCs w:val="20"/>
          <w:color w:val="auto"/>
        </w:rPr>
      </w:pPr>
      <w:r>
        <w:rPr>
          <w:rFonts w:ascii="Times New Roman" w:cs="Times New Roman" w:eastAsia="Times New Roman" w:hAnsi="Times New Roman"/>
          <w:sz w:val="18"/>
          <w:szCs w:val="18"/>
          <w:color w:val="auto"/>
        </w:rPr>
        <w:t>For purposes of Section 14.04(a), Section 14.04(b) and this Section 14.04(c), if any dividend or distribution to which this Section 14.04(c) is applicable also includes one or both of:</w:t>
      </w:r>
    </w:p>
    <w:p>
      <w:pPr>
        <w:spacing w:after="0" w:line="60" w:lineRule="exact"/>
        <w:rPr>
          <w:sz w:val="20"/>
          <w:szCs w:val="20"/>
          <w:color w:val="auto"/>
        </w:rPr>
      </w:pPr>
    </w:p>
    <w:p>
      <w:pPr>
        <w:ind w:left="720" w:hanging="293"/>
        <w:spacing w:after="0"/>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shares of Class A Common Stock to which Section 14.04(a) is applicable (the “</w:t>
      </w:r>
      <w:r>
        <w:rPr>
          <w:rFonts w:ascii="Times New Roman" w:cs="Times New Roman" w:eastAsia="Times New Roman" w:hAnsi="Times New Roman"/>
          <w:sz w:val="18"/>
          <w:szCs w:val="18"/>
          <w:b w:val="1"/>
          <w:bCs w:val="1"/>
          <w:color w:val="auto"/>
        </w:rPr>
        <w:t>Clause A Distribution</w:t>
      </w:r>
      <w:r>
        <w:rPr>
          <w:rFonts w:ascii="Times New Roman" w:cs="Times New Roman" w:eastAsia="Times New Roman" w:hAnsi="Times New Roman"/>
          <w:sz w:val="18"/>
          <w:szCs w:val="18"/>
          <w:color w:val="auto"/>
        </w:rPr>
        <w:t>”); or</w:t>
      </w:r>
    </w:p>
    <w:p>
      <w:pPr>
        <w:spacing w:after="0" w:line="215" w:lineRule="exact"/>
        <w:rPr>
          <w:rFonts w:ascii="Times New Roman" w:cs="Times New Roman" w:eastAsia="Times New Roman" w:hAnsi="Times New Roman"/>
          <w:sz w:val="18"/>
          <w:szCs w:val="18"/>
          <w:color w:val="auto"/>
        </w:rPr>
      </w:pPr>
    </w:p>
    <w:p>
      <w:pPr>
        <w:ind w:left="700" w:hanging="273"/>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of rights, options or warrants to which Section 14.04(b) is applicable (the “</w:t>
      </w:r>
      <w:r>
        <w:rPr>
          <w:rFonts w:ascii="Times New Roman" w:cs="Times New Roman" w:eastAsia="Times New Roman" w:hAnsi="Times New Roman"/>
          <w:sz w:val="18"/>
          <w:szCs w:val="18"/>
          <w:b w:val="1"/>
          <w:bCs w:val="1"/>
          <w:color w:val="auto"/>
        </w:rPr>
        <w:t>Clause B Distribution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then, in either case, (1) such dividend or distribution, other than the Clause A Distribution and the Clause B Distribution, shall be deemed to be a dividend or distribution to which this Section 14.04(c) is applicable (the “</w:t>
      </w:r>
      <w:r>
        <w:rPr>
          <w:rFonts w:ascii="Times New Roman" w:cs="Times New Roman" w:eastAsia="Times New Roman" w:hAnsi="Times New Roman"/>
          <w:sz w:val="18"/>
          <w:szCs w:val="18"/>
          <w:b w:val="1"/>
          <w:bCs w:val="1"/>
          <w:color w:val="auto"/>
        </w:rPr>
        <w:t>Clause C Distribution</w:t>
      </w:r>
      <w:r>
        <w:rPr>
          <w:rFonts w:ascii="Times New Roman" w:cs="Times New Roman" w:eastAsia="Times New Roman" w:hAnsi="Times New Roman"/>
          <w:sz w:val="18"/>
          <w:szCs w:val="18"/>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88" w:lineRule="exact"/>
        <w:rPr>
          <w:sz w:val="20"/>
          <w:szCs w:val="20"/>
          <w:color w:val="auto"/>
        </w:rPr>
      </w:pPr>
    </w:p>
    <w:p>
      <w:pPr>
        <w:ind w:right="100" w:firstLine="427"/>
        <w:spacing w:after="0" w:line="270"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makes any cash dividend or distribution to all or substantially all holders of the Class A Common Stock, the Conversion Rate shall be adjusted based on the following formula:</w:t>
      </w:r>
    </w:p>
    <w:p>
      <w:pPr>
        <w:spacing w:after="0" w:line="90" w:lineRule="exact"/>
        <w:rPr>
          <w:sz w:val="20"/>
          <w:szCs w:val="20"/>
          <w:color w:val="auto"/>
        </w:rPr>
      </w:pPr>
    </w:p>
    <w:tbl>
      <w:tblPr>
        <w:tblLayout w:type="fixed"/>
        <w:tblInd w:w="4220" w:type="dxa"/>
        <w:tblCellMar>
          <w:top w:w="0" w:type="dxa"/>
          <w:left w:w="0" w:type="dxa"/>
          <w:bottom w:w="0" w:type="dxa"/>
          <w:right w:w="0" w:type="dxa"/>
        </w:tblCellMar>
      </w:tblPr>
      <w:tr>
        <w:trPr>
          <w:trHeight w:val="348"/>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CR’ = CR</w:t>
            </w:r>
            <w:r>
              <w:rPr>
                <w:rFonts w:ascii="Times New Roman" w:cs="Times New Roman" w:eastAsia="Times New Roman" w:hAnsi="Times New Roman"/>
                <w:sz w:val="26"/>
                <w:szCs w:val="26"/>
                <w:color w:val="auto"/>
                <w:w w:val="95"/>
                <w:vertAlign w:val="subscript"/>
              </w:rPr>
              <w:t>0</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86"/>
              </w:rPr>
              <w:t>× </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0" w:type="dxa"/>
            <w:vAlign w:val="bottom"/>
          </w:tcPr>
          <w:p>
            <w:pPr>
              <w:spacing w:after="0"/>
              <w:rPr>
                <w:sz w:val="1"/>
                <w:szCs w:val="1"/>
                <w:color w:val="auto"/>
              </w:rPr>
            </w:pPr>
          </w:p>
        </w:tc>
      </w:tr>
      <w:tr>
        <w:trPr>
          <w:trHeight w:val="99"/>
        </w:trPr>
        <w:tc>
          <w:tcPr>
            <w:tcW w:w="80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C</w:t>
            </w: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560" w:top="266" w:right="59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tbl>
      <w:tblPr>
        <w:tblLayout w:type="fixed"/>
        <w:tblInd w:w="3" w:type="dxa"/>
        <w:tblCellMar>
          <w:top w:w="0" w:type="dxa"/>
          <w:left w:w="0" w:type="dxa"/>
          <w:bottom w:w="0" w:type="dxa"/>
          <w:right w:w="0" w:type="dxa"/>
        </w:tblCellMar>
      </w:tblPr>
      <w:tr>
        <w:trPr>
          <w:trHeight w:val="22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w:t>
            </w:r>
          </w:p>
        </w:tc>
        <w:tc>
          <w:tcPr>
            <w:tcW w:w="10180" w:type="dxa"/>
            <w:vAlign w:val="bottom"/>
          </w:tcPr>
          <w:p>
            <w:pPr>
              <w:spacing w:after="0"/>
              <w:rPr>
                <w:sz w:val="19"/>
                <w:szCs w:val="19"/>
                <w:color w:val="auto"/>
              </w:rPr>
            </w:pPr>
          </w:p>
        </w:tc>
      </w:tr>
      <w:tr>
        <w:trPr>
          <w:trHeight w:val="43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CR</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prior to the open of business on the Ex-Dividend Date for such dividend or distribution;</w:t>
            </w:r>
          </w:p>
        </w:tc>
      </w:tr>
      <w:tr>
        <w:trPr>
          <w:trHeight w:val="22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CR’</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Conversion Rate in effect immediately after the open of business on the Ex-Dividend Date for such dividend or distribution;</w:t>
            </w:r>
          </w:p>
        </w:tc>
      </w:tr>
      <w:tr>
        <w:trPr>
          <w:trHeight w:val="29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6"/>
                <w:szCs w:val="26"/>
                <w:color w:val="auto"/>
                <w:vertAlign w:val="subscript"/>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the Last Reported Sale Price of the Class A Common Stock on the Trading Day immediately preceding the Ex-Dividend Date for such dividend</w:t>
            </w: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distribution; and</w:t>
            </w:r>
          </w:p>
        </w:tc>
      </w:tr>
    </w:tbl>
    <w:p>
      <w:pPr>
        <w:spacing w:after="0" w:line="88" w:lineRule="exact"/>
        <w:rPr>
          <w:sz w:val="20"/>
          <w:szCs w:val="20"/>
          <w:color w:val="auto"/>
        </w:rPr>
      </w:pPr>
    </w:p>
    <w:p>
      <w:pPr>
        <w:ind w:left="423" w:hanging="423"/>
        <w:spacing w:after="0"/>
        <w:tabs>
          <w:tab w:leader="none" w:pos="42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Company distributes to all or substantially all holders of the Class A Common Stock.</w:t>
      </w:r>
    </w:p>
    <w:p>
      <w:pPr>
        <w:spacing w:after="0" w:line="216" w:lineRule="exact"/>
        <w:rPr>
          <w:sz w:val="20"/>
          <w:szCs w:val="20"/>
          <w:color w:val="auto"/>
        </w:rPr>
      </w:pPr>
    </w:p>
    <w:p>
      <w:pPr>
        <w:ind w:left="3"/>
        <w:spacing w:after="0" w:line="233" w:lineRule="auto"/>
        <w:rPr>
          <w:sz w:val="20"/>
          <w:szCs w:val="20"/>
          <w:color w:val="auto"/>
        </w:rPr>
      </w:pPr>
      <w:r>
        <w:rPr>
          <w:rFonts w:ascii="Times New Roman" w:cs="Times New Roman" w:eastAsia="Times New Roman" w:hAnsi="Times New Roman"/>
          <w:sz w:val="18"/>
          <w:szCs w:val="18"/>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26"/>
          <w:szCs w:val="26"/>
          <w:color w:val="auto"/>
          <w:vertAlign w:val="subscript"/>
        </w:rPr>
        <w:t>0</w:t>
      </w:r>
      <w:r>
        <w:rPr>
          <w:rFonts w:ascii="Times New Roman" w:cs="Times New Roman" w:eastAsia="Times New Roman" w:hAnsi="Times New Roman"/>
          <w:sz w:val="18"/>
          <w:szCs w:val="18"/>
          <w:color w:val="auto"/>
        </w:rPr>
        <w:t>” (as defined above), in lieu of the foregoing increase, each Holder of a Note shall receive, for each $1,000 principal amount of Notes it holds, at the same time and upon the same terms as holders of shares of the Class A Common Stock, the amount of cash that such Holder would have received if such Holder owned a number of shares of Class A Common Stock equal to the Conversion Rate on the Ex-Dividend Date for such cash dividend or distribution.</w:t>
      </w:r>
    </w:p>
    <w:p>
      <w:pPr>
        <w:spacing w:after="0" w:line="194" w:lineRule="exact"/>
        <w:rPr>
          <w:sz w:val="20"/>
          <w:szCs w:val="20"/>
          <w:color w:val="auto"/>
        </w:rPr>
      </w:pPr>
    </w:p>
    <w:p>
      <w:pPr>
        <w:ind w:left="3" w:right="20" w:firstLine="427"/>
        <w:spacing w:after="0" w:line="269" w:lineRule="auto"/>
        <w:tabs>
          <w:tab w:leader="none" w:pos="67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or any of its Subsidiaries make a payment in respect of a tender or exchange offer for the Class A Common Stock that is subject to the then applicable tender offer rules under the Exchange Act (other than any odd-lot tender offer), to the extent that the cash and value of any other consideration included in the payment per share of the Class A Common Stock exceeds the average of the Last Reported Sale Prices of the Class A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1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0763"/>
          </w:cols>
          <w:pgMar w:left="557" w:top="266" w:right="579" w:bottom="1440" w:gutter="0" w:footer="0" w:header="0"/>
        </w:sectPr>
      </w:pPr>
    </w:p>
    <w:p>
      <w:pPr>
        <w:spacing w:after="0" w:line="2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CR</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8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prior to the close of business on the 10th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03" w:space="560"/>
            <w:col w:w="9900"/>
          </w:cols>
          <w:pgMar w:left="557" w:top="266" w:right="57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color w:val="auto"/>
        </w:rPr>
        <w:t>CR’</w:t>
      </w:r>
    </w:p>
    <w:p>
      <w:pPr>
        <w:spacing w:after="0" w:line="20" w:lineRule="exact"/>
        <w:rPr>
          <w:sz w:val="20"/>
          <w:szCs w:val="20"/>
          <w:color w:val="auto"/>
        </w:rPr>
      </w:pPr>
      <w:r>
        <w:rPr>
          <w:sz w:val="20"/>
          <w:szCs w:val="20"/>
          <w:color w:val="auto"/>
        </w:rPr>
        <w:br w:type="column"/>
      </w:r>
    </w:p>
    <w:p>
      <w:pPr>
        <w:ind w:right="28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Conversion Rate in effect immediately after the close of business on the 10th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303" w:space="560"/>
            <w:col w:w="9900"/>
          </w:cols>
          <w:pgMar w:left="557" w:top="266" w:right="57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color w:val="auto"/>
        </w:rPr>
        <w:t>AC</w:t>
      </w:r>
    </w:p>
    <w:p>
      <w:pPr>
        <w:spacing w:after="0" w:line="20" w:lineRule="exact"/>
        <w:rPr>
          <w:sz w:val="20"/>
          <w:szCs w:val="20"/>
          <w:color w:val="auto"/>
        </w:rPr>
      </w:pPr>
      <w:r>
        <w:rPr>
          <w:sz w:val="20"/>
          <w:szCs w:val="20"/>
          <w:color w:val="auto"/>
        </w:rPr>
        <w:br w:type="column"/>
      </w:r>
    </w:p>
    <w:p>
      <w:pPr>
        <w:ind w:right="42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aggregate value of all cash and any other consideration (as determined by the Company in good faith) paid or payable for shares of Class A Common Stock purchased in such tender or exchange offer;</w:t>
      </w:r>
    </w:p>
    <w:p>
      <w:pPr>
        <w:spacing w:after="0" w:line="102" w:lineRule="exact"/>
        <w:rPr>
          <w:sz w:val="20"/>
          <w:szCs w:val="20"/>
          <w:color w:val="auto"/>
        </w:rPr>
      </w:pPr>
    </w:p>
    <w:p>
      <w:pPr>
        <w:sectPr>
          <w:pgSz w:w="11900" w:h="16838" w:orient="portrait"/>
          <w:cols w:equalWidth="0" w:num="2">
            <w:col w:w="243" w:space="620"/>
            <w:col w:w="9900"/>
          </w:cols>
          <w:pgMar w:left="557" w:top="266" w:right="579" w:bottom="1440" w:gutter="0" w:footer="0" w:header="0"/>
          <w:type w:val="continuous"/>
        </w:sectPr>
      </w:pPr>
    </w:p>
    <w:p>
      <w:pPr>
        <w:jc w:val="center"/>
        <w:ind w:right="-22"/>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63"/>
          </w:cols>
          <w:pgMar w:left="557" w:top="266" w:right="57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color w:val="auto"/>
        </w:rPr>
        <w:t>OS</w:t>
      </w:r>
      <w:r>
        <w:rPr>
          <w:rFonts w:ascii="Times New Roman" w:cs="Times New Roman" w:eastAsia="Times New Roman" w:hAnsi="Times New Roman"/>
          <w:sz w:val="12"/>
          <w:szCs w:val="12"/>
          <w:color w:val="auto"/>
        </w:rPr>
        <w:t>0</w:t>
      </w:r>
    </w:p>
    <w:p>
      <w:pPr>
        <w:spacing w:after="0" w:line="20" w:lineRule="exact"/>
        <w:rPr>
          <w:sz w:val="20"/>
          <w:szCs w:val="20"/>
          <w:color w:val="auto"/>
        </w:rPr>
      </w:pPr>
      <w:r>
        <w:rPr>
          <w:sz w:val="20"/>
          <w:szCs w:val="20"/>
          <w:color w:val="auto"/>
        </w:rPr>
        <w:br w:type="column"/>
      </w:r>
    </w:p>
    <w:p>
      <w:pPr>
        <w:jc w:val="both"/>
        <w:ind w:right="180" w:hanging="319"/>
        <w:spacing w:after="0" w:line="300" w:lineRule="auto"/>
        <w:rPr>
          <w:sz w:val="20"/>
          <w:szCs w:val="20"/>
          <w:color w:val="auto"/>
        </w:rPr>
      </w:pPr>
      <w:r>
        <w:rPr>
          <w:rFonts w:ascii="Times New Roman" w:cs="Times New Roman" w:eastAsia="Times New Roman" w:hAnsi="Times New Roman"/>
          <w:sz w:val="17"/>
          <w:szCs w:val="17"/>
          <w:color w:val="auto"/>
        </w:rPr>
        <w:t>=</w:t>
      </w:r>
      <w:r>
        <w:rPr>
          <w:sz w:val="20"/>
          <w:szCs w:val="20"/>
          <w:color w:val="auto"/>
        </w:rPr>
        <w:t xml:space="preserve"> </w:t>
      </w:r>
      <w:r>
        <w:rPr>
          <w:rFonts w:ascii="Times New Roman" w:cs="Times New Roman" w:eastAsia="Times New Roman" w:hAnsi="Times New Roman"/>
          <w:sz w:val="17"/>
          <w:szCs w:val="17"/>
          <w:color w:val="auto"/>
        </w:rPr>
        <w:t>the number of shares of Class A Common Stock outstanding immediately prior to the date such tender or exchange offer expires (prior to giving effect to the purchase of all shares of Class A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-457200</wp:posOffset>
            </wp:positionV>
            <wp:extent cx="717740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280" w:space="580"/>
            <w:col w:w="9900"/>
          </w:cols>
          <w:pgMar w:left="560" w:top="372" w:right="5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OS’</w:t>
      </w:r>
    </w:p>
    <w:p>
      <w:pPr>
        <w:spacing w:after="0" w:line="20" w:lineRule="exact"/>
        <w:rPr>
          <w:sz w:val="20"/>
          <w:szCs w:val="20"/>
          <w:color w:val="auto"/>
        </w:rPr>
      </w:pPr>
      <w:r>
        <w:rPr>
          <w:sz w:val="20"/>
          <w:szCs w:val="20"/>
          <w:color w:val="auto"/>
        </w:rPr>
        <w:br w:type="column"/>
      </w:r>
    </w:p>
    <w:p>
      <w:pPr>
        <w:ind w:right="140" w:hanging="319"/>
        <w:spacing w:after="0" w:line="300" w:lineRule="auto"/>
        <w:rPr>
          <w:sz w:val="20"/>
          <w:szCs w:val="20"/>
          <w:color w:val="auto"/>
        </w:rPr>
      </w:pPr>
      <w:r>
        <w:rPr>
          <w:rFonts w:ascii="Times New Roman" w:cs="Times New Roman" w:eastAsia="Times New Roman" w:hAnsi="Times New Roman"/>
          <w:sz w:val="17"/>
          <w:szCs w:val="17"/>
          <w:color w:val="auto"/>
        </w:rPr>
        <w:t>=</w:t>
      </w:r>
      <w:r>
        <w:rPr>
          <w:sz w:val="20"/>
          <w:szCs w:val="20"/>
          <w:color w:val="auto"/>
        </w:rPr>
        <w:t xml:space="preserve"> </w:t>
      </w:r>
      <w:r>
        <w:rPr>
          <w:rFonts w:ascii="Times New Roman" w:cs="Times New Roman" w:eastAsia="Times New Roman" w:hAnsi="Times New Roman"/>
          <w:sz w:val="17"/>
          <w:szCs w:val="17"/>
          <w:color w:val="auto"/>
        </w:rPr>
        <w:t>the number of shares of Class A Common Stock outstanding immediately after the date such tender or exchange offer expires (after giving effect to the purchase of all shares of Class A Common Stock accepted for purchase or exchange in such tender or exchange offer); and</w:t>
      </w:r>
    </w:p>
    <w:p>
      <w:pPr>
        <w:spacing w:after="0" w:line="39" w:lineRule="exact"/>
        <w:rPr>
          <w:sz w:val="20"/>
          <w:szCs w:val="20"/>
          <w:color w:val="auto"/>
        </w:rPr>
      </w:pPr>
    </w:p>
    <w:p>
      <w:pPr>
        <w:sectPr>
          <w:pgSz w:w="11900" w:h="16838" w:orient="portrait"/>
          <w:cols w:equalWidth="0" w:num="2">
            <w:col w:w="280" w:space="580"/>
            <w:col w:w="9900"/>
          </w:cols>
          <w:pgMar w:left="560" w:top="372"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w:t>
      </w:r>
    </w:p>
    <w:p>
      <w:pPr>
        <w:spacing w:after="0" w:line="20" w:lineRule="exact"/>
        <w:rPr>
          <w:sz w:val="20"/>
          <w:szCs w:val="20"/>
          <w:color w:val="auto"/>
        </w:rPr>
      </w:pPr>
      <w:r>
        <w:rPr>
          <w:sz w:val="20"/>
          <w:szCs w:val="20"/>
          <w:color w:val="auto"/>
        </w:rPr>
        <w:br w:type="column"/>
      </w:r>
    </w:p>
    <w:p>
      <w:pPr>
        <w:ind w:right="240" w:hanging="319"/>
        <w:spacing w:after="0" w:line="270"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the average of the Last Reported Sale Prices of the Class A Common Stock over the 10 consecutive Trading Day period commencing on, and including, the Trading Day next succeeding the date such tender or exchange offer expires.</w:t>
      </w:r>
    </w:p>
    <w:p>
      <w:pPr>
        <w:spacing w:after="0" w:line="168" w:lineRule="exact"/>
        <w:rPr>
          <w:sz w:val="20"/>
          <w:szCs w:val="20"/>
          <w:color w:val="auto"/>
        </w:rPr>
      </w:pPr>
    </w:p>
    <w:p>
      <w:pPr>
        <w:sectPr>
          <w:pgSz w:w="11900" w:h="16838" w:orient="portrait"/>
          <w:cols w:equalWidth="0" w:num="2">
            <w:col w:w="260" w:space="600"/>
            <w:col w:w="9900"/>
          </w:cols>
          <w:pgMar w:left="560" w:top="372" w:right="579" w:bottom="1440" w:gutter="0" w:footer="0" w:header="0"/>
          <w:type w:val="continuous"/>
        </w:sectPr>
      </w:pPr>
    </w:p>
    <w:p>
      <w:pPr>
        <w:ind w:firstLine="431"/>
        <w:spacing w:after="0" w:line="247" w:lineRule="auto"/>
        <w:rPr>
          <w:sz w:val="20"/>
          <w:szCs w:val="20"/>
          <w:color w:val="auto"/>
        </w:rPr>
      </w:pPr>
      <w:r>
        <w:rPr>
          <w:rFonts w:ascii="Times New Roman" w:cs="Times New Roman" w:eastAsia="Times New Roman" w:hAnsi="Times New Roman"/>
          <w:sz w:val="18"/>
          <w:szCs w:val="18"/>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spacing w:after="0" w:line="192" w:lineRule="exact"/>
        <w:rPr>
          <w:sz w:val="20"/>
          <w:szCs w:val="20"/>
          <w:color w:val="auto"/>
        </w:rPr>
      </w:pPr>
    </w:p>
    <w:p>
      <w:pPr>
        <w:ind w:right="60" w:firstLine="431"/>
        <w:spacing w:after="0" w:line="253" w:lineRule="auto"/>
        <w:rPr>
          <w:sz w:val="20"/>
          <w:szCs w:val="20"/>
          <w:color w:val="auto"/>
        </w:rPr>
      </w:pPr>
      <w:r>
        <w:rPr>
          <w:rFonts w:ascii="Times New Roman" w:cs="Times New Roman" w:eastAsia="Times New Roman" w:hAnsi="Times New Roman"/>
          <w:sz w:val="18"/>
          <w:szCs w:val="18"/>
          <w:color w:val="auto"/>
        </w:rPr>
        <w:t>If the Company or one of its Subsidiaries is obligated to purchase shares of Class A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84" w:lineRule="exact"/>
        <w:rPr>
          <w:sz w:val="20"/>
          <w:szCs w:val="20"/>
          <w:color w:val="auto"/>
        </w:rPr>
      </w:pPr>
    </w:p>
    <w:p>
      <w:pPr>
        <w:ind w:firstLine="427"/>
        <w:spacing w:after="0" w:line="249" w:lineRule="auto"/>
        <w:tabs>
          <w:tab w:leader="none" w:pos="6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Class A Common Stock as of the related Conversion Date as described under Section 14.02(i) based on an adjusted Conversion Rate for such Ex-Dividend Date, then, notwithstanding the Conversion Rate adjustment provisions in this Section 14.04, the Conversion Rate adjustment relating to such Ex- 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760"/>
          </w:cols>
          <w:pgMar w:left="560" w:top="372" w:right="579" w:bottom="1440" w:gutter="0" w:footer="0" w:header="0"/>
          <w:type w:val="continuous"/>
        </w:sectPr>
      </w:pPr>
    </w:p>
    <w:bookmarkStart w:id="92" w:name="page93"/>
    <w:bookmarkEnd w:id="92"/>
    <w:p>
      <w:pPr>
        <w:jc w:val="both"/>
        <w:ind w:right="300" w:firstLine="427"/>
        <w:spacing w:after="0" w:line="257"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Except as stated herein, the Company shall not adjust the Conversion Rate for the issuance of shares of the Class A Common Stock or any securities convertible into or exchangeable for shares of the Class A Common Stock or the right to purchase shares of the Class A Common Stock or such convertible or exchangeable securities.</w:t>
      </w:r>
    </w:p>
    <w:p>
      <w:pPr>
        <w:spacing w:after="0" w:line="180" w:lineRule="exact"/>
        <w:rPr>
          <w:rFonts w:ascii="Times New Roman" w:cs="Times New Roman" w:eastAsia="Times New Roman" w:hAnsi="Times New Roman"/>
          <w:sz w:val="18"/>
          <w:szCs w:val="18"/>
          <w:color w:val="auto"/>
        </w:rPr>
      </w:pPr>
    </w:p>
    <w:p>
      <w:pPr>
        <w:ind w:firstLine="427"/>
        <w:spacing w:after="0" w:line="250"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Class A Common Stock or rights to purchase shares of Class A Common Stock in connection with a dividend or distribution of shares of Class A Common Stock (or rights to acquire shares of Class A Common Stock) or similar event.</w:t>
      </w:r>
    </w:p>
    <w:p>
      <w:pPr>
        <w:spacing w:after="0" w:line="185" w:lineRule="exact"/>
        <w:rPr>
          <w:rFonts w:ascii="Times New Roman" w:cs="Times New Roman" w:eastAsia="Times New Roman" w:hAnsi="Times New Roman"/>
          <w:sz w:val="18"/>
          <w:szCs w:val="18"/>
          <w:color w:val="auto"/>
        </w:rPr>
      </w:pPr>
    </w:p>
    <w:p>
      <w:pPr>
        <w:ind w:left="640" w:hanging="213"/>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14, the Conversion Rate shall not be adjusted:</w:t>
      </w:r>
    </w:p>
    <w:p>
      <w:pPr>
        <w:spacing w:after="0" w:line="109" w:lineRule="exact"/>
        <w:rPr>
          <w:rFonts w:ascii="Times New Roman" w:cs="Times New Roman" w:eastAsia="Times New Roman" w:hAnsi="Times New Roman"/>
          <w:sz w:val="18"/>
          <w:szCs w:val="18"/>
          <w:color w:val="auto"/>
        </w:rPr>
      </w:pPr>
    </w:p>
    <w:p>
      <w:pPr>
        <w:ind w:left="420" w:right="500" w:firstLine="421"/>
        <w:spacing w:after="0" w:line="270" w:lineRule="auto"/>
        <w:tabs>
          <w:tab w:leader="none" w:pos="104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at a price below the Conversion Price or otherwise, other than any such issuance described in clause (a), (b) or (c) of this Section 14.04;</w:t>
      </w:r>
    </w:p>
    <w:p>
      <w:pPr>
        <w:spacing w:after="0" w:line="62" w:lineRule="exact"/>
        <w:rPr>
          <w:rFonts w:ascii="Times New Roman" w:cs="Times New Roman" w:eastAsia="Times New Roman" w:hAnsi="Times New Roman"/>
          <w:sz w:val="18"/>
          <w:szCs w:val="18"/>
          <w:color w:val="auto"/>
        </w:rPr>
      </w:pPr>
    </w:p>
    <w:p>
      <w:pPr>
        <w:ind w:left="420" w:right="120" w:firstLine="421"/>
        <w:spacing w:after="0" w:line="257" w:lineRule="auto"/>
        <w:tabs>
          <w:tab w:leader="none" w:pos="1093"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74" w:lineRule="exact"/>
        <w:rPr>
          <w:rFonts w:ascii="Times New Roman" w:cs="Times New Roman" w:eastAsia="Times New Roman" w:hAnsi="Times New Roman"/>
          <w:sz w:val="18"/>
          <w:szCs w:val="18"/>
          <w:color w:val="auto"/>
        </w:rPr>
      </w:pPr>
    </w:p>
    <w:p>
      <w:pPr>
        <w:jc w:val="both"/>
        <w:ind w:left="420" w:firstLine="421"/>
        <w:spacing w:after="0" w:line="257" w:lineRule="auto"/>
        <w:tabs>
          <w:tab w:leader="none" w:pos="1142"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Class A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74" w:lineRule="exact"/>
        <w:rPr>
          <w:rFonts w:ascii="Times New Roman" w:cs="Times New Roman" w:eastAsia="Times New Roman" w:hAnsi="Times New Roman"/>
          <w:sz w:val="18"/>
          <w:szCs w:val="18"/>
          <w:color w:val="auto"/>
        </w:rPr>
      </w:pPr>
    </w:p>
    <w:p>
      <w:pPr>
        <w:ind w:left="420" w:right="280" w:firstLine="421"/>
        <w:spacing w:after="0" w:line="300" w:lineRule="auto"/>
        <w:tabs>
          <w:tab w:leader="none" w:pos="1132"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of any shares of the Class A Common Stock pursuant to any option, warrant, right or exercisable, exchangeable or convertible security not described in clause (iii) of this subsection and outstanding as of the date the Notes were first issued;</w:t>
      </w:r>
    </w:p>
    <w:p>
      <w:pPr>
        <w:spacing w:after="0" w:line="39" w:lineRule="exact"/>
        <w:rPr>
          <w:rFonts w:ascii="Times New Roman" w:cs="Times New Roman" w:eastAsia="Times New Roman" w:hAnsi="Times New Roman"/>
          <w:sz w:val="17"/>
          <w:szCs w:val="17"/>
          <w:color w:val="auto"/>
        </w:rPr>
      </w:pPr>
    </w:p>
    <w:p>
      <w:pPr>
        <w:ind w:left="1100" w:hanging="259"/>
        <w:spacing w:after="0"/>
        <w:tabs>
          <w:tab w:leader="none" w:pos="11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third-party tender offer by any party other than a tender offer by one or more of the Company’s Subsidiaries as described in clause</w:t>
      </w:r>
    </w:p>
    <w:p>
      <w:pPr>
        <w:spacing w:after="0" w:line="33" w:lineRule="exact"/>
        <w:rPr>
          <w:rFonts w:ascii="Times New Roman" w:cs="Times New Roman" w:eastAsia="Times New Roman" w:hAnsi="Times New Roman"/>
          <w:sz w:val="17"/>
          <w:szCs w:val="17"/>
          <w:color w:val="auto"/>
        </w:rPr>
      </w:pPr>
    </w:p>
    <w:p>
      <w:pPr>
        <w:ind w:left="660" w:hanging="233"/>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14.04;</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760"/>
          </w:cols>
          <w:pgMar w:left="560" w:top="266" w:right="579" w:bottom="1440" w:gutter="0" w:footer="0" w:header="0"/>
        </w:sectPr>
      </w:pPr>
    </w:p>
    <w:bookmarkStart w:id="93" w:name="page94"/>
    <w:bookmarkEnd w:id="93"/>
    <w:p>
      <w:pPr>
        <w:jc w:val="both"/>
        <w:ind w:left="420" w:right="280" w:firstLine="421"/>
        <w:spacing w:after="0" w:line="279" w:lineRule="auto"/>
        <w:tabs>
          <w:tab w:leader="none" w:pos="1132"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upon the repurchase of any shares of Class A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spacing w:after="0" w:line="57" w:lineRule="exact"/>
        <w:rPr>
          <w:rFonts w:ascii="Times New Roman" w:cs="Times New Roman" w:eastAsia="Times New Roman" w:hAnsi="Times New Roman"/>
          <w:sz w:val="17"/>
          <w:szCs w:val="17"/>
          <w:color w:val="auto"/>
        </w:rPr>
      </w:pPr>
    </w:p>
    <w:p>
      <w:pPr>
        <w:ind w:left="1180" w:hanging="339"/>
        <w:spacing w:after="0"/>
        <w:tabs>
          <w:tab w:leader="none" w:pos="11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a change in the par value (or lack of par value) of the Class A Common Stock; or</w:t>
      </w:r>
    </w:p>
    <w:p>
      <w:pPr>
        <w:spacing w:after="0" w:line="109" w:lineRule="exact"/>
        <w:rPr>
          <w:rFonts w:ascii="Times New Roman" w:cs="Times New Roman" w:eastAsia="Times New Roman" w:hAnsi="Times New Roman"/>
          <w:sz w:val="18"/>
          <w:szCs w:val="18"/>
          <w:color w:val="auto"/>
        </w:rPr>
      </w:pPr>
    </w:p>
    <w:p>
      <w:pPr>
        <w:ind w:left="1240" w:hanging="399"/>
        <w:spacing w:after="0"/>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accrued and unpaid interest, if any.</w:t>
      </w:r>
    </w:p>
    <w:p>
      <w:pPr>
        <w:spacing w:after="0" w:line="215" w:lineRule="exact"/>
        <w:rPr>
          <w:rFonts w:ascii="Times New Roman" w:cs="Times New Roman" w:eastAsia="Times New Roman" w:hAnsi="Times New Roman"/>
          <w:sz w:val="18"/>
          <w:szCs w:val="18"/>
          <w:color w:val="auto"/>
        </w:rPr>
      </w:pPr>
    </w:p>
    <w:p>
      <w:pPr>
        <w:ind w:right="580" w:firstLine="427"/>
        <w:spacing w:after="0" w:line="270" w:lineRule="auto"/>
        <w:tabs>
          <w:tab w:leader="none" w:pos="6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other determinations under this Article 14 shall be made by the Company and shall be made to the nearest one-ten thousandth (1/10,000th) of a share.</w:t>
      </w:r>
    </w:p>
    <w:p>
      <w:pPr>
        <w:spacing w:after="0" w:line="168" w:lineRule="exact"/>
        <w:rPr>
          <w:rFonts w:ascii="Times New Roman" w:cs="Times New Roman" w:eastAsia="Times New Roman" w:hAnsi="Times New Roman"/>
          <w:sz w:val="18"/>
          <w:szCs w:val="18"/>
          <w:color w:val="auto"/>
        </w:rPr>
      </w:pPr>
    </w:p>
    <w:p>
      <w:pPr>
        <w:ind w:right="100" w:firstLine="427"/>
        <w:spacing w:after="0" w:line="249" w:lineRule="auto"/>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March 15, 2030, (v) on any date on which the Company delivers a Notice of Redemption and (vi) on the effective date of any Fundamental Change and/or Make-Whole Fundamental Change, in each case, unless the adjustment has already been made.</w:t>
      </w:r>
    </w:p>
    <w:p>
      <w:pPr>
        <w:spacing w:after="0" w:line="186" w:lineRule="exact"/>
        <w:rPr>
          <w:rFonts w:ascii="Times New Roman" w:cs="Times New Roman" w:eastAsia="Times New Roman" w:hAnsi="Times New Roman"/>
          <w:sz w:val="18"/>
          <w:szCs w:val="18"/>
          <w:color w:val="auto"/>
        </w:rPr>
      </w:pPr>
    </w:p>
    <w:p>
      <w:pPr>
        <w:ind w:firstLine="427"/>
        <w:spacing w:after="0" w:line="266" w:lineRule="auto"/>
        <w:tabs>
          <w:tab w:leader="none" w:pos="64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73" w:lineRule="exact"/>
        <w:rPr>
          <w:rFonts w:ascii="Times New Roman" w:cs="Times New Roman" w:eastAsia="Times New Roman" w:hAnsi="Times New Roman"/>
          <w:sz w:val="17"/>
          <w:szCs w:val="17"/>
          <w:color w:val="auto"/>
        </w:rPr>
      </w:pPr>
    </w:p>
    <w:p>
      <w:pPr>
        <w:ind w:left="720" w:hanging="293"/>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14.04, the number of shares of Class A Common Stock at any time outstanding shall not include shares of</w:t>
      </w:r>
    </w:p>
    <w:p>
      <w:pPr>
        <w:spacing w:after="0" w:line="22"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Class A Common Stock held in the treasury of the Company so long as the Company does not pay any dividend or make any distribution on shares of Class A Common Stock held in the treasury of the Company, but shall include shares of Class A Common Stock issuable in respect of scrip certificates issued in lieu of fractions of shares of Class A Common Stock.</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700"/>
          </w:cols>
          <w:pgMar w:left="560" w:top="266" w:right="639" w:bottom="1440" w:gutter="0" w:footer="0" w:header="0"/>
        </w:sectPr>
      </w:pPr>
    </w:p>
    <w:bookmarkStart w:id="94" w:name="page95"/>
    <w:bookmarkEnd w:id="94"/>
    <w:p>
      <w:pPr>
        <w:ind w:right="20" w:firstLine="43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14.05</w:t>
      </w:r>
      <w:r>
        <w:rPr>
          <w:rFonts w:ascii="Times New Roman" w:cs="Times New Roman" w:eastAsia="Times New Roman" w:hAnsi="Times New Roman"/>
          <w:sz w:val="17"/>
          <w:szCs w:val="17"/>
          <w:i w:val="1"/>
          <w:iCs w:val="1"/>
          <w:color w:val="auto"/>
        </w:rPr>
        <w:t>. Adjustments of Prices.</w:t>
      </w:r>
      <w:r>
        <w:rPr>
          <w:rFonts w:ascii="Times New Roman" w:cs="Times New Roman" w:eastAsia="Times New Roman" w:hAnsi="Times New Roman"/>
          <w:sz w:val="17"/>
          <w:szCs w:val="17"/>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74" w:lineRule="exact"/>
        <w:rPr>
          <w:sz w:val="20"/>
          <w:szCs w:val="20"/>
          <w:color w:val="auto"/>
        </w:rPr>
      </w:pPr>
    </w:p>
    <w:p>
      <w:pPr>
        <w:ind w:right="60" w:firstLine="431"/>
        <w:spacing w:after="0" w:line="254" w:lineRule="auto"/>
        <w:rPr>
          <w:sz w:val="20"/>
          <w:szCs w:val="20"/>
          <w:color w:val="auto"/>
        </w:rPr>
      </w:pPr>
      <w:r>
        <w:rPr>
          <w:rFonts w:ascii="Times New Roman" w:cs="Times New Roman" w:eastAsia="Times New Roman" w:hAnsi="Times New Roman"/>
          <w:sz w:val="18"/>
          <w:szCs w:val="18"/>
          <w:color w:val="auto"/>
        </w:rPr>
        <w:t>Section 14.06</w:t>
      </w:r>
      <w:r>
        <w:rPr>
          <w:rFonts w:ascii="Times New Roman" w:cs="Times New Roman" w:eastAsia="Times New Roman" w:hAnsi="Times New Roman"/>
          <w:sz w:val="18"/>
          <w:szCs w:val="18"/>
          <w:i w:val="1"/>
          <w:iCs w:val="1"/>
          <w:color w:val="auto"/>
        </w:rPr>
        <w:t>. Shares to Be Fully Paid.</w:t>
      </w:r>
      <w:r>
        <w:rPr>
          <w:rFonts w:ascii="Times New Roman" w:cs="Times New Roman" w:eastAsia="Times New Roman" w:hAnsi="Times New Roman"/>
          <w:sz w:val="18"/>
          <w:szCs w:val="18"/>
          <w:color w:val="auto"/>
        </w:rPr>
        <w:t xml:space="preserve"> The Company shall at all times reserve, free from preemptive rights, out of its authorized but unissued shares or shares held in treasury, a number of shares of Class A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14.07</w:t>
      </w:r>
      <w:r>
        <w:rPr>
          <w:rFonts w:ascii="Times New Roman" w:cs="Times New Roman" w:eastAsia="Times New Roman" w:hAnsi="Times New Roman"/>
          <w:sz w:val="18"/>
          <w:szCs w:val="18"/>
          <w:i w:val="1"/>
          <w:iCs w:val="1"/>
          <w:color w:val="auto"/>
        </w:rPr>
        <w:t>. Effect of Recapitalizations, Reclassifications and Changes of the Class A Common Stock.</w:t>
      </w:r>
    </w:p>
    <w:p>
      <w:pPr>
        <w:spacing w:after="0" w:line="218" w:lineRule="exact"/>
        <w:rPr>
          <w:sz w:val="20"/>
          <w:szCs w:val="20"/>
          <w:color w:val="auto"/>
        </w:rPr>
      </w:pPr>
    </w:p>
    <w:p>
      <w:pPr>
        <w:ind w:left="660" w:hanging="233"/>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w:t>
      </w:r>
    </w:p>
    <w:p>
      <w:pPr>
        <w:spacing w:after="0" w:line="109" w:lineRule="exact"/>
        <w:rPr>
          <w:rFonts w:ascii="Times New Roman" w:cs="Times New Roman" w:eastAsia="Times New Roman" w:hAnsi="Times New Roman"/>
          <w:sz w:val="18"/>
          <w:szCs w:val="18"/>
          <w:color w:val="auto"/>
        </w:rPr>
      </w:pPr>
    </w:p>
    <w:p>
      <w:pPr>
        <w:ind w:left="420" w:right="120" w:firstLine="421"/>
        <w:spacing w:after="0" w:line="270" w:lineRule="auto"/>
        <w:tabs>
          <w:tab w:leader="none" w:pos="104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recapitalization, reclassification or change of the Class A Common Stock (other than a change to par value, or from par value to no par value, or changes resulting from a subdivision or combination),</w:t>
      </w:r>
    </w:p>
    <w:p>
      <w:pPr>
        <w:spacing w:after="0" w:line="62"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merger, combination or similar transaction involving the Company,</w:t>
      </w:r>
    </w:p>
    <w:p>
      <w:pPr>
        <w:spacing w:after="0" w:line="109" w:lineRule="exact"/>
        <w:rPr>
          <w:rFonts w:ascii="Times New Roman" w:cs="Times New Roman" w:eastAsia="Times New Roman" w:hAnsi="Times New Roman"/>
          <w:sz w:val="18"/>
          <w:szCs w:val="18"/>
          <w:color w:val="auto"/>
        </w:rPr>
      </w:pPr>
    </w:p>
    <w:p>
      <w:pPr>
        <w:ind w:left="420" w:firstLine="421"/>
        <w:spacing w:after="0" w:line="270" w:lineRule="auto"/>
        <w:tabs>
          <w:tab w:leader="none" w:pos="114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or other transfer to a third party of the consolidated assets of the Company and the Company’s Subsidiaries substantially as an entirety or</w:t>
      </w:r>
    </w:p>
    <w:p>
      <w:pPr>
        <w:spacing w:after="0" w:line="62"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share exchange,</w:t>
      </w:r>
    </w:p>
    <w:p>
      <w:pPr>
        <w:spacing w:after="0" w:line="21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each case, as a result of which the Class A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18"/>
          <w:szCs w:val="18"/>
          <w:b w:val="1"/>
          <w:bCs w:val="1"/>
          <w:color w:val="auto"/>
        </w:rPr>
        <w:t>Share Exchange Event</w:t>
      </w:r>
      <w:r>
        <w:rPr>
          <w:rFonts w:ascii="Times New Roman" w:cs="Times New Roman" w:eastAsia="Times New Roman" w:hAnsi="Times New Roman"/>
          <w:sz w:val="18"/>
          <w:szCs w:val="18"/>
          <w:color w:val="auto"/>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Class A Common Stock equal to the Conversion Rate immediately prior to such Share Exchange Event would have owned or been entitled to receive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with each “</w:t>
      </w:r>
      <w:r>
        <w:rPr>
          <w:rFonts w:ascii="Times New Roman" w:cs="Times New Roman" w:eastAsia="Times New Roman" w:hAnsi="Times New Roman"/>
          <w:sz w:val="18"/>
          <w:szCs w:val="18"/>
          <w:b w:val="1"/>
          <w:bCs w:val="1"/>
          <w:color w:val="auto"/>
        </w:rPr>
        <w:t>unit of Reference Property</w:t>
      </w:r>
      <w:r>
        <w:rPr>
          <w:rFonts w:ascii="Times New Roman" w:cs="Times New Roman" w:eastAsia="Times New Roman" w:hAnsi="Times New Roman"/>
          <w:sz w:val="18"/>
          <w:szCs w:val="18"/>
          <w:color w:val="auto"/>
        </w:rPr>
        <w:t>” meaning the kind and amount of Reference Property that a holder of one share of Class A</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680"/>
          </w:cols>
          <w:pgMar w:left="560" w:top="264" w:right="659" w:bottom="1440" w:gutter="0" w:footer="0" w:header="0"/>
        </w:sectPr>
      </w:pPr>
    </w:p>
    <w:bookmarkStart w:id="95" w:name="page96"/>
    <w:bookmarkEnd w:id="95"/>
    <w:p>
      <w:pPr>
        <w:ind w:left="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Class A Common Stock that the Company would have been required to deliver upon conversion of the Notes in accordance with Section 14.02 shall instead be deliverable in the amount and type of Reference Property that a holder of that number of shares of Class A Common Stock would have received in such Share Exchange Event and (III) the Daily VWAP shall be calculated based on the value of a unit of Reference Property that a holder of one share of Class A Common Stock would have received in such Share Exchange Event.</w:t>
      </w:r>
    </w:p>
    <w:p>
      <w:pPr>
        <w:spacing w:after="0" w:line="194" w:lineRule="exact"/>
        <w:rPr>
          <w:sz w:val="20"/>
          <w:szCs w:val="20"/>
          <w:color w:val="auto"/>
        </w:rPr>
      </w:pPr>
    </w:p>
    <w:p>
      <w:pPr>
        <w:ind w:left="3" w:firstLine="431"/>
        <w:spacing w:after="0" w:line="264" w:lineRule="auto"/>
        <w:rPr>
          <w:sz w:val="20"/>
          <w:szCs w:val="20"/>
          <w:color w:val="auto"/>
        </w:rPr>
      </w:pPr>
      <w:r>
        <w:rPr>
          <w:rFonts w:ascii="Times New Roman" w:cs="Times New Roman" w:eastAsia="Times New Roman" w:hAnsi="Times New Roman"/>
          <w:sz w:val="17"/>
          <w:szCs w:val="17"/>
          <w:color w:val="auto"/>
        </w:rPr>
        <w:t>If the Share Exchange Event causes the Class A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Class A Common Stock, and (ii) the unit of Reference Property for purposes of the immediately preceding paragraph shall refer to the consideration referred to in clause</w:t>
      </w:r>
    </w:p>
    <w:p>
      <w:pPr>
        <w:spacing w:after="0" w:line="3" w:lineRule="exact"/>
        <w:rPr>
          <w:sz w:val="20"/>
          <w:szCs w:val="20"/>
          <w:color w:val="auto"/>
        </w:rPr>
      </w:pPr>
    </w:p>
    <w:p>
      <w:pPr>
        <w:ind w:left="3" w:right="20" w:hanging="3"/>
        <w:spacing w:after="0" w:line="245" w:lineRule="auto"/>
        <w:tabs>
          <w:tab w:leader="none" w:pos="21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attributable to one share of Class A Common Stock. If the holders of the Class A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price paid per share of Class A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w:t>
      </w:r>
    </w:p>
    <w:p>
      <w:pPr>
        <w:spacing w:after="0" w:line="193" w:lineRule="exact"/>
        <w:rPr>
          <w:sz w:val="20"/>
          <w:szCs w:val="20"/>
          <w:color w:val="auto"/>
        </w:rPr>
      </w:pPr>
    </w:p>
    <w:p>
      <w:pPr>
        <w:ind w:left="3" w:right="20" w:firstLine="431"/>
        <w:spacing w:after="0" w:line="248" w:lineRule="auto"/>
        <w:rPr>
          <w:sz w:val="20"/>
          <w:szCs w:val="20"/>
          <w:color w:val="auto"/>
        </w:rPr>
      </w:pPr>
      <w:r>
        <w:rPr>
          <w:rFonts w:ascii="Times New Roman" w:cs="Times New Roman" w:eastAsia="Times New Roman" w:hAnsi="Times New Roman"/>
          <w:sz w:val="18"/>
          <w:szCs w:val="18"/>
          <w:color w:val="auto"/>
        </w:rPr>
        <w:t>If the Reference Property in respect of any such Share Exchange Event includes, in whole or in part, shares of Common Equity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763"/>
          </w:cols>
          <w:pgMar w:left="557" w:top="266" w:right="579" w:bottom="1440" w:gutter="0" w:footer="0" w:header="0"/>
        </w:sectPr>
      </w:pPr>
    </w:p>
    <w:bookmarkStart w:id="96" w:name="page97"/>
    <w:bookmarkEnd w:id="96"/>
    <w:p>
      <w:pPr>
        <w:ind w:right="100" w:firstLine="427"/>
        <w:spacing w:after="0" w:line="250"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85" w:lineRule="exact"/>
        <w:rPr>
          <w:rFonts w:ascii="Times New Roman" w:cs="Times New Roman" w:eastAsia="Times New Roman" w:hAnsi="Times New Roman"/>
          <w:sz w:val="18"/>
          <w:szCs w:val="18"/>
          <w:color w:val="auto"/>
        </w:rPr>
      </w:pPr>
    </w:p>
    <w:p>
      <w:pPr>
        <w:ind w:right="20" w:firstLine="427"/>
        <w:spacing w:after="0" w:line="253" w:lineRule="auto"/>
        <w:tabs>
          <w:tab w:leader="none" w:pos="6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become a party to any Share Exchange Event unless its terms are consistent with this Section 14.07. None of the foregoing provisions shall affect the right of a Holder of Notes to convert its Notes into cash, shares of Class A Common Stock or a combination of cash and shares of Class A Common Stock, as applicable, as set forth in Section 14.01 and Section 14.02 prior to the effective date of such Share Exchange Event.</w:t>
      </w:r>
    </w:p>
    <w:p>
      <w:pPr>
        <w:spacing w:after="0" w:line="183"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provisions of this Section shall similarly apply to successive Share Exchange Events.</w:t>
      </w:r>
    </w:p>
    <w:p>
      <w:pPr>
        <w:spacing w:after="0" w:line="214" w:lineRule="exact"/>
        <w:rPr>
          <w:sz w:val="20"/>
          <w:szCs w:val="20"/>
          <w:color w:val="auto"/>
        </w:rPr>
      </w:pPr>
    </w:p>
    <w:p>
      <w:pPr>
        <w:ind w:right="60" w:firstLine="431"/>
        <w:spacing w:after="0" w:line="272" w:lineRule="auto"/>
        <w:rPr>
          <w:sz w:val="20"/>
          <w:szCs w:val="20"/>
          <w:color w:val="auto"/>
        </w:rPr>
      </w:pPr>
      <w:r>
        <w:rPr>
          <w:rFonts w:ascii="Times New Roman" w:cs="Times New Roman" w:eastAsia="Times New Roman" w:hAnsi="Times New Roman"/>
          <w:sz w:val="18"/>
          <w:szCs w:val="18"/>
          <w:color w:val="auto"/>
        </w:rPr>
        <w:t>Section 14.08</w:t>
      </w:r>
      <w:r>
        <w:rPr>
          <w:rFonts w:ascii="Times New Roman" w:cs="Times New Roman" w:eastAsia="Times New Roman" w:hAnsi="Times New Roman"/>
          <w:sz w:val="18"/>
          <w:szCs w:val="18"/>
          <w:i w:val="1"/>
          <w:iCs w:val="1"/>
          <w:color w:val="auto"/>
        </w:rPr>
        <w:t>. Certain Covenants.</w:t>
      </w:r>
      <w:r>
        <w:rPr>
          <w:rFonts w:ascii="Times New Roman" w:cs="Times New Roman" w:eastAsia="Times New Roman" w:hAnsi="Times New Roman"/>
          <w:sz w:val="18"/>
          <w:szCs w:val="18"/>
          <w:color w:val="auto"/>
        </w:rPr>
        <w:t xml:space="preserve"> (a) The Company covenants that all shares of Class A Common Stock issued upon conversion of Notes will be fully paid and non-assessable by the Company and free from all taxes, liens and charges with respect to the issue thereof.</w:t>
      </w:r>
    </w:p>
    <w:p>
      <w:pPr>
        <w:spacing w:after="0" w:line="167" w:lineRule="exact"/>
        <w:rPr>
          <w:sz w:val="20"/>
          <w:szCs w:val="20"/>
          <w:color w:val="auto"/>
        </w:rPr>
      </w:pPr>
    </w:p>
    <w:p>
      <w:pPr>
        <w:ind w:firstLine="427"/>
        <w:spacing w:after="0" w:line="253"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if any shares of Class A Common Stock to be provided for the purpose of conversion of Notes hereunder require registration with or approval of any governmental authority under any federal or state law before such shares of Class A Common Stock may be validly issued upon conversion, the Company will, to the extent then permitted by the rules and interpretations of the Commission, secure such registration or approval, as the case may be.</w:t>
      </w:r>
    </w:p>
    <w:p>
      <w:pPr>
        <w:spacing w:after="0" w:line="183" w:lineRule="exact"/>
        <w:rPr>
          <w:rFonts w:ascii="Times New Roman" w:cs="Times New Roman" w:eastAsia="Times New Roman" w:hAnsi="Times New Roman"/>
          <w:sz w:val="18"/>
          <w:szCs w:val="18"/>
          <w:color w:val="auto"/>
        </w:rPr>
      </w:pPr>
    </w:p>
    <w:p>
      <w:pPr>
        <w:ind w:firstLine="427"/>
        <w:spacing w:after="0" w:line="257" w:lineRule="auto"/>
        <w:tabs>
          <w:tab w:leader="none" w:pos="6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further covenants that if at any time the Class A Common Stock shall be listed on any national securities exchange or automated quotation system the Company will list and keep listed, so long as the Class A Common Stock shall be so listed on such exchange or automated quotation system, any Class A Common Stock issuable upon conversion of the Notes.</w:t>
      </w:r>
    </w:p>
    <w:p>
      <w:pPr>
        <w:spacing w:after="0" w:line="178" w:lineRule="exact"/>
        <w:rPr>
          <w:sz w:val="20"/>
          <w:szCs w:val="20"/>
          <w:color w:val="auto"/>
        </w:rPr>
      </w:pPr>
    </w:p>
    <w:p>
      <w:pPr>
        <w:ind w:right="40" w:firstLine="431"/>
        <w:spacing w:after="0" w:line="254" w:lineRule="auto"/>
        <w:rPr>
          <w:sz w:val="20"/>
          <w:szCs w:val="20"/>
          <w:color w:val="auto"/>
        </w:rPr>
      </w:pPr>
      <w:r>
        <w:rPr>
          <w:rFonts w:ascii="Times New Roman" w:cs="Times New Roman" w:eastAsia="Times New Roman" w:hAnsi="Times New Roman"/>
          <w:sz w:val="18"/>
          <w:szCs w:val="18"/>
          <w:color w:val="auto"/>
        </w:rPr>
        <w:t>Section 14.09</w:t>
      </w:r>
      <w:r>
        <w:rPr>
          <w:rFonts w:ascii="Times New Roman" w:cs="Times New Roman" w:eastAsia="Times New Roman" w:hAnsi="Times New Roman"/>
          <w:sz w:val="18"/>
          <w:szCs w:val="18"/>
          <w:i w:val="1"/>
          <w:iCs w:val="1"/>
          <w:color w:val="auto"/>
        </w:rPr>
        <w:t>. Responsibility of Trustee.</w:t>
      </w:r>
      <w:r>
        <w:rPr>
          <w:rFonts w:ascii="Times New Roman" w:cs="Times New Roman" w:eastAsia="Times New Roman" w:hAnsi="Times New Roman"/>
          <w:sz w:val="18"/>
          <w:szCs w:val="18"/>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740"/>
          </w:cols>
          <w:pgMar w:left="560" w:top="266" w:right="599" w:bottom="1440" w:gutter="0" w:footer="0" w:header="0"/>
        </w:sectPr>
      </w:pPr>
    </w:p>
    <w:bookmarkStart w:id="97" w:name="page98"/>
    <w:bookmarkEnd w:id="97"/>
    <w:p>
      <w:pPr>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same. The Trustee and any other Conversion Agent shall not be accountable with respect to the validity or value (or the kind or amount) of any shares of Class A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Class A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14.10</w:t>
      </w:r>
      <w:r>
        <w:rPr>
          <w:rFonts w:ascii="Times New Roman" w:cs="Times New Roman" w:eastAsia="Times New Roman" w:hAnsi="Times New Roman"/>
          <w:sz w:val="18"/>
          <w:szCs w:val="18"/>
          <w:i w:val="1"/>
          <w:iCs w:val="1"/>
          <w:color w:val="auto"/>
        </w:rPr>
        <w:t>. [Intentionally Omitted].</w:t>
      </w:r>
    </w:p>
    <w:p>
      <w:pPr>
        <w:spacing w:after="0" w:line="216" w:lineRule="exact"/>
        <w:rPr>
          <w:sz w:val="20"/>
          <w:szCs w:val="20"/>
          <w:color w:val="auto"/>
        </w:rPr>
      </w:pPr>
    </w:p>
    <w:p>
      <w:pPr>
        <w:ind w:right="200" w:firstLine="431"/>
        <w:spacing w:after="0" w:line="266" w:lineRule="auto"/>
        <w:rPr>
          <w:sz w:val="20"/>
          <w:szCs w:val="20"/>
          <w:color w:val="auto"/>
        </w:rPr>
      </w:pPr>
      <w:r>
        <w:rPr>
          <w:rFonts w:ascii="Times New Roman" w:cs="Times New Roman" w:eastAsia="Times New Roman" w:hAnsi="Times New Roman"/>
          <w:sz w:val="17"/>
          <w:szCs w:val="17"/>
          <w:color w:val="auto"/>
        </w:rPr>
        <w:t>Section 14.11</w:t>
      </w:r>
      <w:r>
        <w:rPr>
          <w:rFonts w:ascii="Times New Roman" w:cs="Times New Roman" w:eastAsia="Times New Roman" w:hAnsi="Times New Roman"/>
          <w:sz w:val="17"/>
          <w:szCs w:val="17"/>
          <w:i w:val="1"/>
          <w:iCs w:val="1"/>
          <w:color w:val="auto"/>
        </w:rPr>
        <w:t>. Stockholder Rights Plans.</w:t>
      </w:r>
      <w:r>
        <w:rPr>
          <w:rFonts w:ascii="Times New Roman" w:cs="Times New Roman" w:eastAsia="Times New Roman" w:hAnsi="Times New Roman"/>
          <w:sz w:val="17"/>
          <w:szCs w:val="17"/>
          <w:color w:val="auto"/>
        </w:rPr>
        <w:t xml:space="preserve"> If the Company has a stockholder rights plan in effect upon conversion of the Notes, each share of Class A Common Stock, if any, issued upon such conversion shall be entitled to receive the appropriate number of rights, if any, and the certificates representing the Class A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Class A Common Stock in accordance with the provisions of the applicable stockholder rights plan, the Conversion Rate shall be adjusted at the time of separation as if the Company distributed to all or substantially all holders of the Class A Common Stock, Distributed Property as provided in Section 14.04(c), subject to readjustment in the event of the expiration, termination or redemption of such rights.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740"/>
          </w:cols>
          <w:pgMar w:left="560" w:top="266" w:right="59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14.12</w:t>
      </w:r>
      <w:r>
        <w:rPr>
          <w:rFonts w:ascii="Times New Roman" w:cs="Times New Roman" w:eastAsia="Times New Roman" w:hAnsi="Times New Roman"/>
          <w:sz w:val="18"/>
          <w:szCs w:val="18"/>
          <w:i w:val="1"/>
          <w:iCs w:val="1"/>
          <w:color w:val="auto"/>
        </w:rPr>
        <w:t>. Exchange in Lieu of Conversion.</w:t>
      </w:r>
    </w:p>
    <w:p>
      <w:pPr>
        <w:spacing w:after="0" w:line="216" w:lineRule="exact"/>
        <w:rPr>
          <w:sz w:val="20"/>
          <w:szCs w:val="20"/>
          <w:color w:val="auto"/>
        </w:rPr>
      </w:pPr>
    </w:p>
    <w:p>
      <w:pPr>
        <w:ind w:left="-20" w:firstLine="427"/>
        <w:spacing w:after="0" w:line="264" w:lineRule="auto"/>
        <w:tabs>
          <w:tab w:leader="none" w:pos="65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Holder surrenders its Notes for conversion, the Company may, at its election (an “</w:t>
      </w:r>
      <w:r>
        <w:rPr>
          <w:rFonts w:ascii="Times New Roman" w:cs="Times New Roman" w:eastAsia="Times New Roman" w:hAnsi="Times New Roman"/>
          <w:sz w:val="17"/>
          <w:szCs w:val="17"/>
          <w:b w:val="1"/>
          <w:bCs w:val="1"/>
          <w:color w:val="auto"/>
        </w:rPr>
        <w:t>Exchange Election</w:t>
      </w:r>
      <w:r>
        <w:rPr>
          <w:rFonts w:ascii="Times New Roman" w:cs="Times New Roman" w:eastAsia="Times New Roman" w:hAnsi="Times New Roman"/>
          <w:sz w:val="17"/>
          <w:szCs w:val="17"/>
          <w:color w:val="auto"/>
        </w:rPr>
        <w:t>”), direct the Conversion Agent to deliver, on or prior to the Trading Day immediately following the Conversion Date, such Notes to one or more financial institutions designated by the Company (each, a “</w:t>
      </w:r>
      <w:r>
        <w:rPr>
          <w:rFonts w:ascii="Times New Roman" w:cs="Times New Roman" w:eastAsia="Times New Roman" w:hAnsi="Times New Roman"/>
          <w:sz w:val="17"/>
          <w:szCs w:val="17"/>
          <w:b w:val="1"/>
          <w:bCs w:val="1"/>
          <w:color w:val="auto"/>
        </w:rPr>
        <w:t>Designated Financial Institution</w:t>
      </w:r>
      <w:r>
        <w:rPr>
          <w:rFonts w:ascii="Times New Roman" w:cs="Times New Roman" w:eastAsia="Times New Roman" w:hAnsi="Times New Roman"/>
          <w:sz w:val="17"/>
          <w:szCs w:val="17"/>
          <w:color w:val="auto"/>
        </w:rPr>
        <w:t>”) for exchange in lieu of conversion. In order to accept any Notes surrendered for conversion, the Designated Financial Institution(s) must agree to timely pay and/or deliver, as the case may be, in exchange for such Notes, the cash, shares of Class A Common Stock or combination thereof that would otherwise be due upon conversion pursuant to Section 14.02 or such other amount agreed to by the Holder and the Designated Financial Institution(s) (the “</w:t>
      </w:r>
      <w:r>
        <w:rPr>
          <w:rFonts w:ascii="Times New Roman" w:cs="Times New Roman" w:eastAsia="Times New Roman" w:hAnsi="Times New Roman"/>
          <w:sz w:val="17"/>
          <w:szCs w:val="17"/>
          <w:b w:val="1"/>
          <w:bCs w:val="1"/>
          <w:color w:val="auto"/>
        </w:rPr>
        <w:t>Conversion Consideration</w:t>
      </w:r>
      <w:r>
        <w:rPr>
          <w:rFonts w:ascii="Times New Roman" w:cs="Times New Roman" w:eastAsia="Times New Roman" w:hAnsi="Times New Roman"/>
          <w:sz w:val="17"/>
          <w:szCs w:val="17"/>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consideration constituting the Conversion Obligation under this Indenture to be paid and/or delivered, as the case may be.</w:t>
      </w:r>
    </w:p>
    <w:p>
      <w:pPr>
        <w:spacing w:after="0" w:line="175" w:lineRule="exact"/>
        <w:rPr>
          <w:rFonts w:ascii="Times New Roman" w:cs="Times New Roman" w:eastAsia="Times New Roman" w:hAnsi="Times New Roman"/>
          <w:sz w:val="17"/>
          <w:szCs w:val="17"/>
          <w:color w:val="auto"/>
        </w:rPr>
      </w:pPr>
    </w:p>
    <w:p>
      <w:pPr>
        <w:ind w:left="-20" w:firstLine="427"/>
        <w:spacing w:after="0" w:line="251"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spacing w:after="0" w:line="185" w:lineRule="exact"/>
        <w:rPr>
          <w:rFonts w:ascii="Times New Roman" w:cs="Times New Roman" w:eastAsia="Times New Roman" w:hAnsi="Times New Roman"/>
          <w:sz w:val="18"/>
          <w:szCs w:val="18"/>
          <w:color w:val="auto"/>
        </w:rPr>
      </w:pPr>
    </w:p>
    <w:p>
      <w:pPr>
        <w:ind w:left="-20" w:right="320" w:firstLine="427"/>
        <w:spacing w:after="0" w:line="270" w:lineRule="auto"/>
        <w:tabs>
          <w:tab w:leader="none" w:pos="6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designation of any Designated Financial Institution(s) to which the Notes may be submitted for exchange does not require such Designated Financial Institution(s) to accept any Notes.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EPURCHASE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 AT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PTION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OLDERS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Section 15.01</w:t>
      </w:r>
      <w:r>
        <w:rPr>
          <w:rFonts w:ascii="Times New Roman" w:cs="Times New Roman" w:eastAsia="Times New Roman" w:hAnsi="Times New Roman"/>
          <w:sz w:val="18"/>
          <w:szCs w:val="18"/>
          <w:i w:val="1"/>
          <w:iCs w:val="1"/>
          <w:color w:val="auto"/>
        </w:rPr>
        <w:t>. [Intentionally Omitted].</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Section 15.02</w:t>
      </w:r>
      <w:r>
        <w:rPr>
          <w:rFonts w:ascii="Times New Roman" w:cs="Times New Roman" w:eastAsia="Times New Roman" w:hAnsi="Times New Roman"/>
          <w:sz w:val="18"/>
          <w:szCs w:val="18"/>
          <w:i w:val="1"/>
          <w:iCs w:val="1"/>
          <w:color w:val="auto"/>
        </w:rPr>
        <w:t>. Repurchase at Option of Holders Upon a Fundamental Change.</w:t>
      </w:r>
    </w:p>
    <w:p>
      <w:pPr>
        <w:spacing w:after="0" w:line="218" w:lineRule="exact"/>
        <w:rPr>
          <w:sz w:val="20"/>
          <w:szCs w:val="20"/>
          <w:color w:val="auto"/>
        </w:rPr>
      </w:pPr>
    </w:p>
    <w:p>
      <w:pPr>
        <w:ind w:left="-20" w:firstLine="427"/>
        <w:spacing w:after="0" w:line="249" w:lineRule="auto"/>
        <w:tabs>
          <w:tab w:leader="none" w:pos="6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cs="Times New Roman" w:eastAsia="Times New Roman" w:hAnsi="Times New Roman"/>
          <w:sz w:val="18"/>
          <w:szCs w:val="18"/>
          <w:b w:val="1"/>
          <w:bCs w:val="1"/>
          <w:color w:val="auto"/>
        </w:rPr>
        <w:t>Fundamental Change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specified by the Company that is not less than 20 Business Days or more than 35 Business Days following the date of the Fundamental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Notice at a repurchase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thereon to, but excluding, the Fundamental Change Repurchase Date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(unless the Fundamental Change Repurchase Date falls after a Regular Record Date but on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20"/>
          </w:cols>
          <w:pgMar w:left="580" w:top="264" w:right="599" w:bottom="1440" w:gutter="0" w:footer="0" w:header="0"/>
        </w:sectPr>
      </w:pPr>
    </w:p>
    <w:bookmarkStart w:id="99" w:name="page100"/>
    <w:bookmarkEnd w:id="99"/>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w:t>
      </w:r>
    </w:p>
    <w:p>
      <w:pPr>
        <w:spacing w:after="0" w:line="184" w:lineRule="exact"/>
        <w:rPr>
          <w:sz w:val="20"/>
          <w:szCs w:val="20"/>
          <w:color w:val="auto"/>
        </w:rPr>
      </w:pPr>
    </w:p>
    <w:p>
      <w:pPr>
        <w:ind w:left="680" w:hanging="253"/>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 under this Section 15.02 shall be made, at the option of the Holder thereof, upon:</w:t>
      </w:r>
    </w:p>
    <w:p>
      <w:pPr>
        <w:spacing w:after="0" w:line="107" w:lineRule="exact"/>
        <w:rPr>
          <w:rFonts w:ascii="Times New Roman" w:cs="Times New Roman" w:eastAsia="Times New Roman" w:hAnsi="Times New Roman"/>
          <w:sz w:val="18"/>
          <w:szCs w:val="18"/>
          <w:color w:val="auto"/>
        </w:rPr>
      </w:pPr>
    </w:p>
    <w:p>
      <w:pPr>
        <w:ind w:left="420" w:right="20" w:firstLine="421"/>
        <w:spacing w:after="0" w:line="254" w:lineRule="auto"/>
        <w:tabs>
          <w:tab w:leader="none" w:pos="10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Paying Agent by a Holder of a duly completed notice (the “</w:t>
      </w:r>
      <w:r>
        <w:rPr>
          <w:rFonts w:ascii="Times New Roman" w:cs="Times New Roman" w:eastAsia="Times New Roman" w:hAnsi="Times New Roman"/>
          <w:sz w:val="18"/>
          <w:szCs w:val="18"/>
          <w:b w:val="1"/>
          <w:bCs w:val="1"/>
          <w:color w:val="auto"/>
        </w:rPr>
        <w:t>Fundamental Change Repurchase Notice</w:t>
      </w:r>
      <w:r>
        <w:rPr>
          <w:rFonts w:ascii="Times New Roman" w:cs="Times New Roman" w:eastAsia="Times New Roman" w:hAnsi="Times New Roman"/>
          <w:sz w:val="18"/>
          <w:szCs w:val="18"/>
          <w:color w:val="auto"/>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spacing w:after="0" w:line="76" w:lineRule="exact"/>
        <w:rPr>
          <w:rFonts w:ascii="Times New Roman" w:cs="Times New Roman" w:eastAsia="Times New Roman" w:hAnsi="Times New Roman"/>
          <w:sz w:val="18"/>
          <w:szCs w:val="18"/>
          <w:color w:val="auto"/>
        </w:rPr>
      </w:pPr>
    </w:p>
    <w:p>
      <w:pPr>
        <w:ind w:left="420" w:firstLine="421"/>
        <w:spacing w:after="0" w:line="253" w:lineRule="auto"/>
        <w:tabs>
          <w:tab w:leader="none" w:pos="109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Fundamental Change Repurchase Notice in respect of any Physical Notes to be repurchased shall state:</w:t>
      </w:r>
    </w:p>
    <w:p>
      <w:pPr>
        <w:spacing w:after="0" w:line="110" w:lineRule="exact"/>
        <w:rPr>
          <w:sz w:val="20"/>
          <w:szCs w:val="20"/>
          <w:color w:val="auto"/>
        </w:rPr>
      </w:pPr>
    </w:p>
    <w:p>
      <w:pPr>
        <w:ind w:left="1060" w:hanging="219"/>
        <w:spacing w:after="0"/>
        <w:tabs>
          <w:tab w:leader="none" w:pos="10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numbers of the Notes to be delivered for repurchase;</w:t>
      </w:r>
    </w:p>
    <w:p>
      <w:pPr>
        <w:spacing w:after="0" w:line="10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to be repurchased, which must be $1,000 or an integral multiple thereof; and</w:t>
      </w:r>
    </w:p>
    <w:p>
      <w:pPr>
        <w:spacing w:after="0" w:line="109"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are to be repurchased by the Company pursuant to the applicable provisions of the Notes and this Indenture.</w:t>
      </w:r>
    </w:p>
    <w:p>
      <w:pPr>
        <w:spacing w:after="0" w:line="21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If the Notes are Global Notes, to exercise the Fundamental Change repurchase right, Holders must surrender their Notes in accordance with applicable Depositary procedures.</w:t>
      </w:r>
    </w:p>
    <w:p>
      <w:pPr>
        <w:spacing w:after="0" w:line="168" w:lineRule="exact"/>
        <w:rPr>
          <w:sz w:val="20"/>
          <w:szCs w:val="20"/>
          <w:color w:val="auto"/>
        </w:rPr>
      </w:pPr>
    </w:p>
    <w:p>
      <w:pPr>
        <w:ind w:right="20" w:firstLine="431"/>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700"/>
          </w:cols>
          <w:pgMar w:left="560" w:top="266" w:right="639" w:bottom="1440" w:gutter="0" w:footer="0" w:header="0"/>
        </w:sectPr>
      </w:pPr>
    </w:p>
    <w:bookmarkStart w:id="100" w:name="page101"/>
    <w:bookmarkEnd w:id="100"/>
    <w:p>
      <w:pPr>
        <w:ind w:right="400" w:firstLine="431"/>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Paying Agent shall promptly notify the Company of the receipt by it of any Fundamental Change Repurchase Notice or written notice of withdrawal thereof.</w:t>
      </w:r>
    </w:p>
    <w:p>
      <w:pPr>
        <w:spacing w:after="0" w:line="168" w:lineRule="exact"/>
        <w:rPr>
          <w:sz w:val="20"/>
          <w:szCs w:val="20"/>
          <w:color w:val="auto"/>
        </w:rPr>
      </w:pPr>
    </w:p>
    <w:p>
      <w:pPr>
        <w:ind w:right="60" w:firstLine="427"/>
        <w:spacing w:after="0" w:line="249" w:lineRule="auto"/>
        <w:tabs>
          <w:tab w:leader="none" w:pos="67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20th 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 w:cs="Times New Roman" w:eastAsia="Times New Roman" w:hAnsi="Times New Roman"/>
          <w:sz w:val="18"/>
          <w:szCs w:val="18"/>
          <w:b w:val="1"/>
          <w:bCs w:val="1"/>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Change Company Notice</w:t>
      </w:r>
      <w:r>
        <w:rPr>
          <w:rFonts w:ascii="Times New Roman" w:cs="Times New Roman" w:eastAsia="Times New Roman" w:hAnsi="Times New Roman"/>
          <w:sz w:val="18"/>
          <w:szCs w:val="18"/>
          <w:color w:val="auto"/>
        </w:rPr>
        <w:t>”) of the occurrence of the effective date of the Fundamental Change and of the resulting repurchase right at the option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spacing w:after="0" w:line="81" w:lineRule="exact"/>
        <w:rPr>
          <w:rFonts w:ascii="Times New Roman" w:cs="Times New Roman" w:eastAsia="Times New Roman" w:hAnsi="Times New Roman"/>
          <w:sz w:val="18"/>
          <w:szCs w:val="18"/>
          <w:color w:val="auto"/>
        </w:rPr>
      </w:pPr>
    </w:p>
    <w:p>
      <w:pPr>
        <w:ind w:left="1060" w:hanging="219"/>
        <w:spacing w:after="0"/>
        <w:tabs>
          <w:tab w:leader="none" w:pos="10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causing the Fundamental Change;</w:t>
      </w:r>
    </w:p>
    <w:p>
      <w:pPr>
        <w:spacing w:after="0" w:line="10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Fundamental Change;</w:t>
      </w:r>
    </w:p>
    <w:p>
      <w:pPr>
        <w:spacing w:after="0" w:line="109"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date on which a Holder may exercise the repurchase right pursuant to this Article 15;</w:t>
      </w:r>
    </w:p>
    <w:p>
      <w:pPr>
        <w:spacing w:after="0" w:line="109"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Price;</w:t>
      </w:r>
    </w:p>
    <w:p>
      <w:pPr>
        <w:spacing w:after="0" w:line="10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Fundamental Change Repurchase Date;</w:t>
      </w:r>
    </w:p>
    <w:p>
      <w:pPr>
        <w:spacing w:after="0" w:line="109"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 and the Conversion Agent, if applicable;</w:t>
      </w:r>
    </w:p>
    <w:p>
      <w:pPr>
        <w:spacing w:after="0" w:line="109" w:lineRule="exact"/>
        <w:rPr>
          <w:rFonts w:ascii="Times New Roman" w:cs="Times New Roman" w:eastAsia="Times New Roman" w:hAnsi="Times New Roman"/>
          <w:sz w:val="18"/>
          <w:szCs w:val="18"/>
          <w:color w:val="auto"/>
        </w:rPr>
      </w:pPr>
    </w:p>
    <w:p>
      <w:pPr>
        <w:ind w:left="420" w:right="20" w:firstLine="421"/>
        <w:spacing w:after="0" w:line="270" w:lineRule="auto"/>
        <w:tabs>
          <w:tab w:leader="none" w:pos="118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Conversion Rate and any adjustments to the Conversion Rate as a result of the Fundamental Change (or related Make-Whole Fundamental Change);</w:t>
      </w:r>
    </w:p>
    <w:p>
      <w:pPr>
        <w:spacing w:after="0" w:line="62" w:lineRule="exact"/>
        <w:rPr>
          <w:rFonts w:ascii="Times New Roman" w:cs="Times New Roman" w:eastAsia="Times New Roman" w:hAnsi="Times New Roman"/>
          <w:sz w:val="18"/>
          <w:szCs w:val="18"/>
          <w:color w:val="auto"/>
        </w:rPr>
      </w:pPr>
    </w:p>
    <w:p>
      <w:pPr>
        <w:ind w:left="420" w:right="60" w:firstLine="421"/>
        <w:spacing w:after="0" w:line="270" w:lineRule="auto"/>
        <w:tabs>
          <w:tab w:leader="none" w:pos="123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62"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that Holders must follow to require the Company to repurchase their Notes.</w:t>
      </w:r>
    </w:p>
    <w:p>
      <w:pPr>
        <w:spacing w:after="0" w:line="216"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68" w:lineRule="exact"/>
        <w:rPr>
          <w:sz w:val="20"/>
          <w:szCs w:val="20"/>
          <w:color w:val="auto"/>
        </w:rPr>
      </w:pPr>
    </w:p>
    <w:p>
      <w:pPr>
        <w:ind w:right="440" w:firstLine="431"/>
        <w:spacing w:after="0" w:line="257" w:lineRule="auto"/>
        <w:rPr>
          <w:sz w:val="20"/>
          <w:szCs w:val="20"/>
          <w:color w:val="auto"/>
        </w:rPr>
      </w:pPr>
      <w:r>
        <w:rPr>
          <w:rFonts w:ascii="Times New Roman" w:cs="Times New Roman" w:eastAsia="Times New Roman" w:hAnsi="Times New Roman"/>
          <w:sz w:val="18"/>
          <w:szCs w:val="18"/>
          <w:color w:val="auto"/>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all cases, the text of such Fundamental Change Company Notice shall be prepared by the Company.</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60"/>
          </w:cols>
          <w:pgMar w:left="560" w:top="266" w:right="579" w:bottom="1440" w:gutter="0" w:footer="0" w:header="0"/>
        </w:sectPr>
      </w:pPr>
    </w:p>
    <w:bookmarkStart w:id="101" w:name="page102"/>
    <w:bookmarkEnd w:id="101"/>
    <w:p>
      <w:pPr>
        <w:ind w:left="3" w:right="220" w:firstLine="427"/>
        <w:spacing w:after="0" w:line="251" w:lineRule="auto"/>
        <w:tabs>
          <w:tab w:leader="none" w:pos="68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85" w:lineRule="exact"/>
        <w:rPr>
          <w:rFonts w:ascii="Times New Roman" w:cs="Times New Roman" w:eastAsia="Times New Roman" w:hAnsi="Times New Roman"/>
          <w:sz w:val="18"/>
          <w:szCs w:val="18"/>
          <w:color w:val="auto"/>
        </w:rPr>
      </w:pPr>
    </w:p>
    <w:p>
      <w:pPr>
        <w:ind w:left="3" w:right="120" w:firstLine="427"/>
        <w:spacing w:after="0" w:line="248" w:lineRule="auto"/>
        <w:tabs>
          <w:tab w:leader="none" w:pos="673"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90" w:lineRule="exact"/>
        <w:rPr>
          <w:rFonts w:ascii="Times New Roman" w:cs="Times New Roman" w:eastAsia="Times New Roman" w:hAnsi="Times New Roman"/>
          <w:sz w:val="18"/>
          <w:szCs w:val="18"/>
          <w:color w:val="auto"/>
        </w:rPr>
      </w:pPr>
    </w:p>
    <w:p>
      <w:pPr>
        <w:ind w:left="3" w:firstLine="427"/>
        <w:spacing w:after="0" w:line="261" w:lineRule="auto"/>
        <w:tabs>
          <w:tab w:leader="none" w:pos="654"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 provisions described in this Section 15.02(f), the Company does not offer to repurchase any Notes is referred to as herein as an “</w:t>
      </w:r>
      <w:r>
        <w:rPr>
          <w:rFonts w:ascii="Times New Roman" w:cs="Times New Roman" w:eastAsia="Times New Roman" w:hAnsi="Times New Roman"/>
          <w:sz w:val="17"/>
          <w:szCs w:val="17"/>
          <w:b w:val="1"/>
          <w:bCs w:val="1"/>
          <w:color w:val="auto"/>
        </w:rPr>
        <w:t>Exempted Fundamental Change</w:t>
      </w:r>
      <w:r>
        <w:rPr>
          <w:rFonts w:ascii="Times New Roman" w:cs="Times New Roman" w:eastAsia="Times New Roman" w:hAnsi="Times New Roman"/>
          <w:sz w:val="17"/>
          <w:szCs w:val="17"/>
          <w:color w:val="auto"/>
        </w:rPr>
        <w:t>.” For the avoidance of doubt, the maximum amount of accrued interest referred to in clause</w:t>
      </w:r>
    </w:p>
    <w:p>
      <w:pPr>
        <w:spacing w:after="0" w:line="4" w:lineRule="exact"/>
        <w:rPr>
          <w:rFonts w:ascii="Times New Roman" w:cs="Times New Roman" w:eastAsia="Times New Roman" w:hAnsi="Times New Roman"/>
          <w:sz w:val="17"/>
          <w:szCs w:val="17"/>
          <w:color w:val="auto"/>
        </w:rPr>
      </w:pPr>
    </w:p>
    <w:p>
      <w:pPr>
        <w:ind w:left="3" w:right="40" w:hanging="3"/>
        <w:spacing w:after="0" w:line="247" w:lineRule="auto"/>
        <w:tabs>
          <w:tab w:leader="none" w:pos="26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will be determined (A) by assuming that the Fundamental Change Repurchase Date occurs on the latest possible date permitted for the applicable Fundamental Change pursuant to the provisions of this Section 15.02; and (ii) without regard to the parenthetical in Section 15.02(a) relating to a Fundamental Change Repurchase Date that falls after a Regular Record Date and prior to the corresponding Interest Payment Date.</w:t>
      </w:r>
    </w:p>
    <w:p>
      <w:pPr>
        <w:spacing w:after="0" w:line="122"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723"/>
          </w:cols>
          <w:pgMar w:left="557" w:top="266" w:right="619" w:bottom="1440" w:gutter="0" w:footer="0" w:header="0"/>
        </w:sectPr>
      </w:pPr>
    </w:p>
    <w:bookmarkStart w:id="102" w:name="page103"/>
    <w:bookmarkEnd w:id="102"/>
    <w:p>
      <w:pPr>
        <w:ind w:right="60" w:firstLine="43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15.03</w:t>
      </w:r>
      <w:r>
        <w:rPr>
          <w:rFonts w:ascii="Times New Roman" w:cs="Times New Roman" w:eastAsia="Times New Roman" w:hAnsi="Times New Roman"/>
          <w:sz w:val="18"/>
          <w:szCs w:val="18"/>
          <w:i w:val="1"/>
          <w:iCs w:val="1"/>
          <w:color w:val="auto"/>
        </w:rPr>
        <w:t>. Withdrawal of Fundamental Change Repurchase Notice.</w:t>
      </w:r>
      <w:r>
        <w:rPr>
          <w:rFonts w:ascii="Times New Roman" w:cs="Times New Roman" w:eastAsia="Times New Roman" w:hAnsi="Times New Roman"/>
          <w:sz w:val="18"/>
          <w:szCs w:val="18"/>
          <w:color w:val="auto"/>
        </w:rPr>
        <w:t xml:space="preserv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spacing w:after="0" w:line="76" w:lineRule="exact"/>
        <w:rPr>
          <w:sz w:val="20"/>
          <w:szCs w:val="20"/>
          <w:color w:val="auto"/>
        </w:rPr>
      </w:pPr>
    </w:p>
    <w:p>
      <w:pPr>
        <w:ind w:left="420" w:right="520" w:firstLine="421"/>
        <w:spacing w:after="0" w:line="270" w:lineRule="auto"/>
        <w:tabs>
          <w:tab w:leader="none" w:pos="10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Notes with respect to which such notice of withdrawal is being submitted, which must be $1,000 or an integral multiple thereof,</w:t>
      </w:r>
    </w:p>
    <w:p>
      <w:pPr>
        <w:spacing w:after="0" w:line="62"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number of the Note in respect of which such notice of withdrawal is being submitted, and</w:t>
      </w:r>
    </w:p>
    <w:p>
      <w:pPr>
        <w:spacing w:after="0" w:line="109" w:lineRule="exact"/>
        <w:rPr>
          <w:rFonts w:ascii="Times New Roman" w:cs="Times New Roman" w:eastAsia="Times New Roman" w:hAnsi="Times New Roman"/>
          <w:sz w:val="18"/>
          <w:szCs w:val="18"/>
          <w:color w:val="auto"/>
        </w:rPr>
      </w:pPr>
    </w:p>
    <w:p>
      <w:pPr>
        <w:ind w:left="420" w:right="180" w:firstLine="421"/>
        <w:spacing w:after="0" w:line="270" w:lineRule="auto"/>
        <w:tabs>
          <w:tab w:leader="none" w:pos="114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6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15.04</w:t>
      </w:r>
      <w:r>
        <w:rPr>
          <w:rFonts w:ascii="Times New Roman" w:cs="Times New Roman" w:eastAsia="Times New Roman" w:hAnsi="Times New Roman"/>
          <w:sz w:val="18"/>
          <w:szCs w:val="18"/>
          <w:i w:val="1"/>
          <w:iCs w:val="1"/>
          <w:color w:val="auto"/>
        </w:rPr>
        <w:t>. Deposit of Fundamental Change Repurchase Price.</w:t>
      </w:r>
      <w:r>
        <w:rPr>
          <w:rFonts w:ascii="Times New Roman" w:cs="Times New Roman" w:eastAsia="Times New Roman" w:hAnsi="Times New Roman"/>
          <w:sz w:val="18"/>
          <w:szCs w:val="18"/>
          <w:color w:val="auto"/>
        </w:rPr>
        <w:t xml:space="preserve"> (a) The Company will deposit with the Trustee (or other Paying Agent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appointed by the Company, or if the Company is acting as its own Paying Agent, set aside, segregate and hold in trust as provided in Section 4.04) on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11:00 a.m., New York City time, on the Fundamental Change Repurchase Date an amount of money sufficient to repurchase all of the Notes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repurchased at the appropriate Fundamental Change Repurchase Price. Subject to receipt of funds and/or Notes by the Trustee (or other Paying Agent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appointed by the Company), payment for Notes surrendered for repurchase (and not validly withdrawn prior to the close of business on the 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immediately preceding the Fundamental Change Repurchase Date) will be made on the later of (i) the Fundamental Change Repurchase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Holder has satisfied the conditions in Section 15.02) and (ii) the time of book-entry transfer or the delivery of such Note to the Trustee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Paying Agent appointed by the Company) by the Holder thereof in the manner required by Section 15.02 by mailing checks for the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payable to the Holders of such Notes entitled thereto as they shall appear in the Note Register;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payments to the Depositary shall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by wire transfer of immediately available funds to the account of the Depositary or its nominee. The Trustee shall, promptly after such payment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upon written demand by the Company, return to the Company any funds in excess of the Fundamental Change Repurchase Price.</w:t>
      </w:r>
    </w:p>
    <w:p>
      <w:pPr>
        <w:spacing w:after="0" w:line="198" w:lineRule="exact"/>
        <w:rPr>
          <w:sz w:val="20"/>
          <w:szCs w:val="20"/>
          <w:color w:val="auto"/>
        </w:rPr>
      </w:pPr>
    </w:p>
    <w:p>
      <w:pPr>
        <w:ind w:right="120" w:firstLine="427"/>
        <w:spacing w:after="0" w:line="253" w:lineRule="auto"/>
        <w:tabs>
          <w:tab w:leader="none" w:pos="6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40"/>
          </w:cols>
          <w:pgMar w:left="560" w:top="264" w:right="599" w:bottom="1440" w:gutter="0" w:footer="0" w:header="0"/>
        </w:sectPr>
      </w:pPr>
    </w:p>
    <w:bookmarkStart w:id="103" w:name="page104"/>
    <w:bookmarkEnd w:id="103"/>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84" w:lineRule="exact"/>
        <w:rPr>
          <w:sz w:val="20"/>
          <w:szCs w:val="20"/>
          <w:color w:val="auto"/>
        </w:rPr>
      </w:pPr>
    </w:p>
    <w:p>
      <w:pPr>
        <w:ind w:right="320" w:firstLine="427"/>
        <w:spacing w:after="0" w:line="257" w:lineRule="auto"/>
        <w:tabs>
          <w:tab w:leader="none" w:pos="6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i w:val="1"/>
          <w:iCs w:val="1"/>
          <w:color w:val="auto"/>
        </w:rPr>
        <w:t>Covenant to Comply with Applicable Laws Upon Repurchase of Notes</w:t>
      </w:r>
      <w:r>
        <w:rPr>
          <w:rFonts w:ascii="Times New Roman" w:cs="Times New Roman" w:eastAsia="Times New Roman" w:hAnsi="Times New Roman"/>
          <w:sz w:val="18"/>
          <w:szCs w:val="18"/>
          <w:color w:val="auto"/>
        </w:rPr>
        <w:t>. In connection with any repurchase offer upon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 Change pursuant to this Article 15, the Company will, if required:</w:t>
      </w:r>
    </w:p>
    <w:p>
      <w:pPr>
        <w:spacing w:after="0" w:line="92" w:lineRule="exact"/>
        <w:rPr>
          <w:sz w:val="20"/>
          <w:szCs w:val="20"/>
          <w:color w:val="auto"/>
        </w:rPr>
      </w:pPr>
    </w:p>
    <w:p>
      <w:pPr>
        <w:ind w:left="660" w:hanging="233"/>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tender offer rules under the Exchange Act that may then be applicable;</w:t>
      </w:r>
    </w:p>
    <w:p>
      <w:pPr>
        <w:spacing w:after="0" w:line="215"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Schedule TO or any other required schedule under the Exchange Act; and</w:t>
      </w:r>
    </w:p>
    <w:p>
      <w:pPr>
        <w:spacing w:after="0" w:line="215" w:lineRule="exact"/>
        <w:rPr>
          <w:rFonts w:ascii="Times New Roman" w:cs="Times New Roman" w:eastAsia="Times New Roman" w:hAnsi="Times New Roman"/>
          <w:sz w:val="18"/>
          <w:szCs w:val="18"/>
          <w:color w:val="auto"/>
        </w:rPr>
      </w:pPr>
    </w:p>
    <w:p>
      <w:pPr>
        <w:ind w:right="120" w:firstLine="427"/>
        <w:spacing w:after="0" w:line="270" w:lineRule="auto"/>
        <w:tabs>
          <w:tab w:leader="none" w:pos="6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in all material respects with all federal and state securities laws in connection with any offer by the Company to repurchase the Notes;</w:t>
      </w:r>
    </w:p>
    <w:p>
      <w:pPr>
        <w:spacing w:after="0" w:line="16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each case, so as to permit the rights and obligations under this Article 15 to be exercised in the time and in the manner specified in this Article 15.</w:t>
      </w:r>
    </w:p>
    <w:p>
      <w:pPr>
        <w:spacing w:after="0" w:line="227" w:lineRule="exact"/>
        <w:rPr>
          <w:sz w:val="20"/>
          <w:szCs w:val="20"/>
          <w:color w:val="auto"/>
        </w:rPr>
      </w:pPr>
    </w:p>
    <w:p>
      <w:pPr>
        <w:ind w:right="20" w:firstLine="431"/>
        <w:spacing w:after="0" w:line="253" w:lineRule="auto"/>
        <w:rPr>
          <w:sz w:val="20"/>
          <w:szCs w:val="20"/>
          <w:color w:val="auto"/>
        </w:rPr>
      </w:pPr>
      <w:r>
        <w:rPr>
          <w:rFonts w:ascii="Times New Roman" w:cs="Times New Roman" w:eastAsia="Times New Roman" w:hAnsi="Times New Roman"/>
          <w:sz w:val="18"/>
          <w:szCs w:val="18"/>
          <w:color w:val="auto"/>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PTIONAL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EDEMPTION</w:t>
      </w:r>
    </w:p>
    <w:p>
      <w:pPr>
        <w:spacing w:after="0" w:line="196"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 No sinking fund is provided for the Notes. The Notes shall not be redeemable by the Company prior to June 20, 2028. On or after June 20, 2028, the Company may redeem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for cash all or any portion of the Notes (subject to the Partial Redemption Limitation), at the Redemption Price, if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60"/>
          </w:cols>
          <w:pgMar w:left="560" w:top="266" w:right="579" w:bottom="1440" w:gutter="0" w:footer="0" w:header="0"/>
        </w:sectPr>
      </w:pPr>
    </w:p>
    <w:bookmarkStart w:id="104" w:name="page105"/>
    <w:bookmarkEnd w:id="10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Section 16.02. </w:t>
      </w:r>
      <w:r>
        <w:rPr>
          <w:rFonts w:ascii="Times New Roman" w:cs="Times New Roman" w:eastAsia="Times New Roman" w:hAnsi="Times New Roman"/>
          <w:sz w:val="18"/>
          <w:szCs w:val="18"/>
          <w:i w:val="1"/>
          <w:iCs w:val="1"/>
          <w:color w:val="auto"/>
        </w:rPr>
        <w:t>Notice of Optional Redemption; Selection of Notes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In case the Company exercises its Optional Redemption right to redeem all or, as the case may be, any part of the Notes pursuant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16.01, it shall fix a date for redemption (each, a “</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and it or, at its written request received by the Trustee not less than five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Business Days prior to the date such Notice of Redemption is to be sent (or such shorter period of time as may be acceptable to the Trustee), the Trustee,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name of and at the expense of the Company, shall deliver or cause to be delivered a written notice of such Optional Redemption (a “</w:t>
      </w:r>
      <w:r>
        <w:rPr>
          <w:rFonts w:ascii="Times New Roman" w:cs="Times New Roman" w:eastAsia="Times New Roman" w:hAnsi="Times New Roman"/>
          <w:sz w:val="18"/>
          <w:szCs w:val="18"/>
          <w:b w:val="1"/>
          <w:bCs w:val="1"/>
          <w:color w:val="auto"/>
        </w:rPr>
        <w:t>Notice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w:t>
      </w:r>
      <w:r>
        <w:rPr>
          <w:rFonts w:ascii="Times New Roman" w:cs="Times New Roman" w:eastAsia="Times New Roman" w:hAnsi="Times New Roman"/>
          <w:sz w:val="17"/>
          <w:szCs w:val="17"/>
          <w:color w:val="auto"/>
        </w:rPr>
        <w:t>”) not less than 45 nor more than 65 Scheduled Trading Days prior to the Redemption Date to each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shall give such notice, it shall also give written notice of the Redemption Date to the Trustee, the Paying Agent (if other than the Trustee)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Conversion Agent (if other than the Trustee);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if, in accordance with the provisions of Section 14.02(a)(iii), the Company elects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delivery of a Settlement Notice to settle all conversions of Called Notes with a Conversion Date that occurs during the related Redemption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by Physical Settlement, then the Company may instead elect to choose a Redemption Date that is a Business Day not less than 15 nor more than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calendar days after the date the Company sends such Notice of Redemption. For the avoidance of doubt, if the Company so elects to settle 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 during a Redemption Period by Physical Settlement in accordance with the provisions of Section 14.02(a)(iii), the Company may still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choose a Redemption Date that is a Business Day not less than 45 nor more than 65 Scheduled Trading Days after the date the Company delivers such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Redemption. In the case of any Optional Redemption, the Redemption Date set forth in the relevant Notice of Redemption must be a day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scheduled to be a Business Day as of the date of such Notice of Redemption, and the Company may not specify a Redemption Date that falls on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41st Scheduled Trading Day immediately preceding the Maturity Date.</w:t>
      </w:r>
    </w:p>
    <w:p>
      <w:pPr>
        <w:spacing w:after="0" w:line="198" w:lineRule="exact"/>
        <w:rPr>
          <w:sz w:val="20"/>
          <w:szCs w:val="20"/>
          <w:color w:val="auto"/>
        </w:rPr>
      </w:pPr>
    </w:p>
    <w:p>
      <w:pPr>
        <w:ind w:firstLine="427"/>
        <w:spacing w:after="0" w:line="257" w:lineRule="auto"/>
        <w:tabs>
          <w:tab w:leader="none" w:pos="6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80" w:lineRule="exact"/>
        <w:rPr>
          <w:rFonts w:ascii="Times New Roman" w:cs="Times New Roman" w:eastAsia="Times New Roman" w:hAnsi="Times New Roman"/>
          <w:sz w:val="18"/>
          <w:szCs w:val="18"/>
          <w:color w:val="auto"/>
        </w:rPr>
      </w:pPr>
    </w:p>
    <w:p>
      <w:pPr>
        <w:ind w:left="660" w:hanging="233"/>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Redemption shall specify:</w:t>
      </w:r>
    </w:p>
    <w:p>
      <w:pPr>
        <w:spacing w:after="0" w:line="109" w:lineRule="exact"/>
        <w:rPr>
          <w:rFonts w:ascii="Times New Roman" w:cs="Times New Roman" w:eastAsia="Times New Roman" w:hAnsi="Times New Roman"/>
          <w:sz w:val="18"/>
          <w:szCs w:val="18"/>
          <w:color w:val="auto"/>
        </w:rPr>
      </w:pPr>
    </w:p>
    <w:p>
      <w:pPr>
        <w:ind w:left="1060" w:hanging="219"/>
        <w:spacing w:after="0"/>
        <w:tabs>
          <w:tab w:leader="none" w:pos="1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0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09" w:lineRule="exact"/>
        <w:rPr>
          <w:rFonts w:ascii="Times New Roman" w:cs="Times New Roman" w:eastAsia="Times New Roman" w:hAnsi="Times New Roman"/>
          <w:sz w:val="18"/>
          <w:szCs w:val="18"/>
          <w:color w:val="auto"/>
        </w:rPr>
      </w:pPr>
    </w:p>
    <w:p>
      <w:pPr>
        <w:ind w:left="420" w:right="380" w:firstLine="421"/>
        <w:spacing w:after="0" w:line="270" w:lineRule="auto"/>
        <w:tabs>
          <w:tab w:leader="none" w:pos="114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will become due and payable upon each Note to be redeemed, and that interest thereon, if any, shall cease to accrue on and after payment of the Redemption Price in full on the Redemption Date;</w:t>
      </w:r>
    </w:p>
    <w:p>
      <w:pPr>
        <w:spacing w:after="0" w:line="62" w:lineRule="exact"/>
        <w:rPr>
          <w:rFonts w:ascii="Times New Roman" w:cs="Times New Roman" w:eastAsia="Times New Roman" w:hAnsi="Times New Roman"/>
          <w:sz w:val="18"/>
          <w:szCs w:val="18"/>
          <w:color w:val="auto"/>
        </w:rPr>
      </w:pPr>
    </w:p>
    <w:p>
      <w:pPr>
        <w:ind w:left="1140" w:hanging="299"/>
        <w:spacing w:after="0"/>
        <w:tabs>
          <w:tab w:leader="none" w:pos="11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Notes are to be surrendered for payment of the Redemption Price;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740"/>
          </w:cols>
          <w:pgMar w:left="560" w:top="264" w:right="599" w:bottom="1440" w:gutter="0" w:footer="0" w:header="0"/>
        </w:sectPr>
      </w:pPr>
    </w:p>
    <w:bookmarkStart w:id="105" w:name="page106"/>
    <w:bookmarkEnd w:id="105"/>
    <w:p>
      <w:pPr>
        <w:ind w:left="1100" w:hanging="259"/>
        <w:spacing w:after="0"/>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that Holders of Called Notes may surrender such Notes for conversion at any time during the related Redemption Period;</w:t>
      </w:r>
    </w:p>
    <w:p>
      <w:pPr>
        <w:spacing w:after="0" w:line="109" w:lineRule="exact"/>
        <w:rPr>
          <w:rFonts w:ascii="Times New Roman" w:cs="Times New Roman" w:eastAsia="Times New Roman" w:hAnsi="Times New Roman"/>
          <w:sz w:val="18"/>
          <w:szCs w:val="18"/>
          <w:color w:val="auto"/>
        </w:rPr>
      </w:pPr>
    </w:p>
    <w:p>
      <w:pPr>
        <w:ind w:left="420" w:right="60" w:firstLine="421"/>
        <w:spacing w:after="0" w:line="270" w:lineRule="auto"/>
        <w:tabs>
          <w:tab w:leader="none" w:pos="11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a converting Holder must follow to convert its Called Notes and the Settlement Method and Specified Dollar Amount, if applicable;</w:t>
      </w:r>
    </w:p>
    <w:p>
      <w:pPr>
        <w:spacing w:after="0" w:line="62" w:lineRule="exact"/>
        <w:rPr>
          <w:rFonts w:ascii="Times New Roman" w:cs="Times New Roman" w:eastAsia="Times New Roman" w:hAnsi="Times New Roman"/>
          <w:sz w:val="18"/>
          <w:szCs w:val="18"/>
          <w:color w:val="auto"/>
        </w:rPr>
      </w:pPr>
    </w:p>
    <w:p>
      <w:pPr>
        <w:ind w:left="1180" w:hanging="339"/>
        <w:spacing w:after="0"/>
        <w:tabs>
          <w:tab w:leader="none" w:pos="11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Rate and, if applicable, the number of Additional Shares added to the Conversion Rate in accordance with</w:t>
      </w:r>
    </w:p>
    <w:p>
      <w:pPr>
        <w:spacing w:after="0" w:line="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Section 14.03;</w:t>
      </w:r>
    </w:p>
    <w:p>
      <w:pPr>
        <w:spacing w:after="0" w:line="92" w:lineRule="exact"/>
        <w:rPr>
          <w:sz w:val="20"/>
          <w:szCs w:val="20"/>
          <w:color w:val="auto"/>
        </w:rPr>
      </w:pPr>
    </w:p>
    <w:p>
      <w:pPr>
        <w:ind w:left="1240" w:hanging="399"/>
        <w:spacing w:after="0"/>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ISIN or other similar numbers, if any, assigned to such Notes; and</w:t>
      </w:r>
    </w:p>
    <w:p>
      <w:pPr>
        <w:spacing w:after="0" w:line="109" w:lineRule="exact"/>
        <w:rPr>
          <w:rFonts w:ascii="Times New Roman" w:cs="Times New Roman" w:eastAsia="Times New Roman" w:hAnsi="Times New Roman"/>
          <w:sz w:val="18"/>
          <w:szCs w:val="18"/>
          <w:color w:val="auto"/>
        </w:rPr>
      </w:pPr>
    </w:p>
    <w:p>
      <w:pPr>
        <w:jc w:val="both"/>
        <w:ind w:left="420" w:right="680" w:firstLine="421"/>
        <w:spacing w:after="0" w:line="300" w:lineRule="auto"/>
        <w:tabs>
          <w:tab w:leader="none" w:pos="113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Redemption shall be irrevocable.</w:t>
      </w:r>
    </w:p>
    <w:p>
      <w:pPr>
        <w:spacing w:after="0" w:line="216" w:lineRule="exact"/>
        <w:rPr>
          <w:sz w:val="20"/>
          <w:szCs w:val="20"/>
          <w:color w:val="auto"/>
        </w:rPr>
      </w:pPr>
    </w:p>
    <w:p>
      <w:pPr>
        <w:ind w:right="20" w:firstLine="427"/>
        <w:spacing w:after="0" w:line="264" w:lineRule="auto"/>
        <w:tabs>
          <w:tab w:leader="none" w:pos="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elects to redeem fewer than all of the outstanding Notes, at least $100,000,000 aggregate principal amount of Notes must be outstanding and not subject to Optional Redemption as of the date of the relevant Notice of Redemption and after giving pro forma effect to the related Optional Redemption as of the date of such Notice of Redemption (such requirement, the “</w:t>
      </w:r>
      <w:r>
        <w:rPr>
          <w:rFonts w:ascii="Times New Roman" w:cs="Times New Roman" w:eastAsia="Times New Roman" w:hAnsi="Times New Roman"/>
          <w:sz w:val="17"/>
          <w:szCs w:val="17"/>
          <w:b w:val="1"/>
          <w:bCs w:val="1"/>
          <w:color w:val="auto"/>
        </w:rPr>
        <w:t>Partial Redemption Limitation</w:t>
      </w:r>
      <w:r>
        <w:rPr>
          <w:rFonts w:ascii="Times New Roman" w:cs="Times New Roman" w:eastAsia="Times New Roman" w:hAnsi="Times New Roman"/>
          <w:sz w:val="17"/>
          <w:szCs w:val="17"/>
          <w:color w:val="auto"/>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i w:val="1"/>
          <w:iCs w:val="1"/>
          <w:color w:val="auto"/>
        </w:rPr>
        <w:t>Payment of Notes Called for Redemption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firstLine="427"/>
        <w:spacing w:after="0" w:line="250" w:lineRule="auto"/>
        <w:tabs>
          <w:tab w:leader="none" w:pos="67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760"/>
          </w:cols>
          <w:pgMar w:left="560" w:top="266" w:right="579" w:bottom="1440" w:gutter="0" w:footer="0" w:header="0"/>
        </w:sectPr>
      </w:pPr>
    </w:p>
    <w:bookmarkStart w:id="106" w:name="page107"/>
    <w:bookmarkEnd w:id="106"/>
    <w:p>
      <w:pPr>
        <w:ind w:firstLine="427"/>
        <w:spacing w:after="0" w:line="250" w:lineRule="auto"/>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83" w:lineRule="exact"/>
        <w:rPr>
          <w:sz w:val="20"/>
          <w:szCs w:val="20"/>
          <w:color w:val="auto"/>
        </w:rPr>
      </w:pPr>
    </w:p>
    <w:p>
      <w:pPr>
        <w:ind w:right="140" w:firstLine="431"/>
        <w:spacing w:after="0" w:line="281" w:lineRule="auto"/>
        <w:rPr>
          <w:sz w:val="20"/>
          <w:szCs w:val="20"/>
          <w:color w:val="auto"/>
        </w:rPr>
      </w:pPr>
      <w:r>
        <w:rPr>
          <w:rFonts w:ascii="Times New Roman" w:cs="Times New Roman" w:eastAsia="Times New Roman" w:hAnsi="Times New Roman"/>
          <w:sz w:val="17"/>
          <w:szCs w:val="17"/>
          <w:color w:val="auto"/>
        </w:rPr>
        <w:t xml:space="preserve">Section 16.04. </w:t>
      </w:r>
      <w:r>
        <w:rPr>
          <w:rFonts w:ascii="Times New Roman" w:cs="Times New Roman" w:eastAsia="Times New Roman" w:hAnsi="Times New Roman"/>
          <w:sz w:val="17"/>
          <w:szCs w:val="17"/>
          <w:i w:val="1"/>
          <w:iCs w:val="1"/>
          <w:color w:val="auto"/>
        </w:rPr>
        <w:t>Restrictions on Redemption</w:t>
      </w:r>
      <w:r>
        <w:rPr>
          <w:rFonts w:ascii="Times New Roman" w:cs="Times New Roman" w:eastAsia="Times New Roman" w:hAnsi="Times New Roman"/>
          <w:sz w:val="17"/>
          <w:szCs w:val="17"/>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ROVISIONS</w:t>
      </w:r>
    </w:p>
    <w:p>
      <w:pPr>
        <w:spacing w:after="0" w:line="196" w:lineRule="exact"/>
        <w:rPr>
          <w:sz w:val="20"/>
          <w:szCs w:val="20"/>
          <w:color w:val="auto"/>
        </w:rPr>
      </w:pPr>
    </w:p>
    <w:p>
      <w:pPr>
        <w:ind w:right="60" w:firstLine="431"/>
        <w:spacing w:after="0" w:line="272" w:lineRule="auto"/>
        <w:rPr>
          <w:sz w:val="20"/>
          <w:szCs w:val="20"/>
          <w:color w:val="auto"/>
        </w:rPr>
      </w:pPr>
      <w:r>
        <w:rPr>
          <w:rFonts w:ascii="Times New Roman" w:cs="Times New Roman" w:eastAsia="Times New Roman" w:hAnsi="Times New Roman"/>
          <w:sz w:val="18"/>
          <w:szCs w:val="18"/>
          <w:color w:val="auto"/>
        </w:rPr>
        <w:t>Section 17.01</w:t>
      </w:r>
      <w:r>
        <w:rPr>
          <w:rFonts w:ascii="Times New Roman" w:cs="Times New Roman" w:eastAsia="Times New Roman" w:hAnsi="Times New Roman"/>
          <w:sz w:val="18"/>
          <w:szCs w:val="18"/>
          <w:i w:val="1"/>
          <w:iCs w:val="1"/>
          <w:color w:val="auto"/>
        </w:rPr>
        <w:t>. Provisions Binding on Company’s Successors.</w:t>
      </w:r>
      <w:r>
        <w:rPr>
          <w:rFonts w:ascii="Times New Roman" w:cs="Times New Roman" w:eastAsia="Times New Roman" w:hAnsi="Times New Roman"/>
          <w:sz w:val="18"/>
          <w:szCs w:val="18"/>
          <w:color w:val="auto"/>
        </w:rPr>
        <w:t xml:space="preserve"> All the covenants, stipulations, promises and agreements of the Company contained in this Indenture shall bind its successors and assigns whether so expressed or not.</w:t>
      </w:r>
    </w:p>
    <w:p>
      <w:pPr>
        <w:spacing w:after="0" w:line="165" w:lineRule="exact"/>
        <w:rPr>
          <w:sz w:val="20"/>
          <w:szCs w:val="20"/>
          <w:color w:val="auto"/>
        </w:rPr>
      </w:pPr>
    </w:p>
    <w:p>
      <w:pPr>
        <w:ind w:right="320" w:firstLine="431"/>
        <w:spacing w:after="0" w:line="258" w:lineRule="auto"/>
        <w:rPr>
          <w:sz w:val="20"/>
          <w:szCs w:val="20"/>
          <w:color w:val="auto"/>
        </w:rPr>
      </w:pPr>
      <w:r>
        <w:rPr>
          <w:rFonts w:ascii="Times New Roman" w:cs="Times New Roman" w:eastAsia="Times New Roman" w:hAnsi="Times New Roman"/>
          <w:sz w:val="18"/>
          <w:szCs w:val="18"/>
          <w:color w:val="auto"/>
        </w:rPr>
        <w:t>Section 17.02</w:t>
      </w:r>
      <w:r>
        <w:rPr>
          <w:rFonts w:ascii="Times New Roman" w:cs="Times New Roman" w:eastAsia="Times New Roman" w:hAnsi="Times New Roman"/>
          <w:sz w:val="18"/>
          <w:szCs w:val="18"/>
          <w:i w:val="1"/>
          <w:iCs w:val="1"/>
          <w:color w:val="auto"/>
        </w:rPr>
        <w:t>. Official Acts by Successor Entity.</w:t>
      </w:r>
      <w:r>
        <w:rPr>
          <w:rFonts w:ascii="Times New Roman" w:cs="Times New Roman" w:eastAsia="Times New Roman" w:hAnsi="Times New Roman"/>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78" w:lineRule="exact"/>
        <w:rPr>
          <w:sz w:val="20"/>
          <w:szCs w:val="20"/>
          <w:color w:val="auto"/>
        </w:rPr>
      </w:pPr>
    </w:p>
    <w:p>
      <w:pPr>
        <w:ind w:right="60" w:firstLine="431"/>
        <w:spacing w:after="0" w:line="249" w:lineRule="auto"/>
        <w:rPr>
          <w:sz w:val="20"/>
          <w:szCs w:val="20"/>
          <w:color w:val="auto"/>
        </w:rPr>
      </w:pPr>
      <w:r>
        <w:rPr>
          <w:rFonts w:ascii="Times New Roman" w:cs="Times New Roman" w:eastAsia="Times New Roman" w:hAnsi="Times New Roman"/>
          <w:sz w:val="18"/>
          <w:szCs w:val="18"/>
          <w:color w:val="auto"/>
        </w:rPr>
        <w:t>Section 17.03</w:t>
      </w:r>
      <w:r>
        <w:rPr>
          <w:rFonts w:ascii="Times New Roman" w:cs="Times New Roman" w:eastAsia="Times New Roman" w:hAnsi="Times New Roman"/>
          <w:sz w:val="18"/>
          <w:szCs w:val="18"/>
          <w:i w:val="1"/>
          <w:iCs w:val="1"/>
          <w:color w:val="auto"/>
        </w:rPr>
        <w:t>. Addresses for Notices, Etc.</w:t>
      </w:r>
      <w:r>
        <w:rPr>
          <w:rFonts w:ascii="Times New Roman" w:cs="Times New Roman" w:eastAsia="Times New Roman" w:hAnsi="Times New Roman"/>
          <w:sz w:val="18"/>
          <w:szCs w:val="18"/>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Xometry, Inc., 6116 Executive Blvd, Ste. 800, North Bethesda, MD 20852,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Trustee, by notice to the Company, may designate additional or different addresses for subsequent notices or communications.</w:t>
      </w:r>
    </w:p>
    <w:p>
      <w:pPr>
        <w:spacing w:after="0" w:line="1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760"/>
          </w:cols>
          <w:pgMar w:left="560" w:top="266" w:right="579" w:bottom="1440" w:gutter="0" w:footer="0" w:header="0"/>
        </w:sectPr>
      </w:pPr>
    </w:p>
    <w:bookmarkStart w:id="107" w:name="page108"/>
    <w:bookmarkEnd w:id="107"/>
    <w:p>
      <w:pPr>
        <w:ind w:firstLine="431"/>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74" w:lineRule="exact"/>
        <w:rPr>
          <w:sz w:val="20"/>
          <w:szCs w:val="20"/>
          <w:color w:val="auto"/>
        </w:rPr>
      </w:pPr>
    </w:p>
    <w:p>
      <w:pPr>
        <w:ind w:firstLine="431"/>
        <w:spacing w:after="0" w:line="257" w:lineRule="auto"/>
        <w:rPr>
          <w:sz w:val="20"/>
          <w:szCs w:val="20"/>
          <w:color w:val="auto"/>
        </w:rPr>
      </w:pPr>
      <w:r>
        <w:rPr>
          <w:rFonts w:ascii="Times New Roman" w:cs="Times New Roman" w:eastAsia="Times New Roman" w:hAnsi="Times New Roman"/>
          <w:sz w:val="18"/>
          <w:szCs w:val="18"/>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80" w:lineRule="exact"/>
        <w:rPr>
          <w:sz w:val="20"/>
          <w:szCs w:val="20"/>
          <w:color w:val="auto"/>
        </w:rPr>
      </w:pPr>
    </w:p>
    <w:p>
      <w:pPr>
        <w:ind w:right="100" w:firstLine="431"/>
        <w:spacing w:after="0" w:line="300" w:lineRule="auto"/>
        <w:rPr>
          <w:sz w:val="20"/>
          <w:szCs w:val="20"/>
          <w:color w:val="auto"/>
        </w:rPr>
      </w:pPr>
      <w:r>
        <w:rPr>
          <w:rFonts w:ascii="Times New Roman" w:cs="Times New Roman" w:eastAsia="Times New Roman" w:hAnsi="Times New Roman"/>
          <w:sz w:val="17"/>
          <w:szCs w:val="17"/>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43" w:lineRule="exact"/>
        <w:rPr>
          <w:sz w:val="20"/>
          <w:szCs w:val="20"/>
          <w:color w:val="auto"/>
        </w:rPr>
      </w:pPr>
    </w:p>
    <w:p>
      <w:pPr>
        <w:ind w:right="300" w:firstLine="431"/>
        <w:spacing w:after="0" w:line="258" w:lineRule="auto"/>
        <w:rPr>
          <w:sz w:val="20"/>
          <w:szCs w:val="20"/>
          <w:color w:val="auto"/>
        </w:rPr>
      </w:pPr>
      <w:r>
        <w:rPr>
          <w:rFonts w:ascii="Times New Roman" w:cs="Times New Roman" w:eastAsia="Times New Roman" w:hAnsi="Times New Roman"/>
          <w:sz w:val="18"/>
          <w:szCs w:val="18"/>
          <w:color w:val="auto"/>
        </w:rPr>
        <w:t>Section 17.04</w:t>
      </w:r>
      <w:r>
        <w:rPr>
          <w:rFonts w:ascii="Times New Roman" w:cs="Times New Roman" w:eastAsia="Times New Roman" w:hAnsi="Times New Roman"/>
          <w:sz w:val="18"/>
          <w:szCs w:val="18"/>
          <w:i w:val="1"/>
          <w:iCs w:val="1"/>
          <w:color w:val="auto"/>
        </w:rPr>
        <w:t>. Governing Law; Jurisdiction.</w:t>
      </w:r>
      <w:r>
        <w:rPr>
          <w:rFonts w:ascii="Times New Roman" w:cs="Times New Roman" w:eastAsia="Times New Roman" w:hAnsi="Times New Roman"/>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80"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generally and unconditionally with respect to any action, suit or proceeding for itself in respect of its properties, assets and revenues.</w:t>
      </w:r>
    </w:p>
    <w:p>
      <w:pPr>
        <w:spacing w:after="0" w:line="185" w:lineRule="exact"/>
        <w:rPr>
          <w:sz w:val="20"/>
          <w:szCs w:val="20"/>
          <w:color w:val="auto"/>
        </w:rPr>
      </w:pPr>
    </w:p>
    <w:p>
      <w:pPr>
        <w:ind w:right="20" w:firstLine="431"/>
        <w:spacing w:after="0" w:line="25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760"/>
          </w:cols>
          <w:pgMar w:left="560" w:top="266" w:right="579" w:bottom="1440" w:gutter="0" w:footer="0" w:header="0"/>
        </w:sectPr>
      </w:pPr>
    </w:p>
    <w:bookmarkStart w:id="108" w:name="page109"/>
    <w:bookmarkEnd w:id="108"/>
    <w:p>
      <w:pPr>
        <w:ind w:right="120"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17.05</w:t>
      </w:r>
      <w:r>
        <w:rPr>
          <w:rFonts w:ascii="Times New Roman" w:cs="Times New Roman" w:eastAsia="Times New Roman" w:hAnsi="Times New Roman"/>
          <w:sz w:val="18"/>
          <w:szCs w:val="18"/>
          <w:i w:val="1"/>
          <w:iCs w:val="1"/>
          <w:color w:val="auto"/>
        </w:rPr>
        <w:t>. Evidence of Compliance with Conditions Precedent; Certificates and Opinions of Counsel to Trustee.</w:t>
      </w:r>
      <w:r>
        <w:rPr>
          <w:rFonts w:ascii="Times New Roman" w:cs="Times New Roman" w:eastAsia="Times New Roman" w:hAnsi="Times New Roman"/>
          <w:sz w:val="18"/>
          <w:szCs w:val="18"/>
          <w:color w:val="auto"/>
        </w:rPr>
        <w:t xml:space="preserv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spacing w:after="0" w:line="180" w:lineRule="exact"/>
        <w:rPr>
          <w:sz w:val="20"/>
          <w:szCs w:val="20"/>
          <w:color w:val="auto"/>
        </w:rPr>
      </w:pPr>
    </w:p>
    <w:p>
      <w:pPr>
        <w:ind w:right="20" w:firstLine="431"/>
        <w:spacing w:after="0" w:line="247" w:lineRule="auto"/>
        <w:rPr>
          <w:sz w:val="20"/>
          <w:szCs w:val="20"/>
          <w:color w:val="auto"/>
        </w:rPr>
      </w:pPr>
      <w:r>
        <w:rPr>
          <w:rFonts w:ascii="Times New Roman" w:cs="Times New Roman" w:eastAsia="Times New Roman" w:hAnsi="Times New Roman"/>
          <w:sz w:val="18"/>
          <w:szCs w:val="18"/>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190" w:lineRule="exact"/>
        <w:rPr>
          <w:sz w:val="20"/>
          <w:szCs w:val="20"/>
          <w:color w:val="auto"/>
        </w:rPr>
      </w:pPr>
    </w:p>
    <w:p>
      <w:pPr>
        <w:ind w:right="100" w:firstLine="431"/>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78"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Section 17.06</w:t>
      </w:r>
      <w:r>
        <w:rPr>
          <w:rFonts w:ascii="Times New Roman" w:cs="Times New Roman" w:eastAsia="Times New Roman" w:hAnsi="Times New Roman"/>
          <w:sz w:val="18"/>
          <w:szCs w:val="18"/>
          <w:i w:val="1"/>
          <w:iCs w:val="1"/>
          <w:color w:val="auto"/>
        </w:rPr>
        <w:t>. Legal Holidays.</w:t>
      </w:r>
      <w:r>
        <w:rPr>
          <w:rFonts w:ascii="Times New Roman" w:cs="Times New Roman" w:eastAsia="Times New Roman" w:hAnsi="Times New Roman"/>
          <w:sz w:val="18"/>
          <w:szCs w:val="18"/>
          <w:color w:val="auto"/>
        </w:rPr>
        <w:t xml:space="preserve"> In any case where any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spacing w:after="0" w:line="185" w:lineRule="exact"/>
        <w:rPr>
          <w:sz w:val="20"/>
          <w:szCs w:val="20"/>
          <w:color w:val="auto"/>
        </w:rPr>
      </w:pPr>
    </w:p>
    <w:p>
      <w:pPr>
        <w:ind w:right="380" w:firstLine="431"/>
        <w:spacing w:after="0" w:line="302" w:lineRule="auto"/>
        <w:rPr>
          <w:sz w:val="20"/>
          <w:szCs w:val="20"/>
          <w:color w:val="auto"/>
        </w:rPr>
      </w:pPr>
      <w:r>
        <w:rPr>
          <w:rFonts w:ascii="Times New Roman" w:cs="Times New Roman" w:eastAsia="Times New Roman" w:hAnsi="Times New Roman"/>
          <w:sz w:val="17"/>
          <w:szCs w:val="17"/>
          <w:color w:val="auto"/>
        </w:rPr>
        <w:t>Section 17.07</w:t>
      </w:r>
      <w:r>
        <w:rPr>
          <w:rFonts w:ascii="Times New Roman" w:cs="Times New Roman" w:eastAsia="Times New Roman" w:hAnsi="Times New Roman"/>
          <w:sz w:val="17"/>
          <w:szCs w:val="17"/>
          <w:i w:val="1"/>
          <w:iCs w:val="1"/>
          <w:color w:val="auto"/>
        </w:rPr>
        <w:t>. No Security Interest Created.</w:t>
      </w:r>
      <w:r>
        <w:rPr>
          <w:rFonts w:ascii="Times New Roman" w:cs="Times New Roman" w:eastAsia="Times New Roman" w:hAnsi="Times New Roman"/>
          <w:sz w:val="17"/>
          <w:szCs w:val="17"/>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760"/>
          </w:cols>
          <w:pgMar w:left="560" w:top="264" w:right="579" w:bottom="1440" w:gutter="0" w:footer="0" w:header="0"/>
        </w:sectPr>
      </w:pPr>
    </w:p>
    <w:bookmarkStart w:id="109" w:name="page110"/>
    <w:bookmarkEnd w:id="109"/>
    <w:p>
      <w:pPr>
        <w:ind w:right="120"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17.08</w:t>
      </w:r>
      <w:r>
        <w:rPr>
          <w:rFonts w:ascii="Times New Roman" w:cs="Times New Roman" w:eastAsia="Times New Roman" w:hAnsi="Times New Roman"/>
          <w:sz w:val="18"/>
          <w:szCs w:val="18"/>
          <w:i w:val="1"/>
          <w:iCs w:val="1"/>
          <w:color w:val="auto"/>
        </w:rPr>
        <w:t>. Benefits of Indenture.</w:t>
      </w:r>
      <w:r>
        <w:rPr>
          <w:rFonts w:ascii="Times New Roman" w:cs="Times New Roman" w:eastAsia="Times New Roman" w:hAnsi="Times New Roman"/>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78" w:lineRule="exact"/>
        <w:rPr>
          <w:sz w:val="20"/>
          <w:szCs w:val="20"/>
          <w:color w:val="auto"/>
        </w:rPr>
      </w:pPr>
    </w:p>
    <w:p>
      <w:pPr>
        <w:ind w:right="240" w:firstLine="431"/>
        <w:spacing w:after="0" w:line="258" w:lineRule="auto"/>
        <w:rPr>
          <w:sz w:val="20"/>
          <w:szCs w:val="20"/>
          <w:color w:val="auto"/>
        </w:rPr>
      </w:pPr>
      <w:r>
        <w:rPr>
          <w:rFonts w:ascii="Times New Roman" w:cs="Times New Roman" w:eastAsia="Times New Roman" w:hAnsi="Times New Roman"/>
          <w:sz w:val="18"/>
          <w:szCs w:val="18"/>
          <w:color w:val="auto"/>
        </w:rPr>
        <w:t>Section 17.09</w:t>
      </w:r>
      <w:r>
        <w:rPr>
          <w:rFonts w:ascii="Times New Roman" w:cs="Times New Roman" w:eastAsia="Times New Roman" w:hAnsi="Times New Roman"/>
          <w:sz w:val="18"/>
          <w:szCs w:val="18"/>
          <w:i w:val="1"/>
          <w:iCs w:val="1"/>
          <w:color w:val="auto"/>
        </w:rPr>
        <w:t>. Table of Contents, Headings, Etc.</w:t>
      </w:r>
      <w:r>
        <w:rPr>
          <w:rFonts w:ascii="Times New Roman" w:cs="Times New Roman" w:eastAsia="Times New Roman" w:hAnsi="Times New Roman"/>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78" w:lineRule="exact"/>
        <w:rPr>
          <w:sz w:val="20"/>
          <w:szCs w:val="20"/>
          <w:color w:val="auto"/>
        </w:rPr>
      </w:pPr>
    </w:p>
    <w:p>
      <w:pPr>
        <w:ind w:firstLine="431"/>
        <w:spacing w:after="0" w:line="248" w:lineRule="auto"/>
        <w:rPr>
          <w:sz w:val="20"/>
          <w:szCs w:val="20"/>
          <w:color w:val="auto"/>
        </w:rPr>
      </w:pPr>
      <w:r>
        <w:rPr>
          <w:rFonts w:ascii="Times New Roman" w:cs="Times New Roman" w:eastAsia="Times New Roman" w:hAnsi="Times New Roman"/>
          <w:sz w:val="18"/>
          <w:szCs w:val="18"/>
          <w:color w:val="auto"/>
        </w:rPr>
        <w:t>Section 17.10</w:t>
      </w:r>
      <w:r>
        <w:rPr>
          <w:rFonts w:ascii="Times New Roman" w:cs="Times New Roman" w:eastAsia="Times New Roman" w:hAnsi="Times New Roman"/>
          <w:sz w:val="18"/>
          <w:szCs w:val="18"/>
          <w:i w:val="1"/>
          <w:iCs w:val="1"/>
          <w:color w:val="auto"/>
        </w:rPr>
        <w:t>. Authenticating Agent.</w:t>
      </w:r>
      <w:r>
        <w:rPr>
          <w:rFonts w:ascii="Times New Roman" w:cs="Times New Roman" w:eastAsia="Times New Roman" w:hAnsi="Times New Roman"/>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92" w:lineRule="exact"/>
        <w:rPr>
          <w:sz w:val="20"/>
          <w:szCs w:val="20"/>
          <w:color w:val="auto"/>
        </w:rPr>
      </w:pPr>
    </w:p>
    <w:p>
      <w:pPr>
        <w:ind w:right="80" w:firstLine="431"/>
        <w:spacing w:after="0" w:line="251" w:lineRule="auto"/>
        <w:rPr>
          <w:sz w:val="20"/>
          <w:szCs w:val="20"/>
          <w:color w:val="auto"/>
        </w:rPr>
      </w:pPr>
      <w:r>
        <w:rPr>
          <w:rFonts w:ascii="Times New Roman" w:cs="Times New Roman" w:eastAsia="Times New Roman" w:hAnsi="Times New Roman"/>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85" w:lineRule="exact"/>
        <w:rPr>
          <w:sz w:val="20"/>
          <w:szCs w:val="20"/>
          <w:color w:val="auto"/>
        </w:rPr>
      </w:pPr>
    </w:p>
    <w:p>
      <w:pPr>
        <w:ind w:right="160" w:firstLine="431"/>
        <w:spacing w:after="0" w:line="251"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5" w:lineRule="exact"/>
        <w:rPr>
          <w:sz w:val="20"/>
          <w:szCs w:val="20"/>
          <w:color w:val="auto"/>
        </w:rPr>
      </w:pPr>
    </w:p>
    <w:p>
      <w:pPr>
        <w:ind w:right="280" w:firstLine="431"/>
        <w:spacing w:after="0" w:line="270" w:lineRule="auto"/>
        <w:rPr>
          <w:sz w:val="20"/>
          <w:szCs w:val="20"/>
          <w:color w:val="auto"/>
        </w:rPr>
      </w:pPr>
      <w:r>
        <w:rPr>
          <w:rFonts w:ascii="Times New Roman" w:cs="Times New Roman" w:eastAsia="Times New Roman" w:hAnsi="Times New Roman"/>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760"/>
          </w:cols>
          <w:pgMar w:left="560" w:top="264" w:right="579" w:bottom="1440" w:gutter="0" w:footer="0" w:header="0"/>
        </w:sectPr>
      </w:pPr>
    </w:p>
    <w:bookmarkStart w:id="110" w:name="page111"/>
    <w:bookmarkEnd w:id="11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provisions of Section 7.02, Section 7.03, Section 7.04, Section 8.03 and this Section 17.10 shall be applicable to any authenticating agent.</w:t>
      </w:r>
    </w:p>
    <w:p>
      <w:pPr>
        <w:spacing w:after="0" w:line="216" w:lineRule="exact"/>
        <w:rPr>
          <w:sz w:val="20"/>
          <w:szCs w:val="20"/>
          <w:color w:val="auto"/>
        </w:rPr>
      </w:pPr>
    </w:p>
    <w:p>
      <w:pPr>
        <w:ind w:right="60" w:firstLine="431"/>
        <w:spacing w:after="0" w:line="270" w:lineRule="auto"/>
        <w:rPr>
          <w:sz w:val="20"/>
          <w:szCs w:val="20"/>
          <w:color w:val="auto"/>
        </w:rPr>
      </w:pPr>
      <w:r>
        <w:rPr>
          <w:rFonts w:ascii="Times New Roman" w:cs="Times New Roman" w:eastAsia="Times New Roman" w:hAnsi="Times New Roman"/>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Authenticating Agent, certifies that this is one of the Notes described in the within-named Indenture.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96" w:lineRule="exact"/>
        <w:rPr>
          <w:sz w:val="20"/>
          <w:szCs w:val="20"/>
          <w:color w:val="auto"/>
        </w:rPr>
      </w:pPr>
    </w:p>
    <w:p>
      <w:pPr>
        <w:ind w:right="120" w:firstLine="431"/>
        <w:spacing w:after="0" w:line="250" w:lineRule="auto"/>
        <w:rPr>
          <w:sz w:val="20"/>
          <w:szCs w:val="20"/>
          <w:color w:val="auto"/>
        </w:rPr>
      </w:pPr>
      <w:r>
        <w:rPr>
          <w:rFonts w:ascii="Times New Roman" w:cs="Times New Roman" w:eastAsia="Times New Roman" w:hAnsi="Times New Roman"/>
          <w:sz w:val="18"/>
          <w:szCs w:val="18"/>
          <w:color w:val="auto"/>
        </w:rPr>
        <w:t>Section 17.11</w:t>
      </w:r>
      <w:r>
        <w:rPr>
          <w:rFonts w:ascii="Times New Roman" w:cs="Times New Roman" w:eastAsia="Times New Roman" w:hAnsi="Times New Roman"/>
          <w:sz w:val="18"/>
          <w:szCs w:val="18"/>
          <w:i w:val="1"/>
          <w:iCs w:val="1"/>
          <w:color w:val="auto"/>
        </w:rPr>
        <w:t>. Execution in Counterparts.</w:t>
      </w:r>
      <w:r>
        <w:rPr>
          <w:rFonts w:ascii="Times New Roman" w:cs="Times New Roman" w:eastAsia="Times New Roman" w:hAnsi="Times New Roman"/>
          <w:sz w:val="18"/>
          <w:szCs w:val="18"/>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85" w:lineRule="exact"/>
        <w:rPr>
          <w:sz w:val="20"/>
          <w:szCs w:val="20"/>
          <w:color w:val="auto"/>
        </w:rPr>
      </w:pPr>
    </w:p>
    <w:p>
      <w:pPr>
        <w:ind w:right="460" w:firstLine="431"/>
        <w:spacing w:after="0" w:line="272" w:lineRule="auto"/>
        <w:rPr>
          <w:sz w:val="20"/>
          <w:szCs w:val="20"/>
          <w:color w:val="auto"/>
        </w:rPr>
      </w:pPr>
      <w:r>
        <w:rPr>
          <w:rFonts w:ascii="Times New Roman" w:cs="Times New Roman" w:eastAsia="Times New Roman" w:hAnsi="Times New Roman"/>
          <w:sz w:val="18"/>
          <w:szCs w:val="18"/>
          <w:color w:val="auto"/>
        </w:rPr>
        <w:t>Section 17.12</w:t>
      </w:r>
      <w:r>
        <w:rPr>
          <w:rFonts w:ascii="Times New Roman" w:cs="Times New Roman" w:eastAsia="Times New Roman" w:hAnsi="Times New Roman"/>
          <w:sz w:val="18"/>
          <w:szCs w:val="18"/>
          <w:i w:val="1"/>
          <w:iCs w:val="1"/>
          <w:color w:val="auto"/>
        </w:rPr>
        <w:t>. Severability.</w:t>
      </w:r>
      <w:r>
        <w:rPr>
          <w:rFonts w:ascii="Times New Roman" w:cs="Times New Roman" w:eastAsia="Times New Roman" w:hAnsi="Times New Roman"/>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65" w:lineRule="exact"/>
        <w:rPr>
          <w:sz w:val="20"/>
          <w:szCs w:val="20"/>
          <w:color w:val="auto"/>
        </w:rPr>
      </w:pPr>
    </w:p>
    <w:p>
      <w:pPr>
        <w:ind w:right="260" w:firstLine="431"/>
        <w:spacing w:after="0" w:line="254" w:lineRule="auto"/>
        <w:rPr>
          <w:sz w:val="20"/>
          <w:szCs w:val="20"/>
          <w:color w:val="auto"/>
        </w:rPr>
      </w:pPr>
      <w:r>
        <w:rPr>
          <w:rFonts w:ascii="Times New Roman" w:cs="Times New Roman" w:eastAsia="Times New Roman" w:hAnsi="Times New Roman"/>
          <w:sz w:val="18"/>
          <w:szCs w:val="18"/>
          <w:color w:val="auto"/>
        </w:rPr>
        <w:t>Section 17.13</w:t>
      </w:r>
      <w:r>
        <w:rPr>
          <w:rFonts w:ascii="Times New Roman" w:cs="Times New Roman" w:eastAsia="Times New Roman" w:hAnsi="Times New Roman"/>
          <w:sz w:val="18"/>
          <w:szCs w:val="18"/>
          <w:i w:val="1"/>
          <w:iCs w:val="1"/>
          <w:color w:val="auto"/>
        </w:rPr>
        <w:t>. Waiver of Jury Trial.</w:t>
      </w:r>
      <w:r>
        <w:rPr>
          <w:rFonts w:ascii="Times New Roman" w:cs="Times New Roman" w:eastAsia="Times New Roman" w:hAnsi="Times New Roman"/>
          <w:sz w:val="18"/>
          <w:szCs w:val="18"/>
          <w:color w:val="auto"/>
        </w:rPr>
        <w:t xml:space="preserve"> EACH OF THE COMPANY, THE HOLDERS OF THE NOTES, BY THEIR ACCEPTANCE THEREOF, AND THE TRUSTEE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ind w:firstLine="431"/>
        <w:spacing w:after="0" w:line="250" w:lineRule="auto"/>
        <w:rPr>
          <w:sz w:val="20"/>
          <w:szCs w:val="20"/>
          <w:color w:val="auto"/>
        </w:rPr>
      </w:pPr>
      <w:r>
        <w:rPr>
          <w:rFonts w:ascii="Times New Roman" w:cs="Times New Roman" w:eastAsia="Times New Roman" w:hAnsi="Times New Roman"/>
          <w:sz w:val="18"/>
          <w:szCs w:val="18"/>
          <w:color w:val="auto"/>
        </w:rPr>
        <w:t>Section 17.14</w:t>
      </w:r>
      <w:r>
        <w:rPr>
          <w:rFonts w:ascii="Times New Roman" w:cs="Times New Roman" w:eastAsia="Times New Roman" w:hAnsi="Times New Roman"/>
          <w:sz w:val="18"/>
          <w:szCs w:val="18"/>
          <w:i w:val="1"/>
          <w:iCs w:val="1"/>
          <w:color w:val="auto"/>
        </w:rPr>
        <w:t>. 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760"/>
          </w:cols>
          <w:pgMar w:left="560" w:top="266" w:right="579" w:bottom="1440" w:gutter="0" w:footer="0" w:header="0"/>
        </w:sectPr>
      </w:pPr>
    </w:p>
    <w:bookmarkStart w:id="111" w:name="page112"/>
    <w:bookmarkEnd w:id="111"/>
    <w:p>
      <w:pPr>
        <w:ind w:right="60" w:firstLine="431"/>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Section 17.15</w:t>
      </w:r>
      <w:r>
        <w:rPr>
          <w:rFonts w:ascii="Times New Roman" w:cs="Times New Roman" w:eastAsia="Times New Roman" w:hAnsi="Times New Roman"/>
          <w:sz w:val="18"/>
          <w:szCs w:val="18"/>
          <w:i w:val="1"/>
          <w:iCs w:val="1"/>
          <w:color w:val="auto"/>
        </w:rPr>
        <w:t>. Calculations</w:t>
      </w:r>
      <w:r>
        <w:rPr>
          <w:rFonts w:ascii="Times New Roman" w:cs="Times New Roman" w:eastAsia="Times New Roman" w:hAnsi="Times New Roman"/>
          <w:sz w:val="18"/>
          <w:szCs w:val="18"/>
          <w:color w:val="auto"/>
        </w:rPr>
        <w:t>. Except as otherwise provided herein, the Company shall be responsible for making all calculations called for under this Indenture and the Notes. These calculations include, but are not limited to, determinations of the Last Reported Sale Prices of the Class A Common Stock, the trading price of the Notes (for purposes of determining whether the Notes are convertible as described herein), the Daily VWAPs, the Daily Conversion Values, the Daily Settlement Amounts, accrued interest payable on the Notes, Additional Interest, if any, payable on the Notes,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The Trustee, Paying Agent and Conversion Agent have no responsibility for the calculations under this Indenture or the Notes or to verify the Company’s calculations.</w:t>
      </w:r>
    </w:p>
    <w:p>
      <w:pPr>
        <w:spacing w:after="0" w:line="192" w:lineRule="exact"/>
        <w:rPr>
          <w:sz w:val="20"/>
          <w:szCs w:val="20"/>
          <w:color w:val="auto"/>
        </w:rPr>
      </w:pPr>
    </w:p>
    <w:p>
      <w:pPr>
        <w:ind w:firstLine="431"/>
        <w:spacing w:after="0" w:line="251" w:lineRule="auto"/>
        <w:rPr>
          <w:sz w:val="20"/>
          <w:szCs w:val="20"/>
          <w:color w:val="auto"/>
        </w:rPr>
      </w:pPr>
      <w:r>
        <w:rPr>
          <w:rFonts w:ascii="Times New Roman" w:cs="Times New Roman" w:eastAsia="Times New Roman" w:hAnsi="Times New Roman"/>
          <w:sz w:val="18"/>
          <w:szCs w:val="18"/>
          <w:color w:val="auto"/>
        </w:rPr>
        <w:t xml:space="preserve">Section 17.16.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5" w:lineRule="exact"/>
        <w:rPr>
          <w:sz w:val="20"/>
          <w:szCs w:val="20"/>
          <w:color w:val="auto"/>
        </w:rPr>
      </w:pPr>
    </w:p>
    <w:p>
      <w:pPr>
        <w:ind w:right="180" w:firstLine="431"/>
        <w:spacing w:after="0" w:line="270" w:lineRule="auto"/>
        <w:rPr>
          <w:sz w:val="20"/>
          <w:szCs w:val="20"/>
          <w:color w:val="auto"/>
        </w:rPr>
      </w:pPr>
      <w:r>
        <w:rPr>
          <w:rFonts w:ascii="Times New Roman" w:cs="Times New Roman" w:eastAsia="Times New Roman" w:hAnsi="Times New Roman"/>
          <w:sz w:val="17"/>
          <w:szCs w:val="17"/>
          <w:color w:val="auto"/>
        </w:rPr>
        <w:t xml:space="preserve">Section 17.17. </w:t>
      </w:r>
      <w:r>
        <w:rPr>
          <w:rFonts w:ascii="Times New Roman" w:cs="Times New Roman" w:eastAsia="Times New Roman" w:hAnsi="Times New Roman"/>
          <w:sz w:val="17"/>
          <w:szCs w:val="17"/>
          <w:i w:val="1"/>
          <w:iCs w:val="1"/>
          <w:color w:val="auto"/>
        </w:rPr>
        <w:t>Electronic Signatures</w:t>
      </w:r>
      <w:r>
        <w:rPr>
          <w:rFonts w:ascii="Times New Roman" w:cs="Times New Roman" w:eastAsia="Times New Roman" w:hAnsi="Times New Roman"/>
          <w:sz w:val="17"/>
          <w:szCs w:val="17"/>
          <w:color w:val="auto"/>
        </w:rPr>
        <w:t>. All notices, approvals, consents, requests and any communications hereunder must be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760"/>
          </w:cols>
          <w:pgMar w:left="560" w:top="264" w:right="5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WITNESS WHEREOF, the parties hereto have caused this Indenture to be duly executed as of the date first written above.</w:t>
      </w:r>
    </w:p>
    <w:p>
      <w:pPr>
        <w:spacing w:after="0" w:line="25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XOMETRY, INC.</w:t>
      </w:r>
    </w:p>
    <w:p>
      <w:pPr>
        <w:spacing w:after="0" w:line="2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 /s/ James Miln</w:t>
      </w:r>
    </w:p>
    <w:p>
      <w:pPr>
        <w:spacing w:after="0" w:line="2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James Miln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-130175</wp:posOffset>
            </wp:positionV>
            <wp:extent cx="2540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U.S. BANK TRUST COMPANY,</w:t>
      </w:r>
    </w:p>
    <w:p>
      <w:pPr>
        <w:spacing w:after="0" w:line="2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7"/>
          <w:szCs w:val="17"/>
          <w:color w:val="auto"/>
        </w:rPr>
        <w:t>NATIONAL ASSOCIATION, as Trustee</w:t>
      </w:r>
    </w:p>
    <w:p>
      <w:pPr>
        <w:spacing w:after="0" w:line="20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 /s/ Bradley E. Scarbrough</w:t>
      </w:r>
    </w:p>
    <w:p>
      <w:pPr>
        <w:spacing w:after="0" w:line="2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-130175</wp:posOffset>
            </wp:positionV>
            <wp:extent cx="2540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ind w:left="64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479"/>
          </w:cols>
          <w:pgMar w:left="980" w:top="266" w:right="1440"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[INCLUDE FOLLOWING LEGEND IF A GLOBAL NOTE]</w:t>
      </w:r>
    </w:p>
    <w:p>
      <w:pPr>
        <w:spacing w:after="0" w:line="216" w:lineRule="exact"/>
        <w:rPr>
          <w:sz w:val="20"/>
          <w:szCs w:val="20"/>
          <w:color w:val="auto"/>
        </w:rPr>
      </w:pPr>
    </w:p>
    <w:p>
      <w:pPr>
        <w:ind w:right="60" w:firstLine="431"/>
        <w:spacing w:after="0" w:line="249"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[INCLUDE FOLLOWING LEGEND IF A RESTRICTED SECURITY]</w:t>
      </w:r>
    </w:p>
    <w:p>
      <w:pPr>
        <w:spacing w:after="0" w:line="216" w:lineRule="exact"/>
        <w:rPr>
          <w:sz w:val="20"/>
          <w:szCs w:val="20"/>
          <w:color w:val="auto"/>
        </w:rPr>
      </w:pPr>
    </w:p>
    <w:p>
      <w:pPr>
        <w:ind w:right="140" w:firstLine="431"/>
        <w:spacing w:after="0" w:line="253" w:lineRule="auto"/>
        <w:rPr>
          <w:sz w:val="20"/>
          <w:szCs w:val="20"/>
          <w:color w:val="auto"/>
        </w:rPr>
      </w:pPr>
      <w:r>
        <w:rPr>
          <w:rFonts w:ascii="Times New Roman" w:cs="Times New Roman" w:eastAsia="Times New Roman" w:hAnsi="Times New Roman"/>
          <w:sz w:val="18"/>
          <w:szCs w:val="18"/>
          <w:color w:val="auto"/>
        </w:rPr>
        <w:t>[THIS SECURITY AND THE CLASS A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8" w:lineRule="exact"/>
        <w:rPr>
          <w:sz w:val="20"/>
          <w:szCs w:val="20"/>
          <w:color w:val="auto"/>
        </w:rPr>
      </w:pPr>
    </w:p>
    <w:p>
      <w:pPr>
        <w:ind w:left="420" w:right="480" w:firstLine="421"/>
        <w:spacing w:after="0" w:line="257" w:lineRule="auto"/>
        <w:tabs>
          <w:tab w:leader="none" w:pos="108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4" w:lineRule="exact"/>
        <w:rPr>
          <w:rFonts w:ascii="Times New Roman" w:cs="Times New Roman" w:eastAsia="Times New Roman" w:hAnsi="Times New Roman"/>
          <w:sz w:val="18"/>
          <w:szCs w:val="18"/>
          <w:color w:val="auto"/>
        </w:rPr>
      </w:pPr>
    </w:p>
    <w:p>
      <w:pPr>
        <w:ind w:left="420" w:right="60" w:firstLine="421"/>
        <w:spacing w:after="0" w:line="270" w:lineRule="auto"/>
        <w:tabs>
          <w:tab w:leader="none" w:pos="1083"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FOR THE BENEFIT OF XOMETRY, INC. (THE “COMPANY”) THAT IT WILL NOT OFFER, SELL, PLEDGE OR OTHERWISE TRANSFER THIS SECURITY OR ANY BENEFICIAL INTEREST HEREIN PRIOR TO THE DATE THAT IS THE LATER OF</w:t>
      </w:r>
    </w:p>
    <w:p>
      <w:pPr>
        <w:ind w:left="420" w:right="260" w:firstLine="7"/>
        <w:spacing w:after="0" w:line="247" w:lineRule="auto"/>
        <w:tabs>
          <w:tab w:leader="none" w:pos="70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LAST ORIGINAL ISSUE DATE HEREOF OR SUCH SHORTER PERIOD OF TIME AS PERMITTED BY RULE 144 UNDER THE SECURITIES ACT OR ANY SUCCESSOR PROVISION THERETO AND (Y) SUCH LATER DATE, IF ANY, AS MAY BE REQUIRED BY APPLICABLE LAW, EXCEPT:</w:t>
      </w:r>
    </w:p>
    <w:p>
      <w:pPr>
        <w:spacing w:after="0" w:line="82" w:lineRule="exact"/>
        <w:rPr>
          <w:rFonts w:ascii="Times New Roman" w:cs="Times New Roman" w:eastAsia="Times New Roman" w:hAnsi="Times New Roman"/>
          <w:sz w:val="18"/>
          <w:szCs w:val="18"/>
          <w:color w:val="auto"/>
        </w:rPr>
      </w:pPr>
    </w:p>
    <w:p>
      <w:pPr>
        <w:ind w:left="1640" w:hanging="282"/>
        <w:spacing w:after="0"/>
        <w:tabs>
          <w:tab w:leader="none" w:pos="1640"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OR ANY SUBSIDIARY THEREOF, OR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780"/>
          </w:cols>
          <w:pgMar w:left="560" w:top="264" w:right="559" w:bottom="1440" w:gutter="0" w:footer="0" w:header="0"/>
        </w:sectPr>
      </w:pPr>
    </w:p>
    <w:bookmarkStart w:id="114" w:name="page115"/>
    <w:bookmarkEnd w:id="114"/>
    <w:p>
      <w:pPr>
        <w:ind w:left="1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(B) PURSUANT TO A REGISTRATION STATEMENT THAT HAS BECOME EFFECTIVE UNDER THE SECURITIES ACT,</w:t>
      </w:r>
    </w:p>
    <w:p>
      <w:pPr>
        <w:spacing w:after="0" w:line="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OR</w:t>
      </w:r>
    </w:p>
    <w:p>
      <w:pPr>
        <w:spacing w:after="0" w:line="92" w:lineRule="exact"/>
        <w:rPr>
          <w:sz w:val="20"/>
          <w:szCs w:val="20"/>
          <w:color w:val="auto"/>
        </w:rPr>
      </w:pPr>
    </w:p>
    <w:p>
      <w:pPr>
        <w:ind w:left="960" w:firstLine="398"/>
        <w:spacing w:after="0" w:line="270" w:lineRule="auto"/>
        <w:tabs>
          <w:tab w:leader="none" w:pos="163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PERSON IT REASONABLY BELIEVES TO BE A QUALIFIED INSTITUTIONAL BUYER IN COMPLIANCE WITH RULE 144A UNDER THE SECURITIES ACT, OR</w:t>
      </w:r>
    </w:p>
    <w:p>
      <w:pPr>
        <w:spacing w:after="0" w:line="62" w:lineRule="exact"/>
        <w:rPr>
          <w:rFonts w:ascii="Times New Roman" w:cs="Times New Roman" w:eastAsia="Times New Roman" w:hAnsi="Times New Roman"/>
          <w:sz w:val="18"/>
          <w:szCs w:val="18"/>
          <w:color w:val="auto"/>
        </w:rPr>
      </w:pPr>
    </w:p>
    <w:p>
      <w:pPr>
        <w:ind w:left="960" w:right="140" w:firstLine="398"/>
        <w:spacing w:after="0" w:line="257" w:lineRule="auto"/>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EXEMPTION FROM REGISTRATION PROVIDED BY RULE 144 UNDER THE SECURITIES ACT (IF AVAILABLE) OR ANY OTHER AVAILABLE EXEMPTION FROM THE REGISTRATION REQUIREMENTS OF THE SECURITIES ACT.</w:t>
      </w:r>
    </w:p>
    <w:p>
      <w:pPr>
        <w:spacing w:after="0" w:line="180" w:lineRule="exact"/>
        <w:rPr>
          <w:sz w:val="20"/>
          <w:szCs w:val="20"/>
          <w:color w:val="auto"/>
        </w:rPr>
      </w:pPr>
    </w:p>
    <w:p>
      <w:pPr>
        <w:jc w:val="both"/>
        <w:ind w:right="120" w:firstLine="431"/>
        <w:spacing w:after="0" w:line="269" w:lineRule="auto"/>
        <w:rPr>
          <w:sz w:val="20"/>
          <w:szCs w:val="20"/>
          <w:color w:val="auto"/>
        </w:rPr>
      </w:pPr>
      <w:r>
        <w:rPr>
          <w:rFonts w:ascii="Times New Roman" w:cs="Times New Roman" w:eastAsia="Times New Roman" w:hAnsi="Times New Roman"/>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700"/>
          </w:cols>
          <w:pgMar w:left="560" w:top="266" w:right="639" w:bottom="1440" w:gutter="0" w:footer="0" w:header="0"/>
        </w:sectPr>
      </w:pPr>
    </w:p>
    <w:bookmarkStart w:id="115" w:name="page116"/>
    <w:bookmarkEnd w:id="115"/>
    <w:p>
      <w:pPr>
        <w:jc w:val="center"/>
        <w:ind w:right="17"/>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Xometry, Inc.</w:t>
      </w:r>
    </w:p>
    <w:p>
      <w:pPr>
        <w:spacing w:after="0" w:line="110"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7"/>
          <w:szCs w:val="17"/>
          <w:color w:val="auto"/>
        </w:rPr>
        <w:t>0.75 % Convertible Senior Note due 2030</w:t>
      </w:r>
    </w:p>
    <w:p>
      <w:pPr>
        <w:sectPr>
          <w:pgSz w:w="11900" w:h="16838" w:orient="portrait"/>
          <w:cols w:equalWidth="0" w:num="1">
            <w:col w:w="10783"/>
          </w:cols>
          <w:pgMar w:left="557" w:top="266" w:right="559" w:bottom="1440" w:gutter="0" w:footer="0" w:header="0"/>
        </w:sectPr>
      </w:pPr>
    </w:p>
    <w:p>
      <w:pPr>
        <w:spacing w:after="0" w:line="2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[Initially]</w:t>
      </w:r>
      <w:r>
        <w:rPr>
          <w:rFonts w:ascii="Times New Roman" w:cs="Times New Roman" w:eastAsia="Times New Roman" w:hAnsi="Times New Roman"/>
          <w:sz w:val="12"/>
          <w:szCs w:val="12"/>
          <w:color w:val="auto"/>
        </w:rPr>
        <w:t>1</w:t>
      </w:r>
      <w:r>
        <w:rPr>
          <w:rFonts w:ascii="Times New Roman" w:cs="Times New Roman" w:eastAsia="Times New Roman" w:hAnsi="Times New Roman"/>
          <w:sz w:val="16"/>
          <w:szCs w:val="16"/>
          <w:color w:val="auto"/>
        </w:rPr>
        <w:t xml:space="preserve"> $[_____________]</w:t>
      </w:r>
    </w:p>
    <w:p>
      <w:pPr>
        <w:spacing w:after="0" w:line="211" w:lineRule="exact"/>
        <w:rPr>
          <w:sz w:val="20"/>
          <w:szCs w:val="20"/>
          <w:color w:val="auto"/>
        </w:rPr>
      </w:pPr>
    </w:p>
    <w:p>
      <w:pPr>
        <w:sectPr>
          <w:pgSz w:w="11900" w:h="16838" w:orient="portrait"/>
          <w:cols w:equalWidth="0" w:num="2">
            <w:col w:w="7923" w:space="720"/>
            <w:col w:w="2140"/>
          </w:cols>
          <w:pgMar w:left="557" w:top="266" w:right="559" w:bottom="1440" w:gutter="0" w:footer="0" w:header="0"/>
          <w:type w:val="continuous"/>
        </w:sectPr>
      </w:pP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CUSIP No. 98423F AC3</w:t>
      </w:r>
      <w:r>
        <w:rPr>
          <w:rFonts w:ascii="Times New Roman" w:cs="Times New Roman" w:eastAsia="Times New Roman" w:hAnsi="Times New Roman"/>
          <w:sz w:val="12"/>
          <w:szCs w:val="12"/>
          <w:color w:val="auto"/>
        </w:rPr>
        <w:t>2</w:t>
      </w:r>
    </w:p>
    <w:p>
      <w:pPr>
        <w:sectPr>
          <w:pgSz w:w="11900" w:h="16838" w:orient="portrait"/>
          <w:cols w:equalWidth="0" w:num="1">
            <w:col w:w="10783"/>
          </w:cols>
          <w:pgMar w:left="557" w:top="266" w:right="559" w:bottom="1440" w:gutter="0" w:footer="0" w:header="0"/>
          <w:type w:val="continuous"/>
        </w:sectPr>
      </w:pPr>
    </w:p>
    <w:p>
      <w:pPr>
        <w:spacing w:after="0" w:line="237" w:lineRule="exact"/>
        <w:rPr>
          <w:sz w:val="20"/>
          <w:szCs w:val="20"/>
          <w:color w:val="auto"/>
        </w:rPr>
      </w:pPr>
    </w:p>
    <w:p>
      <w:pPr>
        <w:ind w:left="3" w:right="160" w:firstLine="431"/>
        <w:spacing w:after="0" w:line="214" w:lineRule="auto"/>
        <w:rPr>
          <w:sz w:val="20"/>
          <w:szCs w:val="20"/>
          <w:color w:val="auto"/>
        </w:rPr>
      </w:pPr>
      <w:r>
        <w:rPr>
          <w:rFonts w:ascii="Times New Roman" w:cs="Times New Roman" w:eastAsia="Times New Roman" w:hAnsi="Times New Roman"/>
          <w:sz w:val="17"/>
          <w:szCs w:val="17"/>
          <w:color w:val="auto"/>
        </w:rPr>
        <w:t>Xometry, Inc., a corporation duly organized and validly existing under the laws of the State of Delaware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or other entity under the Indenture referred to on the reverse hereof), for value received hereby promises to pay to [CEDE &amp; CO.]</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xml:space="preserve"> [_______]</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or registered assigns, the principal sum [as set forth in the “Schedule of Exchanges of Notes” attached hereto]</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xml:space="preserve"> [of $[_______]]</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which amount, taken together with the principal amounts of all other outstanding Notes, shall not, unless permitted by the Indenture, exceed</w:t>
      </w:r>
    </w:p>
    <w:p>
      <w:pPr>
        <w:spacing w:after="0" w:line="3" w:lineRule="exact"/>
        <w:rPr>
          <w:sz w:val="20"/>
          <w:szCs w:val="20"/>
          <w:color w:val="auto"/>
        </w:rPr>
      </w:pPr>
    </w:p>
    <w:p>
      <w:pPr>
        <w:ind w:left="3" w:right="120"/>
        <w:spacing w:after="0" w:line="249" w:lineRule="auto"/>
        <w:rPr>
          <w:sz w:val="20"/>
          <w:szCs w:val="20"/>
          <w:color w:val="auto"/>
        </w:rPr>
      </w:pPr>
      <w:r>
        <w:rPr>
          <w:rFonts w:ascii="Times New Roman" w:cs="Times New Roman" w:eastAsia="Times New Roman" w:hAnsi="Times New Roman"/>
          <w:sz w:val="18"/>
          <w:szCs w:val="18"/>
          <w:color w:val="auto"/>
        </w:rPr>
        <w:t>$250,000,000 in aggregate at any time, in accordance with the rules and applicable procedures of the Depositary, on June 15, 2030, and interest thereon as set forth below.</w:t>
      </w:r>
    </w:p>
    <w:p>
      <w:pPr>
        <w:spacing w:after="0" w:line="187"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8"/>
          <w:szCs w:val="18"/>
          <w:color w:val="auto"/>
        </w:rPr>
        <w:t>This Note shall bear interest at the rate of 0.75% per year from June 12, 2025, or from the most recent date to which interest has been paid or</w:t>
      </w:r>
    </w:p>
    <w:p>
      <w:pPr>
        <w:spacing w:after="0" w:line="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provided for to, but excluding, the next scheduled Interest Payment Date until June 15, 2030. Interest is payable semi-annually in arrears on each</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June 15 and December 15, commencing on December 15, 2025, to Holders of record at the close of business on the preceding June 1 and December 1</w:t>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(whether or not such day is a Business Day), respectively. Additional Interest will be payable as set forth in Section 4.06(d), Section 4.06(e) and</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Section 6.03 of the within-mentioned Indenture, and any reference to interest on, or in respect of, any Note therein shall be deemed to include Additional</w:t>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Interest if, in such context, Additional Interest is, was or would be payable pursuant to any of such Section 4.06(d), Section 4.06(e) or Section 6.03, and</w:t>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any express mention of the payment of Additional Interest in any provision therein shall not be construed as excluding Additional Interest in those</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provisions thereof where such express mention is not made.</w:t>
      </w:r>
    </w:p>
    <w:p>
      <w:pPr>
        <w:spacing w:after="0" w:line="198" w:lineRule="exact"/>
        <w:rPr>
          <w:sz w:val="20"/>
          <w:szCs w:val="20"/>
          <w:color w:val="auto"/>
        </w:rPr>
      </w:pPr>
    </w:p>
    <w:p>
      <w:pPr>
        <w:ind w:left="3" w:right="40" w:firstLine="431"/>
        <w:spacing w:after="0" w:line="257" w:lineRule="auto"/>
        <w:rPr>
          <w:sz w:val="20"/>
          <w:szCs w:val="20"/>
          <w:color w:val="auto"/>
        </w:rPr>
      </w:pPr>
      <w:r>
        <w:rPr>
          <w:rFonts w:ascii="Times New Roman" w:cs="Times New Roman" w:eastAsia="Times New Roman" w:hAnsi="Times New Roman"/>
          <w:sz w:val="18"/>
          <w:szCs w:val="18"/>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46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64" w:lineRule="exact"/>
        <w:rPr>
          <w:sz w:val="20"/>
          <w:szCs w:val="20"/>
          <w:color w:val="auto"/>
        </w:rPr>
      </w:pPr>
    </w:p>
    <w:p>
      <w:pPr>
        <w:ind w:left="423" w:hanging="423"/>
        <w:spacing w:after="0"/>
        <w:tabs>
          <w:tab w:leader="none" w:pos="423" w:val="left"/>
        </w:tabs>
        <w:numPr>
          <w:ilvl w:val="0"/>
          <w:numId w:val="1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if a global note.</w:t>
      </w:r>
    </w:p>
    <w:p>
      <w:pPr>
        <w:spacing w:after="0" w:line="2" w:lineRule="exact"/>
        <w:rPr>
          <w:sz w:val="20"/>
          <w:szCs w:val="20"/>
          <w:color w:val="auto"/>
        </w:rPr>
      </w:pPr>
    </w:p>
    <w:p>
      <w:pPr>
        <w:ind w:left="423" w:right="140" w:hanging="423"/>
        <w:spacing w:after="0" w:line="219" w:lineRule="auto"/>
        <w:tabs>
          <w:tab w:leader="none" w:pos="423" w:val="left"/>
        </w:tabs>
        <w:numPr>
          <w:ilvl w:val="0"/>
          <w:numId w:val="1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This Note will be deemed to be identified by CUSIP No. 98423F AD1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ind w:left="423" w:hanging="423"/>
        <w:spacing w:after="0" w:line="186" w:lineRule="auto"/>
        <w:tabs>
          <w:tab w:leader="none" w:pos="423" w:val="left"/>
        </w:tabs>
        <w:numPr>
          <w:ilvl w:val="0"/>
          <w:numId w:val="1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if a global note.</w:t>
      </w:r>
    </w:p>
    <w:p>
      <w:pPr>
        <w:ind w:left="423" w:hanging="423"/>
        <w:spacing w:after="0" w:line="184" w:lineRule="auto"/>
        <w:tabs>
          <w:tab w:leader="none" w:pos="423"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if a physical note.</w:t>
      </w:r>
    </w:p>
    <w:p>
      <w:pPr>
        <w:ind w:left="423" w:hanging="423"/>
        <w:spacing w:after="0" w:line="184" w:lineRule="auto"/>
        <w:tabs>
          <w:tab w:leader="none" w:pos="423" w:val="left"/>
        </w:tabs>
        <w:numPr>
          <w:ilvl w:val="0"/>
          <w:numId w:val="1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if a global note.</w:t>
      </w:r>
    </w:p>
    <w:p>
      <w:pPr>
        <w:ind w:left="423" w:hanging="423"/>
        <w:spacing w:after="0" w:line="184" w:lineRule="auto"/>
        <w:tabs>
          <w:tab w:leader="none" w:pos="423" w:val="left"/>
        </w:tabs>
        <w:numPr>
          <w:ilvl w:val="0"/>
          <w:numId w:val="1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if a physical note.</w:t>
      </w:r>
    </w:p>
    <w:p>
      <w:pPr>
        <w:spacing w:after="0" w:line="128"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783"/>
          </w:cols>
          <w:pgMar w:left="557" w:top="266" w:right="559" w:bottom="1440" w:gutter="0" w:footer="0" w:header="0"/>
          <w:type w:val="continuous"/>
        </w:sectPr>
      </w:pPr>
    </w:p>
    <w:bookmarkStart w:id="116" w:name="page117"/>
    <w:bookmarkEnd w:id="116"/>
    <w:p>
      <w:pPr>
        <w:ind w:right="60" w:firstLine="43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as a place in the continental United States of America where Notes may be presented for payment or for registration of transfer and exchange.</w:t>
      </w:r>
    </w:p>
    <w:p>
      <w:pPr>
        <w:spacing w:after="0" w:line="172" w:lineRule="exact"/>
        <w:rPr>
          <w:sz w:val="20"/>
          <w:szCs w:val="20"/>
          <w:color w:val="auto"/>
        </w:rPr>
      </w:pPr>
    </w:p>
    <w:p>
      <w:pPr>
        <w:ind w:right="20" w:firstLine="431"/>
        <w:spacing w:after="0" w:line="253"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including, without limitation, provisions giving the Holder of this Note the right to convert this Note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182" w:lineRule="exact"/>
        <w:rPr>
          <w:sz w:val="20"/>
          <w:szCs w:val="20"/>
          <w:color w:val="auto"/>
        </w:rPr>
      </w:pPr>
    </w:p>
    <w:p>
      <w:pPr>
        <w:ind w:right="700" w:firstLine="431"/>
        <w:spacing w:after="0" w:line="272" w:lineRule="auto"/>
        <w:rPr>
          <w:sz w:val="20"/>
          <w:szCs w:val="20"/>
          <w:color w:val="auto"/>
        </w:rPr>
      </w:pPr>
      <w:r>
        <w:rPr>
          <w:rFonts w:ascii="Times New Roman" w:cs="Times New Roman" w:eastAsia="Times New Roman" w:hAnsi="Times New Roman"/>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case of any conflict between this Note and the Indenture, the provisions of the Indenture shall control and govern.</w:t>
      </w:r>
    </w:p>
    <w:p>
      <w:pPr>
        <w:spacing w:after="0" w:line="216"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760"/>
          </w:cols>
          <w:pgMar w:left="560" w:top="266" w:right="579" w:bottom="1440" w:gutter="0" w:footer="0" w:header="0"/>
        </w:sectPr>
      </w:pPr>
    </w:p>
    <w:bookmarkStart w:id="117" w:name="page118"/>
    <w:bookmarkEnd w:id="11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WITNESS WHEREOF, the Company has caused this Note to be duly executed.</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XOMETRY, INC.</w:t>
      </w:r>
    </w:p>
    <w:p>
      <w:pPr>
        <w:spacing w:after="0" w:line="2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-130175</wp:posOffset>
            </wp:positionV>
            <wp:extent cx="2540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Trustee, certifies that this is one of the Notes described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within-named Indenture.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-130175</wp:posOffset>
            </wp:positionV>
            <wp:extent cx="2540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9899"/>
          </w:cols>
          <w:pgMar w:left="560" w:top="266" w:right="1440"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[FORM OF REVERSE OF NOTE]</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Xometry, Inc.</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0.75% Convertible Senior Note due 2030</w:t>
      </w:r>
    </w:p>
    <w:p>
      <w:pPr>
        <w:spacing w:after="0" w:line="214" w:lineRule="exact"/>
        <w:rPr>
          <w:sz w:val="20"/>
          <w:szCs w:val="20"/>
          <w:color w:val="auto"/>
        </w:rPr>
      </w:pPr>
    </w:p>
    <w:p>
      <w:pPr>
        <w:ind w:right="40" w:firstLine="431"/>
        <w:spacing w:after="0" w:line="249"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Company, designated as its 0.75% Convertible Senior Notes due 2030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to the aggregate principal amount of $250,000,000, all issued or to be issued under and pursuant to an Indenture dated as of June 12,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between the Company and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89" w:lineRule="exact"/>
        <w:rPr>
          <w:sz w:val="20"/>
          <w:szCs w:val="20"/>
          <w:color w:val="auto"/>
        </w:rPr>
      </w:pPr>
    </w:p>
    <w:p>
      <w:pPr>
        <w:ind w:firstLine="431"/>
        <w:spacing w:after="0" w:line="257" w:lineRule="auto"/>
        <w:rPr>
          <w:sz w:val="20"/>
          <w:szCs w:val="20"/>
          <w:color w:val="auto"/>
        </w:rPr>
      </w:pPr>
      <w:r>
        <w:rPr>
          <w:rFonts w:ascii="Times New Roman" w:cs="Times New Roman" w:eastAsia="Times New Roman" w:hAnsi="Times New Roman"/>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0" w:lineRule="exact"/>
        <w:rPr>
          <w:sz w:val="20"/>
          <w:szCs w:val="20"/>
          <w:color w:val="auto"/>
        </w:rPr>
      </w:pPr>
    </w:p>
    <w:p>
      <w:pPr>
        <w:ind w:right="200" w:firstLine="431"/>
        <w:spacing w:after="0" w:line="273" w:lineRule="auto"/>
        <w:rPr>
          <w:sz w:val="20"/>
          <w:szCs w:val="20"/>
          <w:color w:val="auto"/>
        </w:rPr>
      </w:pPr>
      <w:r>
        <w:rPr>
          <w:rFonts w:ascii="Times New Roman" w:cs="Times New Roman" w:eastAsia="Times New Roman" w:hAnsi="Times New Roman"/>
          <w:sz w:val="17"/>
          <w:szCs w:val="17"/>
          <w:color w:val="auto"/>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67" w:lineRule="exact"/>
        <w:rPr>
          <w:sz w:val="20"/>
          <w:szCs w:val="20"/>
          <w:color w:val="auto"/>
        </w:rPr>
      </w:pPr>
    </w:p>
    <w:p>
      <w:pPr>
        <w:ind w:right="160" w:firstLine="431"/>
        <w:spacing w:after="0" w:line="250" w:lineRule="auto"/>
        <w:rPr>
          <w:sz w:val="20"/>
          <w:szCs w:val="20"/>
          <w:color w:val="auto"/>
        </w:rPr>
      </w:pPr>
      <w:r>
        <w:rPr>
          <w:rFonts w:ascii="Times New Roman" w:cs="Times New Roman" w:eastAsia="Times New Roman" w:hAnsi="Times New Roman"/>
          <w:sz w:val="18"/>
          <w:szCs w:val="18"/>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85" w:lineRule="exact"/>
        <w:rPr>
          <w:sz w:val="20"/>
          <w:szCs w:val="20"/>
          <w:color w:val="auto"/>
        </w:rPr>
      </w:pPr>
    </w:p>
    <w:p>
      <w:pPr>
        <w:ind w:right="140" w:firstLine="431"/>
        <w:spacing w:after="0" w:line="253" w:lineRule="auto"/>
        <w:rPr>
          <w:sz w:val="20"/>
          <w:szCs w:val="20"/>
          <w:color w:val="auto"/>
        </w:rPr>
      </w:pPr>
      <w:r>
        <w:rPr>
          <w:rFonts w:ascii="Times New Roman" w:cs="Times New Roman" w:eastAsia="Times New Roman" w:hAnsi="Times New Roman"/>
          <w:sz w:val="18"/>
          <w:szCs w:val="18"/>
          <w:color w:val="auto"/>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Class A Common Stock, as the case may be, herein prescribed.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720"/>
          </w:cols>
          <w:pgMar w:left="560" w:top="266" w:right="619" w:bottom="1440" w:gutter="0" w:footer="0" w:header="0"/>
        </w:sectPr>
      </w:pPr>
    </w:p>
    <w:bookmarkStart w:id="119" w:name="page120"/>
    <w:bookmarkEnd w:id="119"/>
    <w:p>
      <w:pPr>
        <w:ind w:firstLine="431"/>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85" w:lineRule="exact"/>
        <w:rPr>
          <w:sz w:val="20"/>
          <w:szCs w:val="20"/>
          <w:color w:val="auto"/>
        </w:rPr>
      </w:pPr>
    </w:p>
    <w:p>
      <w:pPr>
        <w:ind w:right="420" w:firstLine="431"/>
        <w:spacing w:after="0" w:line="270" w:lineRule="auto"/>
        <w:rPr>
          <w:sz w:val="20"/>
          <w:szCs w:val="20"/>
          <w:color w:val="auto"/>
        </w:rPr>
      </w:pPr>
      <w:r>
        <w:rPr>
          <w:rFonts w:ascii="Times New Roman" w:cs="Times New Roman" w:eastAsia="Times New Roman" w:hAnsi="Times New Roman"/>
          <w:sz w:val="18"/>
          <w:szCs w:val="18"/>
          <w:color w:val="auto"/>
        </w:rPr>
        <w:t>The Notes shall be redeemable at the Company’s option on or after June 20, 2028 in accordance with the terms and subject to the conditions specified in the Indenture. No sinking fund is provided for the Notes.</w:t>
      </w:r>
    </w:p>
    <w:p>
      <w:pPr>
        <w:spacing w:after="0" w:line="168" w:lineRule="exact"/>
        <w:rPr>
          <w:sz w:val="20"/>
          <w:szCs w:val="20"/>
          <w:color w:val="auto"/>
        </w:rPr>
      </w:pPr>
    </w:p>
    <w:p>
      <w:pPr>
        <w:ind w:right="60" w:firstLine="431"/>
        <w:spacing w:after="0" w:line="257" w:lineRule="auto"/>
        <w:rPr>
          <w:sz w:val="20"/>
          <w:szCs w:val="20"/>
          <w:color w:val="auto"/>
        </w:rPr>
      </w:pPr>
      <w:r>
        <w:rPr>
          <w:rFonts w:ascii="Times New Roman" w:cs="Times New Roman" w:eastAsia="Times New Roman" w:hAnsi="Times New Roman"/>
          <w:sz w:val="18"/>
          <w:szCs w:val="18"/>
          <w:color w:val="auto"/>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80" w:lineRule="exact"/>
        <w:rPr>
          <w:sz w:val="20"/>
          <w:szCs w:val="20"/>
          <w:color w:val="auto"/>
        </w:rPr>
      </w:pPr>
    </w:p>
    <w:p>
      <w:pPr>
        <w:jc w:val="both"/>
        <w:ind w:right="60" w:firstLine="431"/>
        <w:spacing w:after="0" w:line="251" w:lineRule="auto"/>
        <w:rPr>
          <w:sz w:val="20"/>
          <w:szCs w:val="20"/>
          <w:color w:val="auto"/>
        </w:rPr>
      </w:pPr>
      <w:r>
        <w:rPr>
          <w:rFonts w:ascii="Times New Roman" w:cs="Times New Roman" w:eastAsia="Times New Roman" w:hAnsi="Times New Roman"/>
          <w:sz w:val="18"/>
          <w:szCs w:val="18"/>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Class A Common Stock or a combination of cash and shares of Class A Common Stock, as applicable, at the Conversion Rate specified in the Indenture, as adjusted from time to time as provided in the Indenture.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720"/>
          </w:cols>
          <w:pgMar w:left="560" w:top="266" w:right="619" w:bottom="1440" w:gutter="0" w:footer="0" w:header="0"/>
        </w:sectPr>
      </w:pPr>
    </w:p>
    <w:bookmarkStart w:id="120" w:name="page121"/>
    <w:bookmarkEnd w:id="120"/>
    <w:p>
      <w:pPr>
        <w:jc w:val="center"/>
        <w:ind w:right="-5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ABBREVIATIONS</w:t>
      </w:r>
    </w:p>
    <w:p>
      <w:pPr>
        <w:spacing w:after="0" w:line="216"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The following abbreviations, when used in the inscription of the face of this Note, shall be construed as though they were written out in full according to applicable laws or regulations: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COM = as tenants in common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 GIFT MIN ACT = Uniform Gifts to Minors 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 = Custodian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 ENT = as tenants by the entireties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TEN = joint tenants with right of survivorship and not as tenants in common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260"/>
          </w:cols>
          <w:pgMar w:left="560" w:top="266" w:right="1079" w:bottom="1440" w:gutter="0" w:footer="0" w:header="0"/>
        </w:sectPr>
      </w:pPr>
    </w:p>
    <w:bookmarkStart w:id="121" w:name="page122"/>
    <w:bookmarkEnd w:id="121"/>
    <w:p>
      <w:pPr>
        <w:ind w:left="9563"/>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A</w:t>
      </w:r>
      <w:r>
        <w:rPr>
          <w:rFonts w:ascii="Times New Roman" w:cs="Times New Roman" w:eastAsia="Times New Roman" w:hAnsi="Times New Roman"/>
          <w:sz w:val="25"/>
          <w:szCs w:val="25"/>
          <w:b w:val="1"/>
          <w:bCs w:val="1"/>
          <w:color w:val="auto"/>
          <w:vertAlign w:val="superscript"/>
        </w:rPr>
        <w:t>7</w:t>
      </w:r>
    </w:p>
    <w:p>
      <w:pPr>
        <w:spacing w:after="0" w:line="51" w:lineRule="exact"/>
        <w:rPr>
          <w:sz w:val="20"/>
          <w:szCs w:val="20"/>
          <w:color w:val="auto"/>
        </w:rPr>
      </w:pPr>
    </w:p>
    <w:p>
      <w:pPr>
        <w:ind w:left="3803"/>
        <w:spacing w:after="0"/>
        <w:rPr>
          <w:sz w:val="20"/>
          <w:szCs w:val="20"/>
          <w:color w:val="auto"/>
        </w:rPr>
      </w:pPr>
      <w:r>
        <w:rPr>
          <w:rFonts w:ascii="Times New Roman" w:cs="Times New Roman" w:eastAsia="Times New Roman" w:hAnsi="Times New Roman"/>
          <w:sz w:val="18"/>
          <w:szCs w:val="18"/>
          <w:color w:val="auto"/>
        </w:rPr>
        <w:t>SCHEDULE OF EXCHANGES OF NOTES</w:t>
      </w:r>
    </w:p>
    <w:p>
      <w:pPr>
        <w:spacing w:after="0" w:line="90" w:lineRule="exact"/>
        <w:rPr>
          <w:sz w:val="20"/>
          <w:szCs w:val="20"/>
          <w:color w:val="auto"/>
        </w:rPr>
      </w:pPr>
    </w:p>
    <w:p>
      <w:pPr>
        <w:ind w:left="4903"/>
        <w:spacing w:after="0"/>
        <w:rPr>
          <w:sz w:val="20"/>
          <w:szCs w:val="20"/>
          <w:color w:val="auto"/>
        </w:rPr>
      </w:pPr>
      <w:r>
        <w:rPr>
          <w:rFonts w:ascii="Times New Roman" w:cs="Times New Roman" w:eastAsia="Times New Roman" w:hAnsi="Times New Roman"/>
          <w:sz w:val="18"/>
          <w:szCs w:val="18"/>
          <w:color w:val="auto"/>
        </w:rPr>
        <w:t>Xometry, Inc.</w:t>
      </w:r>
    </w:p>
    <w:p>
      <w:pPr>
        <w:spacing w:after="0" w:line="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0.75% Convertible Senior Notes due 2030</w:t>
      </w:r>
    </w:p>
    <w:p>
      <w:pPr>
        <w:spacing w:after="0" w:line="198" w:lineRule="exact"/>
        <w:rPr>
          <w:sz w:val="20"/>
          <w:szCs w:val="20"/>
          <w:color w:val="auto"/>
        </w:rPr>
      </w:pPr>
    </w:p>
    <w:p>
      <w:pPr>
        <w:ind w:left="423"/>
        <w:spacing w:after="0"/>
        <w:rPr>
          <w:sz w:val="20"/>
          <w:szCs w:val="20"/>
          <w:color w:val="auto"/>
        </w:rPr>
      </w:pPr>
      <w:r>
        <w:rPr>
          <w:rFonts w:ascii="Times New Roman" w:cs="Times New Roman" w:eastAsia="Times New Roman" w:hAnsi="Times New Roman"/>
          <w:sz w:val="17"/>
          <w:szCs w:val="17"/>
          <w:color w:val="auto"/>
        </w:rPr>
        <w:t>The initial principal amount of this Global Note is _______ DOLLARS ($[_________]). The following increases or decreases in this Global Note</w:t>
      </w:r>
    </w:p>
    <w:p>
      <w:pPr>
        <w:spacing w:after="0" w:line="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have been made:</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36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Principal amount</w:t>
            </w: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5"/>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w w:val="98"/>
              </w:rPr>
              <w:t>decrease in</w:t>
            </w:r>
          </w:p>
        </w:tc>
        <w:tc>
          <w:tcPr>
            <w:tcW w:w="12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increase in</w:t>
            </w:r>
          </w:p>
        </w:tc>
        <w:tc>
          <w:tcPr>
            <w:tcW w:w="36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5"/>
        </w:trPr>
        <w:tc>
          <w:tcPr>
            <w:tcW w:w="24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Date of exchange</w:t>
            </w:r>
          </w:p>
        </w:tc>
        <w:tc>
          <w:tcPr>
            <w:tcW w:w="10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principal amount</w:t>
            </w:r>
          </w:p>
        </w:tc>
        <w:tc>
          <w:tcPr>
            <w:tcW w:w="12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principal amount</w:t>
            </w:r>
          </w:p>
        </w:tc>
        <w:tc>
          <w:tcPr>
            <w:tcW w:w="36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following such</w:t>
            </w:r>
          </w:p>
        </w:tc>
        <w:tc>
          <w:tcPr>
            <w:tcW w:w="10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Trustee or</w:t>
            </w:r>
          </w:p>
        </w:tc>
        <w:tc>
          <w:tcPr>
            <w:tcW w:w="0" w:type="dxa"/>
            <w:vAlign w:val="bottom"/>
          </w:tcPr>
          <w:p>
            <w:pPr>
              <w:spacing w:after="0"/>
              <w:rPr>
                <w:sz w:val="1"/>
                <w:szCs w:val="1"/>
                <w:color w:val="auto"/>
              </w:rPr>
            </w:pPr>
          </w:p>
        </w:tc>
      </w:tr>
      <w:tr>
        <w:trPr>
          <w:trHeight w:val="181"/>
        </w:trPr>
        <w:tc>
          <w:tcPr>
            <w:tcW w:w="248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36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decrease or increase</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138"/>
        </w:trPr>
        <w:tc>
          <w:tcPr>
            <w:tcW w:w="1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80" w:type="dxa"/>
            <w:vAlign w:val="bottom"/>
            <w:tcBorders>
              <w:bottom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423" w:hanging="423"/>
        <w:spacing w:after="0" w:line="190" w:lineRule="auto"/>
        <w:tabs>
          <w:tab w:leader="none" w:pos="423" w:val="left"/>
        </w:tabs>
        <w:numPr>
          <w:ilvl w:val="0"/>
          <w:numId w:val="1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if a global note.</w:t>
      </w:r>
    </w:p>
    <w:p>
      <w:pPr>
        <w:spacing w:after="0" w:line="1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783"/>
          </w:cols>
          <w:pgMar w:left="557" w:top="264" w:right="5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ATTACHMENT 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24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633 West Fifth Street, 24th Floor</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Attn: Bradley Scarbrough (Xometry, Inc.)</w:t>
      </w:r>
    </w:p>
    <w:p>
      <w:pPr>
        <w:spacing w:after="0" w:line="198" w:lineRule="exact"/>
        <w:rPr>
          <w:sz w:val="20"/>
          <w:szCs w:val="20"/>
          <w:color w:val="auto"/>
        </w:rPr>
      </w:pPr>
    </w:p>
    <w:p>
      <w:pPr>
        <w:ind w:right="80" w:firstLine="431"/>
        <w:spacing w:after="0" w:line="248" w:lineRule="auto"/>
        <w:rPr>
          <w:sz w:val="20"/>
          <w:szCs w:val="20"/>
          <w:color w:val="auto"/>
        </w:rPr>
      </w:pPr>
      <w:r>
        <w:rPr>
          <w:rFonts w:ascii="Times New Roman" w:cs="Times New Roman" w:eastAsia="Times New Roman" w:hAnsi="Times New Roman"/>
          <w:sz w:val="18"/>
          <w:szCs w:val="18"/>
          <w:color w:val="auto"/>
        </w:rPr>
        <w:t>The undersigned registered owner of this Note hereby exercises the option to convert this Note,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Note, and directs that any cash payable and any shares of Class A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Class A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-10160</wp:posOffset>
            </wp:positionV>
            <wp:extent cx="6520180" cy="301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20180" cy="3016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32194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 Institution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(banks, stock brokers, savings and loan associations and credit unions)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membership in an approved signature guarantee medallion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pursuant to Securities and Exchange Commission Rule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17Ad-15 if shares of Class A Common Stock are to be issued, or 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to be delivered, other than to and in the name of the registered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80"/>
          </w:cols>
          <w:pgMar w:left="560" w:top="264" w:right="5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Fill in for registration of shares if to be issued, and Notes if to be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32194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3219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3219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amount to be converted (if less than all):</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$______,000</w:t>
      </w:r>
    </w:p>
    <w:p>
      <w:pPr>
        <w:spacing w:after="0" w:line="9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NOTICE: The above signature(s) of the Holder(s) hereof must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correspond with the name as written upon the face of the Note in every</w:t>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271780</wp:posOffset>
            </wp:positionV>
            <wp:extent cx="3211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60" w:top="266" w:right="6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ATTACHMENT 2</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[FORM OF FUNDAMENTAL CHANGE REPURCHASE NOTICE]</w:t>
      </w:r>
    </w:p>
    <w:p>
      <w:pPr>
        <w:spacing w:after="0" w:line="24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U.S. Bank Trust Company, National Association</w:t>
      </w:r>
    </w:p>
    <w:p>
      <w:pPr>
        <w:spacing w:after="0" w:line="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633 West Fifth Street, 24th Floor</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Attn: Bradley Scarbrough (Xometry, Inc.)</w:t>
      </w:r>
    </w:p>
    <w:p>
      <w:pPr>
        <w:spacing w:after="0" w:line="196" w:lineRule="exact"/>
        <w:rPr>
          <w:sz w:val="20"/>
          <w:szCs w:val="20"/>
          <w:color w:val="auto"/>
        </w:rPr>
      </w:pPr>
    </w:p>
    <w:p>
      <w:pPr>
        <w:ind w:right="40" w:firstLine="431"/>
        <w:spacing w:after="0" w:line="249" w:lineRule="auto"/>
        <w:rPr>
          <w:sz w:val="20"/>
          <w:szCs w:val="20"/>
          <w:color w:val="auto"/>
        </w:rPr>
      </w:pPr>
      <w:r>
        <w:rPr>
          <w:rFonts w:ascii="Times New Roman" w:cs="Times New Roman" w:eastAsia="Times New Roman" w:hAnsi="Times New Roman"/>
          <w:sz w:val="18"/>
          <w:szCs w:val="18"/>
          <w:color w:val="auto"/>
        </w:rPr>
        <w:t>The undersigned registered owner of this Note hereby acknowledges receipt of a notice from Xometry,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the case of Physical Notes, the certificate numbers of the Notes to be repurchased are as set forth below:</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282575</wp:posOffset>
            </wp:positionV>
            <wp:extent cx="32111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323850</wp:posOffset>
            </wp:positionH>
            <wp:positionV relativeFrom="paragraph">
              <wp:posOffset>-10160</wp:posOffset>
            </wp:positionV>
            <wp:extent cx="1788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211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11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Identification Number</w:t>
      </w:r>
    </w:p>
    <w:p>
      <w:pPr>
        <w:spacing w:after="0" w:line="2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amount to be repaid (if less than all):</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$______,000</w:t>
      </w:r>
    </w:p>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NOTICE: The above signature(s) of the Holder(s) hereof must</w:t>
      </w:r>
    </w:p>
    <w:p>
      <w:pPr>
        <w:spacing w:after="0" w:line="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correspond with the name as written upon the face of the Note in every</w:t>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whatever.</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80"/>
          </w:cols>
          <w:pgMar w:left="560" w:top="264" w:right="5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ATTACHMENT 3</w:t>
      </w:r>
    </w:p>
    <w:p>
      <w:pPr>
        <w:spacing w:after="0" w:line="1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[FORM OF ASSIGNMENT AND TRANSFER]</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For value received ____________________________ hereby sell(s), assign(s) and transfer(s) unto _________________ (Please insert social security or</w:t>
      </w:r>
    </w:p>
    <w:p>
      <w:pPr>
        <w:spacing w:after="0" w:line="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Taxpayer Identification Number of assignee) the within Note, and hereby irrevocably constitutes and appoints _____________________ attorney to</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transfer the said Note on the books of the Company, with full power of substitution in the premises.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In connection with any transfer of the within Note occurring prior to the Resale Restriction Termination Date, as defined in the Indenture governing such</w:t>
      </w:r>
    </w:p>
    <w:p>
      <w:pPr>
        <w:spacing w:after="0" w:line="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Note, the undersigned confirms that such Note is being transferred:</w:t>
      </w:r>
    </w:p>
    <w:p>
      <w:pPr>
        <w:spacing w:after="0" w:line="92" w:lineRule="exact"/>
        <w:rPr>
          <w:sz w:val="20"/>
          <w:szCs w:val="20"/>
          <w:color w:val="auto"/>
        </w:rPr>
      </w:pPr>
    </w:p>
    <w:p>
      <w:pPr>
        <w:ind w:left="203" w:hanging="203"/>
        <w:spacing w:after="0"/>
        <w:tabs>
          <w:tab w:leader="none" w:pos="203"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Xometry, Inc. or a subsidiary thereof; or</w:t>
      </w:r>
    </w:p>
    <w:p>
      <w:pPr>
        <w:spacing w:after="0" w:line="215" w:lineRule="exact"/>
        <w:rPr>
          <w:rFonts w:ascii="MS PGothic" w:cs="MS PGothic" w:eastAsia="MS PGothic" w:hAnsi="MS PGothic"/>
          <w:sz w:val="18"/>
          <w:szCs w:val="18"/>
          <w:color w:val="auto"/>
        </w:rPr>
      </w:pPr>
    </w:p>
    <w:p>
      <w:pPr>
        <w:ind w:left="203" w:hanging="203"/>
        <w:spacing w:after="0"/>
        <w:tabs>
          <w:tab w:leader="none" w:pos="203"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registration statement that has become effective under the Securities Act of 1933, as amended; or</w:t>
      </w:r>
    </w:p>
    <w:p>
      <w:pPr>
        <w:spacing w:after="0" w:line="215" w:lineRule="exact"/>
        <w:rPr>
          <w:rFonts w:ascii="MS PGothic" w:cs="MS PGothic" w:eastAsia="MS PGothic" w:hAnsi="MS PGothic"/>
          <w:sz w:val="18"/>
          <w:szCs w:val="18"/>
          <w:color w:val="auto"/>
        </w:rPr>
      </w:pPr>
    </w:p>
    <w:p>
      <w:pPr>
        <w:ind w:left="203" w:hanging="203"/>
        <w:spacing w:after="0"/>
        <w:tabs>
          <w:tab w:leader="none" w:pos="203" w:val="left"/>
        </w:tabs>
        <w:numPr>
          <w:ilvl w:val="0"/>
          <w:numId w:val="11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To a person reasonably believed to be a qualified institutional buyer in compliance with Rule 144A under the Securities Act of 1933, as amended; or</w:t>
      </w:r>
    </w:p>
    <w:p>
      <w:pPr>
        <w:spacing w:after="0" w:line="227" w:lineRule="exact"/>
        <w:rPr>
          <w:rFonts w:ascii="MS PGothic" w:cs="MS PGothic" w:eastAsia="MS PGothic" w:hAnsi="MS PGothic"/>
          <w:sz w:val="17"/>
          <w:szCs w:val="17"/>
          <w:color w:val="auto"/>
        </w:rPr>
      </w:pPr>
    </w:p>
    <w:p>
      <w:pPr>
        <w:ind w:left="3" w:right="180" w:hanging="3"/>
        <w:spacing w:after="0" w:line="270" w:lineRule="auto"/>
        <w:tabs>
          <w:tab w:leader="none" w:pos="206" w:val="left"/>
        </w:tabs>
        <w:numPr>
          <w:ilvl w:val="0"/>
          <w:numId w:val="11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and in compliance with Rule 144 under the Securities Act of 1933, as amended (if available), or any other available exemption from the registration requirements of the Securities Act of 1933, as amended.</w:t>
      </w:r>
    </w:p>
    <w:p>
      <w:pPr>
        <w:spacing w:after="0" w:line="10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83"/>
          </w:cols>
          <w:pgMar w:left="557" w:top="264"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Dated: 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27336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33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567690</wp:posOffset>
            </wp:positionV>
            <wp:extent cx="27336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27336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3367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an eligible Guarantor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 (banks, stock brokers, savings and loan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 membership in 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signature guarantee medallion program pursuant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Rule 17Ad-15 if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are to be delivered, other than to and in the name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w:t>
      </w:r>
    </w:p>
    <w:p>
      <w:pPr>
        <w:spacing w:after="0" w:line="19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NOTICE: The signature on the assignment must correspond with the name as written upon the face of the Note in every particular without alteration or enlargement or any change whatever.</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40"/>
          </w:cols>
          <w:pgMar w:left="560" w:top="266" w:right="6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Dealer name and address</w:t>
      </w:r>
      <w:r>
        <w:rPr>
          <w:rFonts w:ascii="Times New Roman" w:cs="Times New Roman" w:eastAsia="Times New Roman" w:hAnsi="Times New Roman"/>
          <w:sz w:val="18"/>
          <w:szCs w:val="18"/>
          <w:color w:val="auto"/>
        </w:rPr>
        <w:t>]</w:t>
      </w:r>
    </w:p>
    <w:p>
      <w:pPr>
        <w:sectPr>
          <w:pgSz w:w="11900" w:h="16838" w:orient="portrait"/>
          <w:cols w:equalWidth="0" w:num="1">
            <w:col w:w="10783"/>
          </w:cols>
          <w:pgMar w:left="557" w:top="119" w:right="559" w:bottom="1440" w:gutter="0" w:footer="0" w:header="0"/>
        </w:sectPr>
      </w:pPr>
    </w:p>
    <w:p>
      <w:pPr>
        <w:spacing w:after="0" w:line="24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color w:val="auto"/>
        </w:rPr>
        <w:t>To: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6116 Executive Blvd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800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Bethesda, MD 20852</w:t>
      </w:r>
    </w:p>
    <w:p>
      <w:pPr>
        <w:spacing w:after="0" w:line="115" w:lineRule="exact"/>
        <w:rPr>
          <w:sz w:val="20"/>
          <w:szCs w:val="20"/>
          <w:color w:val="auto"/>
        </w:rPr>
      </w:pPr>
    </w:p>
    <w:p>
      <w:pPr>
        <w:sectPr>
          <w:pgSz w:w="11900" w:h="16838" w:orient="portrait"/>
          <w:cols w:equalWidth="0" w:num="2">
            <w:col w:w="263" w:space="720"/>
            <w:col w:w="9800"/>
          </w:cols>
          <w:pgMar w:left="557" w:top="119" w:right="55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b w:val="1"/>
          <w:bCs w:val="1"/>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Dealer</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sectPr>
          <w:pgSz w:w="11900" w:h="16838" w:orient="portrait"/>
          <w:cols w:equalWidth="0" w:num="2">
            <w:col w:w="483" w:space="500"/>
            <w:col w:w="9800"/>
          </w:cols>
          <w:pgMar w:left="557" w:top="119" w:right="55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[Base][Additional] Capped Call Transaction</w:t>
      </w:r>
    </w:p>
    <w:p>
      <w:pPr>
        <w:spacing w:after="0" w:line="119" w:lineRule="exact"/>
        <w:rPr>
          <w:sz w:val="20"/>
          <w:szCs w:val="20"/>
          <w:color w:val="auto"/>
        </w:rPr>
      </w:pPr>
    </w:p>
    <w:p>
      <w:pPr>
        <w:sectPr>
          <w:pgSz w:w="11900" w:h="16838" w:orient="portrait"/>
          <w:cols w:equalWidth="0" w:num="2">
            <w:col w:w="263" w:space="720"/>
            <w:col w:w="9800"/>
          </w:cols>
          <w:pgMar w:left="557" w:top="119" w:right="55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 2025</w:t>
      </w:r>
    </w:p>
    <w:p>
      <w:pPr>
        <w:spacing w:after="0" w:line="200" w:lineRule="exact"/>
        <w:rPr>
          <w:sz w:val="20"/>
          <w:szCs w:val="20"/>
          <w:color w:val="auto"/>
        </w:rPr>
      </w:pPr>
    </w:p>
    <w:p>
      <w:pPr>
        <w:sectPr>
          <w:pgSz w:w="11900" w:h="16838" w:orient="portrait"/>
          <w:cols w:equalWidth="0" w:num="2">
            <w:col w:w="403" w:space="580"/>
            <w:col w:w="9800"/>
          </w:cols>
          <w:pgMar w:left="557" w:top="119" w:right="559" w:bottom="1440" w:gutter="0" w:footer="0" w:header="0"/>
          <w:type w:val="continuous"/>
        </w:sectPr>
      </w:pP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08" w:lineRule="exact"/>
        <w:rPr>
          <w:sz w:val="20"/>
          <w:szCs w:val="20"/>
          <w:color w:val="auto"/>
        </w:rPr>
      </w:pPr>
    </w:p>
    <w:p>
      <w:pPr>
        <w:ind w:left="3" w:right="60" w:firstLine="431"/>
        <w:spacing w:after="0" w:line="258"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is to set forth the terms and conditions of the above-referenced transaction entered into on the Trade Date specified below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between [</w:t>
      </w:r>
      <w:r>
        <w:rPr>
          <w:rFonts w:ascii="Times New Roman" w:cs="Times New Roman" w:eastAsia="Times New Roman" w:hAnsi="Times New Roman"/>
          <w:sz w:val="18"/>
          <w:szCs w:val="18"/>
          <w:i w:val="1"/>
          <w:iCs w:val="1"/>
          <w:color w:val="auto"/>
        </w:rPr>
        <w:t>Dealer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Xometry, Inc., a Delaware corporation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This communication constitutes a “Confirmation” as referred to in the ISDA Master Agreement specified below.</w:t>
      </w:r>
    </w:p>
    <w:p>
      <w:pPr>
        <w:spacing w:after="0" w:line="178" w:lineRule="exact"/>
        <w:rPr>
          <w:sz w:val="20"/>
          <w:szCs w:val="20"/>
          <w:color w:val="auto"/>
        </w:rPr>
      </w:pPr>
    </w:p>
    <w:p>
      <w:pPr>
        <w:ind w:left="3" w:right="60" w:firstLine="427"/>
        <w:spacing w:after="0" w:line="251" w:lineRule="auto"/>
        <w:tabs>
          <w:tab w:leader="none" w:pos="6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Confirmation is subject to, and incorporates, the definitions and provisions of the 2006 ISDA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 and the definitions and provisions of the ISDA 2002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and together with the 2006 Definitions,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in each case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7" w:lineRule="exact"/>
        <w:rPr>
          <w:sz w:val="20"/>
          <w:szCs w:val="20"/>
          <w:color w:val="auto"/>
        </w:rPr>
      </w:pPr>
    </w:p>
    <w:p>
      <w:pPr>
        <w:ind w:left="3" w:right="100" w:firstLine="431"/>
        <w:spacing w:after="0" w:line="264" w:lineRule="auto"/>
        <w:rPr>
          <w:sz w:val="20"/>
          <w:szCs w:val="20"/>
          <w:color w:val="auto"/>
        </w:rPr>
      </w:pPr>
      <w:r>
        <w:rPr>
          <w:rFonts w:ascii="Times New Roman" w:cs="Times New Roman" w:eastAsia="Times New Roman" w:hAnsi="Times New Roman"/>
          <w:sz w:val="17"/>
          <w:szCs w:val="17"/>
          <w:color w:val="auto"/>
        </w:rPr>
        <w:t>This Confirmation evidences a complete and binding agreement between Dealer and Counterparty as to the terms of the Transaction to which this Confirmation relates. This Confirmation shall be subject to an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w:t>
      </w:r>
    </w:p>
    <w:p>
      <w:pPr>
        <w:spacing w:after="0" w:line="3" w:lineRule="exact"/>
        <w:rPr>
          <w:sz w:val="20"/>
          <w:szCs w:val="20"/>
          <w:color w:val="auto"/>
        </w:rPr>
      </w:pPr>
    </w:p>
    <w:p>
      <w:pPr>
        <w:ind w:left="3" w:right="4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dated as of the Trade Date in substantially the form attached hereto as Schedule 1 as a Credit Support Document, (iii) the election of Guarantor as Credit Support Provider in relation to Dealer]</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[(ii)][(iv)] the election that the “Cross Default” provisions of Section 5(a)(vi) of the Agreement shall apply to Dealer, with (a) a Threshold Amount” of 3% of the shareholders’ equity of [Dealer][Dealer’s ultimate parent]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and [(iii)][(v)] the “Default Under Specified Transactions” provision of Section 5(a)(v) of the Agreement shall not apply to the Counterparty).</w:t>
      </w:r>
    </w:p>
    <w:p>
      <w:pPr>
        <w:spacing w:after="0" w:line="199" w:lineRule="exact"/>
        <w:rPr>
          <w:sz w:val="20"/>
          <w:szCs w:val="20"/>
          <w:color w:val="auto"/>
        </w:rPr>
      </w:pPr>
    </w:p>
    <w:p>
      <w:pPr>
        <w:ind w:left="3" w:right="100" w:firstLine="431"/>
        <w:spacing w:after="0" w:line="270" w:lineRule="auto"/>
        <w:rPr>
          <w:sz w:val="20"/>
          <w:szCs w:val="20"/>
          <w:color w:val="auto"/>
        </w:rPr>
      </w:pPr>
      <w:r>
        <w:rPr>
          <w:rFonts w:ascii="Times New Roman" w:cs="Times New Roman" w:eastAsia="Times New Roman" w:hAnsi="Times New Roman"/>
          <w:sz w:val="18"/>
          <w:szCs w:val="18"/>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7461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52" w:lineRule="exact"/>
        <w:rPr>
          <w:sz w:val="20"/>
          <w:szCs w:val="20"/>
          <w:color w:val="auto"/>
        </w:rPr>
      </w:pPr>
    </w:p>
    <w:p>
      <w:pPr>
        <w:ind w:left="423" w:hanging="423"/>
        <w:spacing w:after="0"/>
        <w:tabs>
          <w:tab w:leader="none" w:pos="423" w:val="left"/>
        </w:tabs>
        <w:numPr>
          <w:ilvl w:val="0"/>
          <w:numId w:val="11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Requested if Dealer is not the highest rated entity in group, typically from Parent.</w:t>
      </w:r>
    </w:p>
    <w:p>
      <w:pPr>
        <w:sectPr>
          <w:pgSz w:w="11900" w:h="16838" w:orient="portrait"/>
          <w:cols w:equalWidth="0" w:num="1">
            <w:col w:w="10783"/>
          </w:cols>
          <w:pgMar w:left="557" w:top="119" w:right="559" w:bottom="1440" w:gutter="0" w:footer="0" w:header="0"/>
          <w:type w:val="continuous"/>
        </w:sectPr>
      </w:pPr>
    </w:p>
    <w:bookmarkStart w:id="128" w:name="page129"/>
    <w:bookmarkEnd w:id="128"/>
    <w:p>
      <w:pPr>
        <w:ind w:left="3"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5" w:lineRule="exact"/>
        <w:rPr>
          <w:sz w:val="20"/>
          <w:szCs w:val="20"/>
          <w:color w:val="auto"/>
        </w:rPr>
      </w:pPr>
    </w:p>
    <w:p>
      <w:pPr>
        <w:ind w:left="3" w:right="40" w:firstLine="427"/>
        <w:spacing w:after="0" w:line="270" w:lineRule="auto"/>
        <w:tabs>
          <w:tab w:leader="none" w:pos="61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Share Option Transaction for purposes of the Equity Definitions. The terms of the particular Transaction to which this Confirmation relates are as follows:</w:t>
      </w:r>
    </w:p>
    <w:p>
      <w:pPr>
        <w:spacing w:after="0" w:line="62" w:lineRule="exact"/>
        <w:rPr>
          <w:sz w:val="20"/>
          <w:szCs w:val="20"/>
          <w:color w:val="auto"/>
        </w:rPr>
      </w:pPr>
    </w:p>
    <w:p>
      <w:pPr>
        <w:ind w:left="963"/>
        <w:spacing w:after="0"/>
        <w:rPr>
          <w:sz w:val="20"/>
          <w:szCs w:val="20"/>
          <w:color w:val="auto"/>
        </w:rPr>
      </w:pPr>
      <w:r>
        <w:rPr>
          <w:rFonts w:ascii="Times New Roman" w:cs="Times New Roman" w:eastAsia="Times New Roman" w:hAnsi="Times New Roman"/>
          <w:sz w:val="18"/>
          <w:szCs w:val="18"/>
          <w:color w:val="auto"/>
        </w:rPr>
        <w:t>General Terms:</w:t>
      </w:r>
    </w:p>
    <w:p>
      <w:pPr>
        <w:sectPr>
          <w:pgSz w:w="11900" w:h="16838" w:orient="portrait"/>
          <w:cols w:equalWidth="0" w:num="1">
            <w:col w:w="10763"/>
          </w:cols>
          <w:pgMar w:left="557" w:top="266" w:right="579" w:bottom="1440" w:gutter="0" w:footer="0" w:header="0"/>
        </w:sectPr>
      </w:pPr>
    </w:p>
    <w:p>
      <w:pPr>
        <w:spacing w:after="0" w:line="123"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 2025</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 2025, or such other date as agreed by the parties in writing.</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Components:</w:t>
      </w:r>
    </w:p>
    <w:p>
      <w:pPr>
        <w:spacing w:after="0" w:line="20" w:lineRule="exact"/>
        <w:rPr>
          <w:sz w:val="20"/>
          <w:szCs w:val="20"/>
          <w:color w:val="auto"/>
        </w:rPr>
      </w:pPr>
      <w:r>
        <w:rPr>
          <w:sz w:val="20"/>
          <w:szCs w:val="20"/>
          <w:color w:val="auto"/>
        </w:rPr>
        <w:br w:type="column"/>
      </w:r>
    </w:p>
    <w:p>
      <w:pPr>
        <w:ind w:right="140"/>
        <w:spacing w:after="0" w:line="273" w:lineRule="auto"/>
        <w:rPr>
          <w:sz w:val="20"/>
          <w:szCs w:val="20"/>
          <w:color w:val="auto"/>
        </w:rPr>
      </w:pPr>
      <w:r>
        <w:rPr>
          <w:rFonts w:ascii="Times New Roman" w:cs="Times New Roman" w:eastAsia="Times New Roman" w:hAnsi="Times New Roman"/>
          <w:sz w:val="17"/>
          <w:szCs w:val="17"/>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6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“European”, as described under “Procedures for Exercise” below.</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Option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Call</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Dealer</w:t>
      </w:r>
    </w:p>
    <w:p>
      <w:pPr>
        <w:spacing w:after="0" w:line="110"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Class A common stock of Counterparty, par value USD 0.000001 per share (Ticker Symbol: “XMTR”).</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 each Component, as provided in Annex A to this Confirmation.</w:t>
      </w:r>
      <w:r>
        <w:rPr>
          <w:rFonts w:ascii="Times New Roman" w:cs="Times New Roman" w:eastAsia="Times New Roman" w:hAnsi="Times New Roman"/>
          <w:sz w:val="12"/>
          <w:szCs w:val="12"/>
          <w:color w:val="auto"/>
        </w:rPr>
        <w:t>2</w:t>
      </w:r>
    </w:p>
    <w:p>
      <w:pPr>
        <w:spacing w:after="0" w:line="132"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Option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One Share per Option</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USD [_____]</w:t>
      </w:r>
    </w:p>
    <w:p>
      <w:pPr>
        <w:spacing w:after="0" w:line="119"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spacing w:after="0" w:line="2"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7"/>
          <w:szCs w:val="17"/>
          <w:color w:val="auto"/>
        </w:rPr>
        <w:t>Cap Price:</w:t>
      </w:r>
    </w:p>
    <w:p>
      <w:pPr>
        <w:spacing w:after="0" w:line="20" w:lineRule="exact"/>
        <w:rPr>
          <w:sz w:val="20"/>
          <w:szCs w:val="20"/>
          <w:color w:val="auto"/>
        </w:rPr>
      </w:pPr>
      <w:r>
        <w:rPr>
          <w:sz w:val="20"/>
          <w:szCs w:val="20"/>
          <w:color w:val="auto"/>
        </w:rPr>
        <w:br w:type="column"/>
      </w:r>
    </w:p>
    <w:p>
      <w:pPr>
        <w:ind w:right="320"/>
        <w:spacing w:after="0" w:line="272" w:lineRule="auto"/>
        <w:rPr>
          <w:sz w:val="20"/>
          <w:szCs w:val="20"/>
          <w:color w:val="auto"/>
        </w:rPr>
      </w:pPr>
      <w:r>
        <w:rPr>
          <w:rFonts w:ascii="Times New Roman" w:cs="Times New Roman" w:eastAsia="Times New Roman" w:hAnsi="Times New Roman"/>
          <w:sz w:val="18"/>
          <w:szCs w:val="18"/>
          <w:color w:val="auto"/>
        </w:rPr>
        <w:t xml:space="preserve">USD [_____];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Cap Price be reduced to an amount less than the Strike Price in connection with any adjustment by the Calculation Agent under this Confirmation.</w:t>
      </w:r>
    </w:p>
    <w:p>
      <w:pPr>
        <w:spacing w:after="0" w:line="6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43"/>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461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70" w:lineRule="auto"/>
        <w:rPr>
          <w:sz w:val="20"/>
          <w:szCs w:val="20"/>
          <w:color w:val="auto"/>
        </w:rPr>
      </w:pPr>
      <w:r>
        <w:rPr>
          <w:rFonts w:ascii="Times New Roman" w:cs="Times New Roman" w:eastAsia="Times New Roman" w:hAnsi="Times New Roman"/>
          <w:sz w:val="18"/>
          <w:szCs w:val="18"/>
          <w:color w:val="auto"/>
        </w:rPr>
        <w:t>As of any date, a number of Shares equal to the product of (i) the aggregate Number of Options of all Components and (ii) the Option Entitlement.</w:t>
      </w:r>
    </w:p>
    <w:p>
      <w:pPr>
        <w:spacing w:after="0" w:line="142"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423" w:hanging="423"/>
        <w:spacing w:after="0" w:line="225" w:lineRule="auto"/>
        <w:tabs>
          <w:tab w:leader="none" w:pos="423" w:val="left"/>
        </w:tabs>
        <w:numPr>
          <w:ilvl w:val="0"/>
          <w:numId w:val="1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For the base capped call, the total will be equal to (i) the number of Convertible Notes (as defined herein) in principal amount of USD 1,000 initially issued on the closing date for the Convertible Notes (excluding any Convertible Notes sold pursuant to the option to purchase additional notes)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initial conversion rate. For the additional capped call, the total will be equal to (i) the number of additional Convertible Notes in principal amount of USD 1,000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initial conversion rate.</w:t>
      </w:r>
    </w:p>
    <w:p>
      <w:pPr>
        <w:spacing w:after="0" w:line="12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3"/>
          </w:cols>
          <w:pgMar w:left="557" w:top="266" w:right="579" w:bottom="1440" w:gutter="0" w:footer="0" w:header="0"/>
          <w:type w:val="continuous"/>
        </w:sectPr>
      </w:pPr>
    </w:p>
    <w:bookmarkStart w:id="129" w:name="page130"/>
    <w:bookmarkEnd w:id="129"/>
    <w:p>
      <w:pPr>
        <w:ind w:left="340"/>
        <w:spacing w:after="0"/>
        <w:rPr>
          <w:sz w:val="20"/>
          <w:szCs w:val="20"/>
          <w:color w:val="auto"/>
        </w:rPr>
      </w:pPr>
      <w:r>
        <w:rPr>
          <w:rFonts w:ascii="Times New Roman" w:cs="Times New Roman" w:eastAsia="Times New Roman" w:hAnsi="Times New Roman"/>
          <w:sz w:val="17"/>
          <w:szCs w:val="17"/>
          <w:color w:val="auto"/>
        </w:rPr>
        <w:t>Premium:</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Times New Roman" w:cs="Times New Roman" w:eastAsia="Times New Roman" w:hAnsi="Times New Roman"/>
          <w:sz w:val="17"/>
          <w:szCs w:val="17"/>
          <w:color w:val="auto"/>
        </w:rPr>
        <w:t>USD [_____] (Premium per Option approximately USD [_____]); Dealer and Counterparty hereby agree that notwithstanding anything to the contrary herein or in the Agreement, following the payment of the Premium, in the event that (a) an Early Termination Date (whether as a result of an Event of Default or a Termination Event) (other than an Event of Default arising under Section 5(a)(ii) or 5(a)(iv) of the Agreement that is within Counterparty’s control) occurs or is designated with respect to any Transaction and, as a result, Counterparty owes to Dealer the amount calculated under Section 6(d) and Section 6(e) or otherwise under the Agreement (calculated as if the Transaction terminated on such Early Termination Date were the sole Transaction under the Agreement) or (b) Counterparty owes to Dealer, pursuant to Sections 12.2, 12.3, 12.6, 12.7, 12.8 or 12.9 of the Equity Definitions or otherwise under the Equity Definitions, an amount calculated under Section 12.8 of the Equity Definitions, such amount shall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-1440180</wp:posOffset>
            </wp:positionV>
            <wp:extent cx="717740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2400" w:space="720"/>
            <w:col w:w="7600"/>
          </w:cols>
          <w:pgMar w:left="560" w:top="267" w:right="61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Effective Date</w:t>
      </w:r>
    </w:p>
    <w:p>
      <w:pPr>
        <w:spacing w:after="0" w:line="121" w:lineRule="exact"/>
        <w:rPr>
          <w:sz w:val="20"/>
          <w:szCs w:val="20"/>
          <w:color w:val="auto"/>
        </w:rPr>
      </w:pPr>
    </w:p>
    <w:p>
      <w:pPr>
        <w:sectPr>
          <w:pgSz w:w="11900" w:h="16838" w:orient="portrait"/>
          <w:cols w:equalWidth="0" w:num="2">
            <w:col w:w="2400" w:space="720"/>
            <w:col w:w="7600"/>
          </w:cols>
          <w:pgMar w:left="560" w:top="267" w:right="61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19" w:lineRule="exact"/>
        <w:rPr>
          <w:sz w:val="20"/>
          <w:szCs w:val="20"/>
          <w:color w:val="auto"/>
        </w:rPr>
      </w:pPr>
    </w:p>
    <w:p>
      <w:pPr>
        <w:sectPr>
          <w:pgSz w:w="11900" w:h="16838" w:orient="portrait"/>
          <w:cols w:equalWidth="0" w:num="2">
            <w:col w:w="2400" w:space="720"/>
            <w:col w:w="7600"/>
          </w:cols>
          <w:pgMar w:left="560" w:top="267" w:right="61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Related Exchange:</w:t>
      </w:r>
    </w:p>
    <w:p>
      <w:pPr>
        <w:spacing w:after="0" w:line="20" w:lineRule="exact"/>
        <w:rPr>
          <w:sz w:val="20"/>
          <w:szCs w:val="20"/>
          <w:color w:val="auto"/>
        </w:rPr>
      </w:pPr>
      <w:r>
        <w:rPr>
          <w:sz w:val="20"/>
          <w:szCs w:val="20"/>
          <w:color w:val="auto"/>
        </w:rPr>
        <w:br w:type="column"/>
      </w:r>
    </w:p>
    <w:p>
      <w:pPr>
        <w:ind w:right="340"/>
        <w:spacing w:after="0" w:line="272" w:lineRule="auto"/>
        <w:rPr>
          <w:sz w:val="20"/>
          <w:szCs w:val="20"/>
          <w:color w:val="auto"/>
        </w:rPr>
      </w:pPr>
      <w:r>
        <w:rPr>
          <w:rFonts w:ascii="Times New Roman" w:cs="Times New Roman" w:eastAsia="Times New Roman" w:hAnsi="Times New Roman"/>
          <w:sz w:val="18"/>
          <w:szCs w:val="18"/>
          <w:color w:val="auto"/>
        </w:rPr>
        <w:t xml:space="preserve">All Exchanges;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 1.26 of the Equity Definitions shall be amended to add the words “United States” before the word “exchange” in the tenth line of such Section.</w:t>
      </w:r>
    </w:p>
    <w:p>
      <w:pPr>
        <w:spacing w:after="0" w:line="61" w:lineRule="exact"/>
        <w:rPr>
          <w:sz w:val="20"/>
          <w:szCs w:val="20"/>
          <w:color w:val="auto"/>
        </w:rPr>
      </w:pPr>
    </w:p>
    <w:p>
      <w:pPr>
        <w:sectPr>
          <w:pgSz w:w="11900" w:h="16838" w:orient="portrait"/>
          <w:cols w:equalWidth="0" w:num="2">
            <w:col w:w="2400" w:space="720"/>
            <w:col w:w="7600"/>
          </w:cols>
          <w:pgMar w:left="560" w:top="267"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Procedures for Exercise: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Expiration Time: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Valuation Time</w:t>
      </w:r>
    </w:p>
    <w:p>
      <w:pPr>
        <w:spacing w:after="0" w:line="161" w:lineRule="exact"/>
        <w:rPr>
          <w:sz w:val="20"/>
          <w:szCs w:val="20"/>
          <w:color w:val="auto"/>
        </w:rPr>
      </w:pPr>
    </w:p>
    <w:p>
      <w:pPr>
        <w:sectPr>
          <w:pgSz w:w="11900" w:h="16838" w:orient="portrait"/>
          <w:cols w:equalWidth="0" w:num="2">
            <w:col w:w="2400" w:space="720"/>
            <w:col w:w="7600"/>
          </w:cols>
          <w:pgMar w:left="560" w:top="267" w:right="6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0720"/>
          </w:cols>
          <w:pgMar w:left="560" w:top="267" w:right="619" w:bottom="1440" w:gutter="0" w:footer="0" w:header="0"/>
          <w:type w:val="continuous"/>
        </w:sectPr>
      </w:pPr>
    </w:p>
    <w:bookmarkStart w:id="130" w:name="page131"/>
    <w:bookmarkEnd w:id="130"/>
    <w:tbl>
      <w:tblPr>
        <w:tblLayout w:type="fixed"/>
        <w:tblInd w:w="343" w:type="dxa"/>
        <w:tblCellMar>
          <w:top w:w="0" w:type="dxa"/>
          <w:left w:w="0" w:type="dxa"/>
          <w:bottom w:w="0" w:type="dxa"/>
          <w:right w:w="0" w:type="dxa"/>
        </w:tblCellMar>
      </w:tblPr>
      <w:tr>
        <w:trPr>
          <w:trHeight w:val="20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For any Component, as provided in Annex A to this Confirmation (or, if such date is not a Scheduled Valid</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Day, the next following Scheduled Valid Day that is not already an Expiration Date for another</w:t>
            </w:r>
          </w:p>
        </w:tc>
      </w:tr>
      <w:tr>
        <w:trPr>
          <w:trHeight w:val="213"/>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 xml:space="preserve">Component); </w:t>
            </w:r>
            <w:r>
              <w:rPr>
                <w:rFonts w:ascii="Times New Roman" w:cs="Times New Roman" w:eastAsia="Times New Roman" w:hAnsi="Times New Roman"/>
                <w:sz w:val="18"/>
                <w:szCs w:val="18"/>
                <w:i w:val="1"/>
                <w:iCs w:val="1"/>
                <w:color w:val="auto"/>
                <w:w w:val="98"/>
              </w:rPr>
              <w:t>provided</w:t>
            </w:r>
            <w:r>
              <w:rPr>
                <w:rFonts w:ascii="Times New Roman" w:cs="Times New Roman" w:eastAsia="Times New Roman" w:hAnsi="Times New Roman"/>
                <w:sz w:val="18"/>
                <w:szCs w:val="18"/>
                <w:color w:val="auto"/>
                <w:w w:val="98"/>
              </w:rPr>
              <w:t xml:space="preserve"> that if that date is a Disrupted Day, the Expiration Date for such Component shall be</w:t>
            </w:r>
          </w:p>
        </w:tc>
      </w:tr>
      <w:tr>
        <w:trPr>
          <w:trHeight w:val="209"/>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the first succeeding Scheduled Valid Day that is not a Disrupted Day and is not or is not deemed to be an</w:t>
            </w:r>
          </w:p>
        </w:tc>
      </w:tr>
      <w:tr>
        <w:trPr>
          <w:trHeight w:val="213"/>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 xml:space="preserve">Expiration Date in respect of any other Component of the Transaction hereunder; and </w:t>
            </w:r>
            <w:r>
              <w:rPr>
                <w:rFonts w:ascii="Times New Roman" w:cs="Times New Roman" w:eastAsia="Times New Roman" w:hAnsi="Times New Roman"/>
                <w:sz w:val="18"/>
                <w:szCs w:val="18"/>
                <w:i w:val="1"/>
                <w:iCs w:val="1"/>
                <w:color w:val="auto"/>
                <w:w w:val="98"/>
              </w:rPr>
              <w:t>provided further</w:t>
            </w:r>
            <w:r>
              <w:rPr>
                <w:rFonts w:ascii="Times New Roman" w:cs="Times New Roman" w:eastAsia="Times New Roman" w:hAnsi="Times New Roman"/>
                <w:sz w:val="18"/>
                <w:szCs w:val="18"/>
                <w:color w:val="auto"/>
                <w:w w:val="98"/>
              </w:rPr>
              <w:t xml:space="preserve"> that</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 no event shall the Expiration Date be postponed to a date later than the Final Termination Date and,</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notwithstanding anything to the contrary in this Confirmation or the Equity Definitions, if the Expiration</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Date occurring on the Final Termination Date is a Disrupted Day, the Relevant Price for such Expiration</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7"/>
              </w:rPr>
              <w:t>Date shall be the prevailing market value per Share determined by the Calculation Agent in a good faith and</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commercially reasonable manner. Notwithstanding the foregoing and anything to the contrary in the Equity</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Definitions, if a Market Disruption Event occurs on any Expiration Date, the Calculation Agent may</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7"/>
              </w:rPr>
              <w:t>determine in a good faith and commercially reasonable manner that such Expiration Date is a Disrupted Day</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only in part, in which case the Calculation Agent shall make commercially reasonable adjustments to the</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Number of Options for the relevant Component for which such day shall be the Expiration Date, shall</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designate the Scheduled Valid Day determined in the manner described in the immediately preceding</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sentence as the Expiration Date for the remaining Number of Options for such Component and may</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determine the Relevant Price on such Expiration Date that is a Disrupted Day only in part based on</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7"/>
              </w:rPr>
              <w:t>transactions in the Shares on such Disrupted Day taking into account the nature and duration of such Market</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Disruption Event on such day. Section 6.6 of the Equity Definitions shall not apply to any Valuation Date</w:t>
            </w:r>
          </w:p>
        </w:tc>
      </w:tr>
      <w:tr>
        <w:trPr>
          <w:trHeight w:val="229"/>
        </w:trPr>
        <w:tc>
          <w:tcPr>
            <w:tcW w:w="2240" w:type="dxa"/>
            <w:vAlign w:val="bottom"/>
          </w:tcPr>
          <w:p>
            <w:pPr>
              <w:spacing w:after="0"/>
              <w:rPr>
                <w:sz w:val="19"/>
                <w:szCs w:val="19"/>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occurring on an Expiration Date.</w:t>
            </w:r>
          </w:p>
        </w:tc>
      </w:tr>
      <w:tr>
        <w:trPr>
          <w:trHeight w:val="40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Final Termination Date:</w:t>
            </w:r>
          </w:p>
        </w:tc>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[____], 2030</w:t>
            </w:r>
            <w:r>
              <w:rPr>
                <w:rFonts w:ascii="Times New Roman" w:cs="Times New Roman" w:eastAsia="Times New Roman" w:hAnsi="Times New Roman"/>
                <w:sz w:val="26"/>
                <w:szCs w:val="26"/>
                <w:color w:val="auto"/>
                <w:vertAlign w:val="superscript"/>
              </w:rPr>
              <w:t>3</w:t>
            </w:r>
          </w:p>
        </w:tc>
        <w:tc>
          <w:tcPr>
            <w:tcW w:w="6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Automatic Exercise:</w:t>
            </w: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Applicable; and means that the Number of Options for the relevant Component will be deemed to be</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automatically exercised at the Expiration Time on the Expiration Date for such Component if at such time</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such Component is In-the-Money unless Buyer notifies Seller (in writing) prior to the Expiration Time on</w:t>
            </w:r>
          </w:p>
        </w:tc>
      </w:tr>
      <w:tr>
        <w:trPr>
          <w:trHeight w:val="209"/>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such Expiration Date that it does not wish Automatic Exercise to occur with respect to such Component, in</w:t>
            </w:r>
          </w:p>
        </w:tc>
      </w:tr>
      <w:tr>
        <w:trPr>
          <w:trHeight w:val="213"/>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8"/>
              </w:rPr>
              <w:t>which case Automatic Exercise will not apply with respect to such Component. “</w:t>
            </w:r>
            <w:r>
              <w:rPr>
                <w:rFonts w:ascii="Times New Roman" w:cs="Times New Roman" w:eastAsia="Times New Roman" w:hAnsi="Times New Roman"/>
                <w:sz w:val="18"/>
                <w:szCs w:val="18"/>
                <w:b w:val="1"/>
                <w:bCs w:val="1"/>
                <w:color w:val="auto"/>
                <w:w w:val="98"/>
              </w:rPr>
              <w:t>In-the-Money</w:t>
            </w:r>
            <w:r>
              <w:rPr>
                <w:rFonts w:ascii="Times New Roman" w:cs="Times New Roman" w:eastAsia="Times New Roman" w:hAnsi="Times New Roman"/>
                <w:sz w:val="18"/>
                <w:szCs w:val="18"/>
                <w:color w:val="auto"/>
                <w:w w:val="98"/>
              </w:rPr>
              <w:t>” means, in</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respect of any Component, that the Relevant Price on the Expiration Date for such Component is greater</w:t>
            </w:r>
          </w:p>
        </w:tc>
      </w:tr>
      <w:tr>
        <w:trPr>
          <w:trHeight w:val="229"/>
        </w:trPr>
        <w:tc>
          <w:tcPr>
            <w:tcW w:w="2240" w:type="dxa"/>
            <w:vAlign w:val="bottom"/>
          </w:tcPr>
          <w:p>
            <w:pPr>
              <w:spacing w:after="0"/>
              <w:rPr>
                <w:sz w:val="19"/>
                <w:szCs w:val="19"/>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than the Strike Price for such Component.</w:t>
            </w:r>
          </w:p>
        </w:tc>
      </w:tr>
      <w:tr>
        <w:trPr>
          <w:trHeight w:val="299"/>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Valuation Time:</w:t>
            </w: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xml:space="preserve">The close of trading of the regular trading session on the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principal trading</w:t>
            </w:r>
          </w:p>
        </w:tc>
      </w:tr>
      <w:tr>
        <w:trPr>
          <w:trHeight w:val="211"/>
        </w:trPr>
        <w:tc>
          <w:tcPr>
            <w:tcW w:w="2240" w:type="dxa"/>
            <w:vAlign w:val="bottom"/>
          </w:tcPr>
          <w:p>
            <w:pPr>
              <w:spacing w:after="0"/>
              <w:rPr>
                <w:sz w:val="18"/>
                <w:szCs w:val="18"/>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session is extended, the Calculation Agent shall determine the Valuation Time in a good faith and</w:t>
            </w:r>
          </w:p>
        </w:tc>
      </w:tr>
      <w:tr>
        <w:trPr>
          <w:trHeight w:val="229"/>
        </w:trPr>
        <w:tc>
          <w:tcPr>
            <w:tcW w:w="2240" w:type="dxa"/>
            <w:vAlign w:val="bottom"/>
          </w:tcPr>
          <w:p>
            <w:pPr>
              <w:spacing w:after="0"/>
              <w:rPr>
                <w:sz w:val="19"/>
                <w:szCs w:val="19"/>
                <w:color w:val="auto"/>
              </w:rPr>
            </w:pP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commercially reasonable manner.</w:t>
            </w:r>
          </w:p>
        </w:tc>
      </w:tr>
      <w:tr>
        <w:trPr>
          <w:trHeight w:val="317"/>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Valuation Date:</w:t>
            </w:r>
          </w:p>
        </w:tc>
        <w:tc>
          <w:tcPr>
            <w:tcW w:w="81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For any Component, the Expiration Date therefor.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740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92710</wp:posOffset>
            </wp:positionV>
            <wp:extent cx="746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47" w:lineRule="exact"/>
        <w:rPr>
          <w:sz w:val="20"/>
          <w:szCs w:val="20"/>
          <w:color w:val="auto"/>
        </w:rPr>
      </w:pPr>
    </w:p>
    <w:p>
      <w:pPr>
        <w:ind w:left="5343" w:right="3020" w:hanging="5343"/>
        <w:spacing w:after="0" w:line="332" w:lineRule="auto"/>
        <w:tabs>
          <w:tab w:leader="none" w:pos="422" w:val="left"/>
        </w:tabs>
        <w:numPr>
          <w:ilvl w:val="0"/>
          <w:numId w:val="1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 be 80 (2x observation period) Scheduled Trading Days following the last scheduled Expiration Date. 4</w:t>
      </w:r>
    </w:p>
    <w:p>
      <w:pPr>
        <w:sectPr>
          <w:pgSz w:w="11900" w:h="16838" w:orient="portrait"/>
          <w:cols w:equalWidth="0" w:num="1">
            <w:col w:w="10763"/>
          </w:cols>
          <w:pgMar w:left="557" w:top="250" w:right="579" w:bottom="1440" w:gutter="0" w:footer="0" w:header="0"/>
        </w:sectPr>
      </w:pPr>
    </w:p>
    <w:bookmarkStart w:id="131" w:name="page132"/>
    <w:bookmarkEnd w:id="131"/>
    <w:p>
      <w:pPr>
        <w:ind w:left="340"/>
        <w:spacing w:after="0"/>
        <w:rPr>
          <w:sz w:val="20"/>
          <w:szCs w:val="20"/>
          <w:color w:val="auto"/>
        </w:rPr>
      </w:pPr>
      <w:r>
        <w:rPr>
          <w:rFonts w:ascii="Times New Roman" w:cs="Times New Roman" w:eastAsia="Times New Roman" w:hAnsi="Times New Roman"/>
          <w:sz w:val="17"/>
          <w:szCs w:val="17"/>
          <w:color w:val="auto"/>
        </w:rPr>
        <w:t>Market Disruption Event:</w:t>
      </w:r>
    </w:p>
    <w:p>
      <w:pPr>
        <w:spacing w:after="0" w:line="20" w:lineRule="exact"/>
        <w:rPr>
          <w:sz w:val="20"/>
          <w:szCs w:val="20"/>
          <w:color w:val="auto"/>
        </w:rPr>
      </w:pPr>
      <w:r>
        <w:rPr>
          <w:sz w:val="20"/>
          <w:szCs w:val="20"/>
          <w:color w:val="auto"/>
        </w:rPr>
        <w:br w:type="column"/>
      </w:r>
    </w:p>
    <w:p>
      <w:pPr>
        <w:ind w:right="400"/>
        <w:spacing w:after="0" w:line="257" w:lineRule="auto"/>
        <w:rPr>
          <w:sz w:val="20"/>
          <w:szCs w:val="20"/>
          <w:color w:val="auto"/>
        </w:rPr>
      </w:pPr>
      <w:r>
        <w:rPr>
          <w:rFonts w:ascii="Times New Roman" w:cs="Times New Roman" w:eastAsia="Times New Roman" w:hAnsi="Times New Roman"/>
          <w:sz w:val="18"/>
          <w:szCs w:val="18"/>
          <w:color w:val="auto"/>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-568960</wp:posOffset>
            </wp:positionV>
            <wp:extent cx="717740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400" w:space="720"/>
            <w:col w:w="7620"/>
          </w:cols>
          <w:pgMar w:left="560" w:top="372" w:right="599" w:bottom="1440" w:gutter="0" w:footer="0" w:header="0"/>
        </w:sectPr>
      </w:pPr>
    </w:p>
    <w:p>
      <w:pPr>
        <w:ind w:left="3120" w:right="440"/>
        <w:spacing w:after="0" w:line="270" w:lineRule="auto"/>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 “Scheduled Closing Time” in the fourth line thereof.</w:t>
      </w:r>
    </w:p>
    <w:p>
      <w:pPr>
        <w:sectPr>
          <w:pgSz w:w="11900" w:h="16838" w:orient="portrait"/>
          <w:cols w:equalWidth="0" w:num="1">
            <w:col w:w="10740"/>
          </w:cols>
          <w:pgMar w:left="560" w:top="372" w:right="59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Terms: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Settlement Method Election:</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Section 7.1 of the Equity Definitions is hereby amended by replacing the term “Physical Settlement” with the terms “Net Share Settlement or Combination Settlement”, (b) Counterparty must make a single irrevocable election for all Components and (c) if Counterparty is electing Cash Settlement or Combination Settlement, such Settlement Method Election will be effective only if Counterparty represents and warrants to Dealer in writing on the date of such Settlement Method Election that (i) Counterparty is not in possession of any material non-public information regarding Counterparty or the Shares, and (ii) such election is being made in good faith and not as part of a plan or scheme to evade compliance with the federal securities laws.</w:t>
      </w:r>
    </w:p>
    <w:p>
      <w:pPr>
        <w:spacing w:after="0" w:line="100"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120" w:right="240"/>
        <w:spacing w:after="0" w:line="300" w:lineRule="auto"/>
        <w:rPr>
          <w:sz w:val="20"/>
          <w:szCs w:val="20"/>
          <w:color w:val="auto"/>
        </w:rPr>
      </w:pPr>
      <w:r>
        <w:rPr>
          <w:rFonts w:ascii="Times New Roman" w:cs="Times New Roman" w:eastAsia="Times New Roman" w:hAnsi="Times New Roman"/>
          <w:sz w:val="17"/>
          <w:szCs w:val="17"/>
          <w:color w:val="auto"/>
        </w:rPr>
        <w:t>If Counterparty is electing Combination Settlement, Counterparty shall also specify a specified dollar amount (the “</w:t>
      </w:r>
      <w:r>
        <w:rPr>
          <w:rFonts w:ascii="Times New Roman" w:cs="Times New Roman" w:eastAsia="Times New Roman" w:hAnsi="Times New Roman"/>
          <w:sz w:val="17"/>
          <w:szCs w:val="17"/>
          <w:b w:val="1"/>
          <w:bCs w:val="1"/>
          <w:color w:val="auto"/>
        </w:rPr>
        <w:t>Specified Cash Amount</w:t>
      </w:r>
      <w:r>
        <w:rPr>
          <w:rFonts w:ascii="Times New Roman" w:cs="Times New Roman" w:eastAsia="Times New Roman" w:hAnsi="Times New Roman"/>
          <w:sz w:val="17"/>
          <w:szCs w:val="17"/>
          <w:color w:val="auto"/>
        </w:rPr>
        <w:t>”) in the notice specifying its election of Combination Settlement.</w:t>
      </w:r>
    </w:p>
    <w:p>
      <w:pPr>
        <w:spacing w:after="0" w:line="53" w:lineRule="exact"/>
        <w:rPr>
          <w:sz w:val="20"/>
          <w:szCs w:val="20"/>
          <w:color w:val="auto"/>
        </w:rPr>
      </w:pPr>
    </w:p>
    <w:p>
      <w:pPr>
        <w:ind w:left="3120" w:right="40"/>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Counterparty acknowledges its responsibilities under applicable securities laws, and in particular Sections 9 and 10(b)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promulgated thereunder in respect of such election.</w:t>
      </w:r>
    </w:p>
    <w:p>
      <w:pPr>
        <w:sectPr>
          <w:pgSz w:w="11900" w:h="16838" w:orient="portrait"/>
          <w:cols w:equalWidth="0" w:num="1">
            <w:col w:w="10740"/>
          </w:cols>
          <w:pgMar w:left="560" w:top="372" w:right="599" w:bottom="1440" w:gutter="0" w:footer="0" w:header="0"/>
          <w:type w:val="continuous"/>
        </w:sectPr>
      </w:pP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Electing Party: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Counterparty</w:t>
      </w:r>
    </w:p>
    <w:p>
      <w:pPr>
        <w:spacing w:after="0" w:line="12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jc w:val="center"/>
        <w:ind w:left="340"/>
        <w:spacing w:after="0"/>
        <w:rPr>
          <w:sz w:val="20"/>
          <w:szCs w:val="20"/>
          <w:color w:val="auto"/>
        </w:rPr>
      </w:pPr>
      <w:r>
        <w:rPr>
          <w:rFonts w:ascii="Times New Roman" w:cs="Times New Roman" w:eastAsia="Times New Roman" w:hAnsi="Times New Roman"/>
          <w:sz w:val="17"/>
          <w:szCs w:val="17"/>
          <w:color w:val="auto"/>
        </w:rPr>
        <w:t>Settlement Method Election Date:</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8"/>
          <w:szCs w:val="18"/>
          <w:color w:val="auto"/>
        </w:rPr>
        <w:t>The second Scheduled Valid Day prior to the scheduled Expiration Date for the Component with the earliest scheduled Expiration Date.</w:t>
      </w:r>
    </w:p>
    <w:p>
      <w:pPr>
        <w:spacing w:after="0" w:line="62" w:lineRule="exact"/>
        <w:rPr>
          <w:sz w:val="20"/>
          <w:szCs w:val="20"/>
          <w:color w:val="auto"/>
        </w:rPr>
      </w:pPr>
    </w:p>
    <w:p>
      <w:pPr>
        <w:sectPr>
          <w:pgSz w:w="11900" w:h="16838" w:orient="portrait"/>
          <w:cols w:equalWidth="0" w:num="2">
            <w:col w:w="2740" w:space="38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12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Net Share Settlement:</w:t>
      </w:r>
    </w:p>
    <w:p>
      <w:pPr>
        <w:spacing w:after="0" w:line="20" w:lineRule="exact"/>
        <w:rPr>
          <w:sz w:val="20"/>
          <w:szCs w:val="20"/>
          <w:color w:val="auto"/>
        </w:rPr>
      </w:pPr>
      <w:r>
        <w:rPr>
          <w:sz w:val="20"/>
          <w:szCs w:val="20"/>
          <w:color w:val="auto"/>
        </w:rPr>
        <w:br w:type="column"/>
      </w:r>
    </w:p>
    <w:p>
      <w:pPr>
        <w:ind w:right="180"/>
        <w:spacing w:after="0" w:line="253" w:lineRule="auto"/>
        <w:rPr>
          <w:sz w:val="20"/>
          <w:szCs w:val="20"/>
          <w:color w:val="auto"/>
        </w:rPr>
      </w:pPr>
      <w:r>
        <w:rPr>
          <w:rFonts w:ascii="Times New Roman" w:cs="Times New Roman" w:eastAsia="Times New Roman" w:hAnsi="Times New Roman"/>
          <w:sz w:val="18"/>
          <w:szCs w:val="18"/>
          <w:color w:val="auto"/>
        </w:rPr>
        <w:t>With respect to any Component, if Net Share Settlement is applicable to the Options exercised or deemed exercised hereunder, Dealer will deliver to Counterparty, on the Settlement Date, a number of Shares (the “</w:t>
      </w:r>
      <w:r>
        <w:rPr>
          <w:rFonts w:ascii="Times New Roman" w:cs="Times New Roman" w:eastAsia="Times New Roman" w:hAnsi="Times New Roman"/>
          <w:sz w:val="18"/>
          <w:szCs w:val="18"/>
          <w:b w:val="1"/>
          <w:bCs w:val="1"/>
          <w:color w:val="auto"/>
        </w:rPr>
        <w:t>Net Share Settlement Amount</w:t>
      </w:r>
      <w:r>
        <w:rPr>
          <w:rFonts w:ascii="Times New Roman" w:cs="Times New Roman" w:eastAsia="Times New Roman" w:hAnsi="Times New Roman"/>
          <w:sz w:val="18"/>
          <w:szCs w:val="18"/>
          <w:color w:val="auto"/>
        </w:rPr>
        <w:t xml:space="preserve">”) equal to (i) the Daily Option Value on the Expiration Date of such Component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Relevant Price on such Expiration Date.</w:t>
      </w:r>
    </w:p>
    <w:p>
      <w:pPr>
        <w:spacing w:after="0" w:line="9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120" w:right="520"/>
        <w:spacing w:after="0" w:line="300" w:lineRule="auto"/>
        <w:rPr>
          <w:sz w:val="20"/>
          <w:szCs w:val="20"/>
          <w:color w:val="auto"/>
        </w:rPr>
      </w:pPr>
      <w:r>
        <w:rPr>
          <w:rFonts w:ascii="Times New Roman" w:cs="Times New Roman" w:eastAsia="Times New Roman" w:hAnsi="Times New Roman"/>
          <w:sz w:val="17"/>
          <w:szCs w:val="17"/>
          <w:color w:val="auto"/>
        </w:rPr>
        <w:t>Dealer will deliver cash in lieu of any fractional Shares to be delivered with respect to any Net Share Settlement Amount valued at the Relevant Price for the Expiration Date of such Component.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40"/>
          </w:cols>
          <w:pgMar w:left="560" w:top="372" w:right="5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Cash Settlement:</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With respect to any Component, if Cash Settlement is applicable to the Options exercised or deemed exercised hereunder, in lieu of Section 8.1 of the Equity Definitions, Dealer will pay to Counterparty on the Settlement Date, an amount of cash (the “</w:t>
      </w:r>
      <w:r>
        <w:rPr>
          <w:rFonts w:ascii="Times New Roman" w:cs="Times New Roman" w:eastAsia="Times New Roman" w:hAnsi="Times New Roman"/>
          <w:sz w:val="18"/>
          <w:szCs w:val="18"/>
          <w:b w:val="1"/>
          <w:bCs w:val="1"/>
          <w:color w:val="auto"/>
        </w:rPr>
        <w:t>Cash Settlement Amount</w:t>
      </w:r>
      <w:r>
        <w:rPr>
          <w:rFonts w:ascii="Times New Roman" w:cs="Times New Roman" w:eastAsia="Times New Roman" w:hAnsi="Times New Roman"/>
          <w:sz w:val="18"/>
          <w:szCs w:val="18"/>
          <w:color w:val="auto"/>
        </w:rPr>
        <w:t>”) equal to the Daily Option Value on the Expiration Date of such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-634365</wp:posOffset>
            </wp:positionV>
            <wp:extent cx="717740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060" w:space="720"/>
            <w:col w:w="7640"/>
          </w:cols>
          <w:pgMar w:left="900" w:top="266" w:right="5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Combination Settlement:</w:t>
      </w:r>
    </w:p>
    <w:p>
      <w:pPr>
        <w:spacing w:after="0" w:line="20" w:lineRule="exact"/>
        <w:rPr>
          <w:sz w:val="20"/>
          <w:szCs w:val="20"/>
          <w:color w:val="auto"/>
        </w:rPr>
      </w:pPr>
      <w:r>
        <w:rPr>
          <w:sz w:val="20"/>
          <w:szCs w:val="20"/>
          <w:color w:val="auto"/>
        </w:rPr>
        <w:br w:type="column"/>
      </w:r>
    </w:p>
    <w:p>
      <w:pPr>
        <w:ind w:right="580"/>
        <w:spacing w:after="0" w:line="257" w:lineRule="auto"/>
        <w:rPr>
          <w:sz w:val="20"/>
          <w:szCs w:val="20"/>
          <w:color w:val="auto"/>
        </w:rPr>
      </w:pPr>
      <w:r>
        <w:rPr>
          <w:rFonts w:ascii="Times New Roman" w:cs="Times New Roman" w:eastAsia="Times New Roman" w:hAnsi="Times New Roman"/>
          <w:sz w:val="18"/>
          <w:szCs w:val="18"/>
          <w:color w:val="auto"/>
        </w:rPr>
        <w:t>With respect to any Component, if Combination Settlement is applicable to the Options exercised or deemed exercised hereunder, Dealer will pay or deliver, as the case may be, to Counterparty on the Settlement Date:</w:t>
      </w:r>
    </w:p>
    <w:p>
      <w:pPr>
        <w:spacing w:after="0" w:line="86"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ind w:left="2780"/>
        <w:spacing w:after="0" w:line="258" w:lineRule="auto"/>
        <w:rPr>
          <w:sz w:val="20"/>
          <w:szCs w:val="20"/>
          <w:color w:val="auto"/>
        </w:rPr>
      </w:pPr>
      <w:r>
        <w:rPr>
          <w:rFonts w:ascii="Times New Roman" w:cs="Times New Roman" w:eastAsia="Times New Roman" w:hAnsi="Times New Roman"/>
          <w:sz w:val="18"/>
          <w:szCs w:val="18"/>
          <w:color w:val="auto"/>
        </w:rPr>
        <w:t xml:space="preserve">(i) an amount of cash equal to the lesser of (A) the Specified Cash Amount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number of Components for the Transaction and (B) the Daily Option Value on the Expiration Date of such Component; and</w:t>
      </w:r>
    </w:p>
    <w:p>
      <w:pPr>
        <w:spacing w:after="0" w:line="85" w:lineRule="exact"/>
        <w:rPr>
          <w:sz w:val="20"/>
          <w:szCs w:val="20"/>
          <w:color w:val="auto"/>
        </w:rPr>
      </w:pPr>
    </w:p>
    <w:p>
      <w:pPr>
        <w:ind w:left="2780" w:right="100"/>
        <w:spacing w:after="0" w:line="250" w:lineRule="auto"/>
        <w:rPr>
          <w:sz w:val="20"/>
          <w:szCs w:val="20"/>
          <w:color w:val="auto"/>
        </w:rPr>
      </w:pPr>
      <w:r>
        <w:rPr>
          <w:rFonts w:ascii="Times New Roman" w:cs="Times New Roman" w:eastAsia="Times New Roman" w:hAnsi="Times New Roman"/>
          <w:sz w:val="18"/>
          <w:szCs w:val="18"/>
          <w:color w:val="auto"/>
        </w:rPr>
        <w:t>(ii) a number of Shares (the “</w:t>
      </w:r>
      <w:r>
        <w:rPr>
          <w:rFonts w:ascii="Times New Roman" w:cs="Times New Roman" w:eastAsia="Times New Roman" w:hAnsi="Times New Roman"/>
          <w:sz w:val="18"/>
          <w:szCs w:val="18"/>
          <w:b w:val="1"/>
          <w:bCs w:val="1"/>
          <w:color w:val="auto"/>
        </w:rPr>
        <w:t>Combination Settlement Share Amount</w:t>
      </w:r>
      <w:r>
        <w:rPr>
          <w:rFonts w:ascii="Times New Roman" w:cs="Times New Roman" w:eastAsia="Times New Roman" w:hAnsi="Times New Roman"/>
          <w:sz w:val="18"/>
          <w:szCs w:val="18"/>
          <w:color w:val="auto"/>
        </w:rPr>
        <w:t xml:space="preserve">”) equal to (A) the excess of (1) the Daily Option Value on the Expiration Date of such Component over the (2) the Specified Cash Amount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the number of Components for the Transaction,</w:t>
      </w:r>
      <w:r>
        <w:rPr>
          <w:rFonts w:ascii="Times New Roman" w:cs="Times New Roman" w:eastAsia="Times New Roman" w:hAnsi="Times New Roman"/>
          <w:sz w:val="18"/>
          <w:szCs w:val="18"/>
          <w:i w:val="1"/>
          <w:iCs w:val="1"/>
          <w:color w:val="auto"/>
        </w:rPr>
        <w:t xml:space="preserve"> divided by </w:t>
      </w:r>
      <w:r>
        <w:rPr>
          <w:rFonts w:ascii="Times New Roman" w:cs="Times New Roman" w:eastAsia="Times New Roman" w:hAnsi="Times New Roman"/>
          <w:sz w:val="18"/>
          <w:szCs w:val="18"/>
          <w:color w:val="auto"/>
        </w:rPr>
        <w:t>(B) the Relevant Price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in sub-clause (A) above results in zero or a negative number for any Expiration Date, the Combination Settlement Share Amount for such Expiration Date shall be deemed to be zero.</w:t>
      </w:r>
    </w:p>
    <w:p>
      <w:pPr>
        <w:spacing w:after="0" w:line="95" w:lineRule="exact"/>
        <w:rPr>
          <w:sz w:val="20"/>
          <w:szCs w:val="20"/>
          <w:color w:val="auto"/>
        </w:rPr>
      </w:pPr>
    </w:p>
    <w:p>
      <w:pPr>
        <w:ind w:left="2780" w:right="320"/>
        <w:spacing w:after="0" w:line="300" w:lineRule="auto"/>
        <w:rPr>
          <w:sz w:val="20"/>
          <w:szCs w:val="20"/>
          <w:color w:val="auto"/>
        </w:rPr>
      </w:pPr>
      <w:r>
        <w:rPr>
          <w:rFonts w:ascii="Times New Roman" w:cs="Times New Roman" w:eastAsia="Times New Roman" w:hAnsi="Times New Roman"/>
          <w:sz w:val="17"/>
          <w:szCs w:val="17"/>
          <w:color w:val="auto"/>
        </w:rPr>
        <w:t>Dealer will deliver cash in lieu of any fractional Shares to be delivered with respect to any Combination Settlement Share Amount valued at the Relevant Price for the Expiration Date of such Component.</w:t>
      </w:r>
    </w:p>
    <w:p>
      <w:pPr>
        <w:sectPr>
          <w:pgSz w:w="11900" w:h="16838" w:orient="portrait"/>
          <w:cols w:equalWidth="0" w:num="1">
            <w:col w:w="10420"/>
          </w:cols>
          <w:pgMar w:left="900" w:top="266" w:right="57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Daily Option Value: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any Component, an amount equal to (i) the Number of Options in such Component, </w:t>
      </w:r>
      <w:r>
        <w:rPr>
          <w:rFonts w:ascii="Times New Roman" w:cs="Times New Roman" w:eastAsia="Times New Roman" w:hAnsi="Times New Roman"/>
          <w:sz w:val="18"/>
          <w:szCs w:val="18"/>
          <w:i w:val="1"/>
          <w:iCs w:val="1"/>
          <w:color w:val="auto"/>
        </w:rPr>
        <w:t>multiplied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(ii) the Option Entitlement,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(iii) (A) the lesser of the Relevant Price on the Expiration Date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Component and the Cap Price,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Strike Price on such Expiration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contained in clause (iii) above results in a negative number, the Daily Option Value for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 shall be deemed to be zero. In no event will the Daily Option Value be less than zero.</w:t>
      </w:r>
    </w:p>
    <w:p>
      <w:pPr>
        <w:spacing w:after="0" w:line="92"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Valid Day:</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Times New Roman" w:cs="Times New Roman" w:eastAsia="Times New Roman" w:hAnsi="Times New Roman"/>
          <w:sz w:val="18"/>
          <w:szCs w:val="18"/>
          <w:color w:val="auto"/>
        </w:rPr>
        <w:t>A day on which (i) there is no Market Disruption Event and (ii) trading in the Shares generally occurs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Valid Day</w:t>
      </w:r>
      <w:r>
        <w:rPr>
          <w:rFonts w:ascii="Times New Roman" w:cs="Times New Roman" w:eastAsia="Times New Roman" w:hAnsi="Times New Roman"/>
          <w:sz w:val="18"/>
          <w:szCs w:val="18"/>
          <w:color w:val="auto"/>
        </w:rPr>
        <w:t>” means a Business Day.</w:t>
      </w:r>
    </w:p>
    <w:p>
      <w:pPr>
        <w:spacing w:after="0" w:line="74"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Scheduled Valid Day:</w:t>
      </w:r>
    </w:p>
    <w:p>
      <w:pPr>
        <w:spacing w:after="0" w:line="20" w:lineRule="exact"/>
        <w:rPr>
          <w:sz w:val="20"/>
          <w:szCs w:val="20"/>
          <w:color w:val="auto"/>
        </w:rPr>
      </w:pPr>
      <w:r>
        <w:rPr>
          <w:sz w:val="20"/>
          <w:szCs w:val="20"/>
          <w:color w:val="auto"/>
        </w:rPr>
        <w:br w:type="column"/>
      </w:r>
    </w:p>
    <w:p>
      <w:pPr>
        <w:ind w:right="120"/>
        <w:spacing w:after="0" w:line="270" w:lineRule="auto"/>
        <w:rPr>
          <w:sz w:val="20"/>
          <w:szCs w:val="20"/>
          <w:color w:val="auto"/>
        </w:rPr>
      </w:pPr>
      <w:r>
        <w:rPr>
          <w:rFonts w:ascii="Times New Roman" w:cs="Times New Roman" w:eastAsia="Times New Roman" w:hAnsi="Times New Roman"/>
          <w:sz w:val="18"/>
          <w:szCs w:val="18"/>
          <w:color w:val="auto"/>
        </w:rPr>
        <w:t>A day that is scheduled to be a Valid Day on the Exchange. If the Shares are not listed, quoted or traded on any U.S. securities exchange or any other market, “</w:t>
      </w:r>
      <w:r>
        <w:rPr>
          <w:rFonts w:ascii="Times New Roman" w:cs="Times New Roman" w:eastAsia="Times New Roman" w:hAnsi="Times New Roman"/>
          <w:sz w:val="18"/>
          <w:szCs w:val="18"/>
          <w:b w:val="1"/>
          <w:bCs w:val="1"/>
          <w:color w:val="auto"/>
        </w:rPr>
        <w:t>Scheduled Valid Day</w:t>
      </w:r>
      <w:r>
        <w:rPr>
          <w:rFonts w:ascii="Times New Roman" w:cs="Times New Roman" w:eastAsia="Times New Roman" w:hAnsi="Times New Roman"/>
          <w:sz w:val="18"/>
          <w:szCs w:val="18"/>
          <w:color w:val="auto"/>
        </w:rPr>
        <w:t>” means a Business Day.</w:t>
      </w:r>
    </w:p>
    <w:p>
      <w:pPr>
        <w:spacing w:after="0" w:line="62"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Business Day:</w:t>
      </w:r>
    </w:p>
    <w:p>
      <w:pPr>
        <w:spacing w:after="0" w:line="20" w:lineRule="exact"/>
        <w:rPr>
          <w:sz w:val="20"/>
          <w:szCs w:val="20"/>
          <w:color w:val="auto"/>
        </w:rPr>
      </w:pPr>
      <w:r>
        <w:rPr>
          <w:sz w:val="20"/>
          <w:szCs w:val="20"/>
          <w:color w:val="auto"/>
        </w:rPr>
        <w:br w:type="column"/>
      </w:r>
    </w:p>
    <w:p>
      <w:pPr>
        <w:ind w:right="500"/>
        <w:spacing w:after="0" w:line="270" w:lineRule="auto"/>
        <w:rPr>
          <w:sz w:val="20"/>
          <w:szCs w:val="20"/>
          <w:color w:val="auto"/>
        </w:rPr>
      </w:pPr>
      <w:r>
        <w:rPr>
          <w:rFonts w:ascii="Times New Roman" w:cs="Times New Roman" w:eastAsia="Times New Roman" w:hAnsi="Times New Roman"/>
          <w:sz w:val="18"/>
          <w:szCs w:val="18"/>
          <w:color w:val="auto"/>
        </w:rPr>
        <w:t>Any day other than a Saturday, a Sunday or other day on which banking institutions are authorized or required by law, regulation or executive order to close or be closed in the State of New York.</w:t>
      </w:r>
    </w:p>
    <w:p>
      <w:pPr>
        <w:spacing w:after="0" w:line="102"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420"/>
          </w:cols>
          <w:pgMar w:left="900" w:top="266" w:right="57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Relevant Price:</w:t>
      </w:r>
    </w:p>
    <w:p>
      <w:pPr>
        <w:spacing w:after="0" w:line="20" w:lineRule="exact"/>
        <w:rPr>
          <w:sz w:val="20"/>
          <w:szCs w:val="20"/>
          <w:color w:val="auto"/>
        </w:rPr>
      </w:pPr>
      <w:r>
        <w:rPr>
          <w:sz w:val="20"/>
          <w:szCs w:val="20"/>
          <w:color w:val="auto"/>
        </w:rPr>
        <w:br w:type="column"/>
      </w:r>
    </w:p>
    <w:p>
      <w:pPr>
        <w:ind w:right="60"/>
        <w:spacing w:after="0" w:line="248" w:lineRule="auto"/>
        <w:rPr>
          <w:sz w:val="20"/>
          <w:szCs w:val="20"/>
          <w:color w:val="auto"/>
        </w:rPr>
      </w:pPr>
      <w:r>
        <w:rPr>
          <w:rFonts w:ascii="Times New Roman" w:cs="Times New Roman" w:eastAsia="Times New Roman" w:hAnsi="Times New Roman"/>
          <w:sz w:val="18"/>
          <w:szCs w:val="18"/>
          <w:color w:val="auto"/>
        </w:rPr>
        <w:t>On any Valid Day, the per Share volume-weighted average price as displayed under the heading “Bloomberg VWAP” on Bloomberg page “XMTR &lt;equity&gt; AQR” (or its equivalent successor if such page is not available) (the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a good faith and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-1302385</wp:posOffset>
            </wp:positionV>
            <wp:extent cx="717740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060" w:space="720"/>
            <w:col w:w="7640"/>
          </w:cols>
          <w:pgMar w:left="900" w:top="266" w:right="5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ind w:right="340"/>
        <w:spacing w:after="0" w:line="270" w:lineRule="auto"/>
        <w:rPr>
          <w:sz w:val="20"/>
          <w:szCs w:val="20"/>
          <w:color w:val="auto"/>
        </w:rPr>
      </w:pPr>
      <w:r>
        <w:rPr>
          <w:rFonts w:ascii="Times New Roman" w:cs="Times New Roman" w:eastAsia="Times New Roman" w:hAnsi="Times New Roman"/>
          <w:sz w:val="18"/>
          <w:szCs w:val="18"/>
          <w:color w:val="auto"/>
        </w:rPr>
        <w:t>For all Components of the Transaction, the date that is one Settlement Cycle immediately following the Expiration Date for the Component with the latest Expiration Date.</w:t>
      </w:r>
    </w:p>
    <w:p>
      <w:pPr>
        <w:spacing w:after="0" w:line="62"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USD</w:t>
      </w:r>
    </w:p>
    <w:p>
      <w:pPr>
        <w:spacing w:after="0" w:line="110"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Times New Roman" w:cs="Times New Roman" w:eastAsia="Times New Roman" w:hAnsi="Times New Roman"/>
          <w:sz w:val="18"/>
          <w:szCs w:val="18"/>
          <w:color w:val="auto"/>
        </w:rPr>
        <w:t>The provisions of Sections 9.1(c), 9.8, 9.9, 9.11 and 9.12 of the Equity Definitions will be applicable, except that any references in such provisions to “Physical Settlement” shall be read as references to “Net Share Settlement or Combination Settlement, as applicable”.</w:t>
      </w:r>
    </w:p>
    <w:p>
      <w:pPr>
        <w:spacing w:after="0" w:line="74" w:lineRule="exact"/>
        <w:rPr>
          <w:sz w:val="20"/>
          <w:szCs w:val="20"/>
          <w:color w:val="auto"/>
        </w:rPr>
      </w:pPr>
    </w:p>
    <w:p>
      <w:pPr>
        <w:sectPr>
          <w:pgSz w:w="11900" w:h="16838" w:orient="portrait"/>
          <w:cols w:equalWidth="0" w:num="2">
            <w:col w:w="2060" w:space="720"/>
            <w:col w:w="7640"/>
          </w:cols>
          <w:pgMar w:left="90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Representation and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Notwithstanding anything to the contrary in the Equity Definitions (including, but not limited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9.11 thereof), the parties acknowledge that (i) any Shares delivered to Counterparty shall be, upon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delivery, subject to restrictions, obligations and limitations arising from Counterparty’s status as issuer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under applicable securities laws, (ii) Dealer may deliver any Shares required to be delivered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in certificated form in lieu of delivery through the Clearance System and (iii) any Shares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delivered to Counterparty may be “restricted securities” (as defined in Rule 144 under the Securities Act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ectPr>
          <w:pgSz w:w="11900" w:h="16838" w:orient="portrait"/>
          <w:cols w:equalWidth="0" w:num="2">
            <w:col w:w="2240" w:space="540"/>
            <w:col w:w="7640"/>
          </w:cols>
          <w:pgMar w:left="900" w:top="266" w:right="579"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0420"/>
          </w:cols>
          <w:pgMar w:left="900" w:top="266" w:right="57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Adjustments: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Method of Adjustment:</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 xml:space="preserve">Calculation Agent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agree that (x) open market Share repurchases at prevailing market prices, (y) Share repurchases through a dealer pursuant to accelerated share repurchases, forward contracts or similar transactions (including, without limitation, any discount to average VWAP prices) that are entered into at prevailing market prices and in accordance with customary market terms for transactions of such type to repurchase the Shares and (z) any reacquisition of Shares pursuant to Counterparty’s employee incentive plans in connection with the related equity transactions, or Counterparty’s withholding of Shares to cover tax liabilities associated with such equity transactions, shall not be considered Potential Adjustment Events so long as, in the case of each of clause (x) and clause (y), such repurchases would not reduce the number of total Shares outstanding to be less than [       ] Shares, as determined by the Calculation Agent in a commercially reasonable manner and as adjusted by the Calculation Agent in a commercially reasonable manner to account for any subdivision or combination with respect to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-1970405</wp:posOffset>
            </wp:positionV>
            <wp:extent cx="717740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2400" w:space="720"/>
            <w:col w:w="7620"/>
          </w:cols>
          <w:pgMar w:left="560" w:top="372" w:right="5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Extraordinary Events: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Shares: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organized under the laws of the United States, any State thereof or the District of Columbia”.</w:t>
      </w:r>
    </w:p>
    <w:p>
      <w:pPr>
        <w:spacing w:after="0" w:line="80"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Consequences of Merger Events:</w:t>
      </w:r>
    </w:p>
    <w:p>
      <w:pPr>
        <w:sectPr>
          <w:pgSz w:w="11900" w:h="16838" w:orient="portrait"/>
          <w:cols w:equalWidth="0" w:num="1">
            <w:col w:w="10740"/>
          </w:cols>
          <w:pgMar w:left="560" w:top="372" w:right="599" w:bottom="1440" w:gutter="0" w:footer="0" w:header="0"/>
          <w:type w:val="continuous"/>
        </w:sectPr>
      </w:pP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Share-for-Share: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Cancellation and Payment (Calculation Agent Determination)</w:t>
      </w:r>
    </w:p>
    <w:p>
      <w:pPr>
        <w:spacing w:after="0" w:line="119"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 Share-for-Combined:</w:t>
      </w:r>
    </w:p>
    <w:p>
      <w:pPr>
        <w:spacing w:after="0" w:line="20" w:lineRule="exact"/>
        <w:rPr>
          <w:sz w:val="20"/>
          <w:szCs w:val="20"/>
          <w:color w:val="auto"/>
        </w:rPr>
      </w:pPr>
      <w:r>
        <w:rPr>
          <w:sz w:val="20"/>
          <w:szCs w:val="20"/>
          <w:color w:val="auto"/>
        </w:rPr>
        <w:br w:type="column"/>
      </w:r>
    </w:p>
    <w:p>
      <w:pPr>
        <w:ind w:right="300"/>
        <w:spacing w:after="0" w:line="272"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Calculation Agent may elect Component Adjustment for all or part of the Transaction</w:t>
      </w:r>
    </w:p>
    <w:p>
      <w:pPr>
        <w:spacing w:after="0" w:line="59"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Tender Offer:</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definition of “Tender Offer” in Section 12.1 of the Equity Definitions will be amended by replacing “10%” with “20%” and (y) each of Section 12.1(d), Section 12.1(e) and Section 12.1(l) of the Equity Definitions will be amended by replacing the references therein to “voting shares” with “Shares”.</w:t>
      </w:r>
    </w:p>
    <w:p>
      <w:pPr>
        <w:spacing w:after="0" w:line="76"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Consequences of Tender Offers:</w:t>
      </w:r>
    </w:p>
    <w:p>
      <w:pPr>
        <w:sectPr>
          <w:pgSz w:w="11900" w:h="16838" w:orient="portrait"/>
          <w:cols w:equalWidth="0" w:num="1">
            <w:col w:w="10740"/>
          </w:cols>
          <w:pgMar w:left="560" w:top="372" w:right="599" w:bottom="1440" w:gutter="0" w:footer="0" w:header="0"/>
          <w:type w:val="continuous"/>
        </w:sectPr>
      </w:pP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Share-for-Share: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(b) 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2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 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Modified Calculation Agent Adjustment</w:t>
      </w:r>
    </w:p>
    <w:p>
      <w:pPr>
        <w:spacing w:after="0" w:line="161" w:lineRule="exact"/>
        <w:rPr>
          <w:sz w:val="20"/>
          <w:szCs w:val="20"/>
          <w:color w:val="auto"/>
        </w:rPr>
      </w:pPr>
    </w:p>
    <w:p>
      <w:pPr>
        <w:sectPr>
          <w:pgSz w:w="11900" w:h="16838" w:orient="portrait"/>
          <w:cols w:equalWidth="0" w:num="2">
            <w:col w:w="2400" w:space="720"/>
            <w:col w:w="7620"/>
          </w:cols>
          <w:pgMar w:left="560" w:top="372" w:right="5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740"/>
          </w:cols>
          <w:pgMar w:left="560" w:top="372" w:right="599" w:bottom="1440" w:gutter="0" w:footer="0" w:header="0"/>
          <w:type w:val="continuous"/>
        </w:sectPr>
      </w:pPr>
    </w:p>
    <w:bookmarkStart w:id="135" w:name="page136"/>
    <w:bookmarkEnd w:id="135"/>
    <w:p>
      <w:pPr>
        <w:spacing w:after="0" w:line="270" w:lineRule="auto"/>
        <w:rPr>
          <w:sz w:val="20"/>
          <w:szCs w:val="20"/>
          <w:color w:val="auto"/>
        </w:rPr>
      </w:pPr>
      <w:r>
        <w:rPr>
          <w:rFonts w:ascii="Times New Roman" w:cs="Times New Roman" w:eastAsia="Times New Roman" w:hAnsi="Times New Roman"/>
          <w:sz w:val="18"/>
          <w:szCs w:val="18"/>
          <w:color w:val="auto"/>
        </w:rPr>
        <w:t>Consequences of Announcement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Event: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Modified Calculation Agent Adjustment as set forth in Section 12.3(d) of the Equity Definitions; </w:t>
      </w:r>
      <w:r>
        <w:rPr>
          <w:rFonts w:ascii="Times New Roman" w:cs="Times New Roman" w:eastAsia="Times New Roman" w:hAnsi="Times New Roman"/>
          <w:sz w:val="17"/>
          <w:szCs w:val="17"/>
          <w:i w:val="1"/>
          <w:iCs w:val="1"/>
          <w:color w:val="auto"/>
        </w:rPr>
        <w:t>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-353695</wp:posOffset>
            </wp:positionV>
            <wp:extent cx="717740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in respect of an Announcement Event, (x) references to “Tender Offer” shall be replaced by references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“Announcement Event” and references to “Tender Offer Date” shall be replaced by references to “date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Announcement Event”, (y) the phrase “exercise, settlement, payment or any other terms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(including, without limitation, the spread)” shall be replaced with the phrase “Cap Price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 Cap Price be less than the Strike Price)” and the words “whether within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commercially reasonable (as determined by the Calculation Agent) period of time prior to or after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Announcement Event,” shall be inserted prior to the word “which” in the seventh line thereof, and (z) for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avoidance of doubt, the Calculation Agent shall, in good faith and a commercially reasonable manner,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 whether the relevant Announcement Event has had a material economic effect on the Transaction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if so, shall adjust the Cap Price accordingly to take into account such economic effect on one or more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occasions on or after the date of the Announcement Event up to, and including, the final Expiration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Early Termination Date and/or any other date of cancellation, it being understood that any adjustment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an Announcement Event shall take into account any earlier adjustment relating to the same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Announcement Event and shall not be duplicative with any other adjustment or cancellation valuation made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pursuant to this Confirmation, the Equity Definitions or the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 Price be adjusted to be less than the Strike Price. An Announcement Event shall be an “Extraordinary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for purposes of the Equity Definitions, to which Article 12 of the Equity Definitions is applicable;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upon the Calculation Agent making an adjustment, determined in a commercially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reasonable manner, to the Cap Price upon any Announcement Event, then the Calculation Agent shall make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adjustment to the Cap Price upon any announcement regarding the same event that gave rise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Announcement Event regarding the abandonment of any such event to the extent necessary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 the economic effect of such subsequent announcement on the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the Cap Price be less than the Strike Price).</w:t>
      </w:r>
    </w:p>
    <w:p>
      <w:pPr>
        <w:spacing w:after="0" w:line="106" w:lineRule="exact"/>
        <w:rPr>
          <w:sz w:val="20"/>
          <w:szCs w:val="20"/>
          <w:color w:val="auto"/>
        </w:rPr>
      </w:pPr>
    </w:p>
    <w:p>
      <w:pPr>
        <w:ind w:firstLine="6"/>
        <w:spacing w:after="0" w:line="247" w:lineRule="auto"/>
        <w:tabs>
          <w:tab w:leader="none" w:pos="21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(whether by Counterparty, any agent of Counterparty, any affiliate of Counterparty, a Valid Third Party Entity or any affiliate, agent or representative of a Valid Third Party Entity (each, a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of any transaction or event that, if completed, would constitute a Merger Event or Tender Offer, or the announcement by Counterparty of any intention to enter into a Merger Event or Tender Offer, (ii) the public announcement by Counterparty of an intention by Counterparty to solicit or enter into, or to explore strategic alternatives or other similar undertaking that may include, a Merger Event or Tender Offer, (iii) the public announcement by a Relevant Party of any potential acquisition or disposition by Counterparty and/or its subsidiaries where the consideration exceeds 35% of the market capitalization of Counterparty as of the date of such announcement, or (iv) any subsequent public announcement of a change to a transaction or intention that is the subject of an</w:t>
      </w:r>
    </w:p>
    <w:p>
      <w:pPr>
        <w:spacing w:after="0" w:line="12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2320" w:space="460"/>
            <w:col w:w="7640"/>
          </w:cols>
          <w:pgMar w:left="900" w:top="266" w:right="57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 Third Party Entity: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Merger Consideration and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Nationalization, Insolvency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Delisting:</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Times New Roman" w:cs="Times New Roman" w:eastAsia="Times New Roman" w:hAnsi="Times New Roman"/>
          <w:sz w:val="18"/>
          <w:szCs w:val="18"/>
          <w:color w:val="auto"/>
        </w:rPr>
        <w:t xml:space="preserve">announcement of the type described in (x) clause (i) or (iii) of this sentence by a Relevant Party or (y) in clause (ii) of this sentence by Counterparty (including, without limitation, a new announcement relating to such a transaction or intention or the announcement of a withdrawal from, or the abandonment or discontinuation of, such a transaction or intention);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have the meaning set forth in Section 12.1(b) of the Equity Definitions;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definition following the definition of “Reverse Merger”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-1302385</wp:posOffset>
            </wp:positionV>
            <wp:extent cx="717740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respect of any transaction or event, any third party that has a bona fide intent to enter into or consummate such transaction or event (it being understood and agreed that in determining whether such third party has such a bona fide intent, the Calculation Agent shall take into consideration the effect of the relevant announcement by such third party on the Shares and/or options relating to the Shares).</w:t>
      </w:r>
    </w:p>
    <w:p>
      <w:pPr>
        <w:spacing w:after="0" w:line="31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received by the holders of Shares that affirmatively make such an election.</w:t>
      </w:r>
    </w:p>
    <w:p>
      <w:pPr>
        <w:spacing w:after="0" w:line="33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Cancellation and Payment (Calculation Agent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13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2560" w:space="220"/>
            <w:col w:w="7640"/>
          </w:cols>
          <w:pgMar w:left="900" w:top="267" w:right="579" w:bottom="1440" w:gutter="0" w:footer="0" w:header="0"/>
        </w:sectPr>
      </w:pPr>
    </w:p>
    <w:bookmarkStart w:id="137" w:name="page138"/>
    <w:bookmarkEnd w:id="137"/>
    <w:p>
      <w:pPr>
        <w:ind w:left="340"/>
        <w:spacing w:after="0"/>
        <w:rPr>
          <w:sz w:val="20"/>
          <w:szCs w:val="20"/>
          <w:color w:val="auto"/>
        </w:rPr>
      </w:pPr>
      <w:r>
        <w:rPr>
          <w:rFonts w:ascii="Times New Roman" w:cs="Times New Roman" w:eastAsia="Times New Roman" w:hAnsi="Times New Roman"/>
          <w:sz w:val="17"/>
          <w:szCs w:val="17"/>
          <w:color w:val="auto"/>
        </w:rPr>
        <w:t>Additional Termination Event(s):</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Times New Roman" w:cs="Times New Roman" w:eastAsia="Times New Roman" w:hAnsi="Times New Roman"/>
          <w:sz w:val="18"/>
          <w:szCs w:val="18"/>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-901700</wp:posOffset>
            </wp:positionV>
            <wp:extent cx="717740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2700" w:space="420"/>
            <w:col w:w="7620"/>
          </w:cols>
          <w:pgMar w:left="560" w:top="266" w:right="59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Additional Disruption Events: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Change in Law:</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Section 12.9(a)(ii) of the Equity Definitions is hereby amended by (i) replacing the phrase “the interpretation” in the third line thereof with the phrase “, or public announcement of, the formal or informal interpretation”, (ii) adding the phrase “and/or Hedge Position” after the word “Shares” in clause (X) thereof and (iii) immediately following the word “Transaction” in clause (X) thereof, adding the phrase “in the manner contemplated by the Hedging Party on the Trade Date”;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p>
      <w:pPr>
        <w:spacing w:after="0" w:line="83" w:lineRule="exact"/>
        <w:rPr>
          <w:sz w:val="20"/>
          <w:szCs w:val="20"/>
          <w:color w:val="auto"/>
        </w:rPr>
      </w:pPr>
    </w:p>
    <w:p>
      <w:pPr>
        <w:sectPr>
          <w:pgSz w:w="11900" w:h="16838" w:orient="portrait"/>
          <w:cols w:equalWidth="0" w:num="2">
            <w:col w:w="2400" w:space="720"/>
            <w:col w:w="7620"/>
          </w:cols>
          <w:pgMar w:left="560" w:top="266" w:right="599" w:bottom="1440" w:gutter="0" w:footer="0" w:header="0"/>
          <w:type w:val="continuous"/>
        </w:sectPr>
      </w:pPr>
    </w:p>
    <w:p>
      <w:pPr>
        <w:jc w:val="both"/>
        <w:ind w:left="3120" w:right="200"/>
        <w:spacing w:after="0" w:line="269" w:lineRule="auto"/>
        <w:rPr>
          <w:sz w:val="20"/>
          <w:szCs w:val="20"/>
          <w:color w:val="auto"/>
        </w:rPr>
      </w:pPr>
      <w:r>
        <w:rPr>
          <w:rFonts w:ascii="Times New Roman" w:cs="Times New Roman" w:eastAsia="Times New Roman" w:hAnsi="Times New Roman"/>
          <w:sz w:val="17"/>
          <w:szCs w:val="17"/>
          <w:color w:val="auto"/>
        </w:rPr>
        <w:t>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and any such determination of a Change in Law shall be consistently applied by the Determining Party across transactions similar to the Transaction and for counterparties similar to Counterparty.</w:t>
      </w:r>
    </w:p>
    <w:p>
      <w:pPr>
        <w:sectPr>
          <w:pgSz w:w="11900" w:h="16838" w:orient="portrait"/>
          <w:cols w:equalWidth="0" w:num="1">
            <w:col w:w="10740"/>
          </w:cols>
          <w:pgMar w:left="560" w:top="266" w:right="599" w:bottom="1440" w:gutter="0" w:footer="0" w:header="0"/>
          <w:type w:val="continuous"/>
        </w:sectPr>
      </w:pP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 Failure to Deliver: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1" w:lineRule="exact"/>
        <w:rPr>
          <w:sz w:val="20"/>
          <w:szCs w:val="20"/>
          <w:color w:val="auto"/>
        </w:rPr>
      </w:pPr>
    </w:p>
    <w:p>
      <w:pPr>
        <w:sectPr>
          <w:pgSz w:w="11900" w:h="16838" w:orient="portrait"/>
          <w:cols w:equalWidth="0" w:num="2">
            <w:col w:w="2400" w:space="720"/>
            <w:col w:w="7620"/>
          </w:cols>
          <w:pgMar w:left="560" w:top="266" w:right="5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19" w:lineRule="exact"/>
        <w:rPr>
          <w:sz w:val="20"/>
          <w:szCs w:val="20"/>
          <w:color w:val="auto"/>
        </w:rPr>
      </w:pPr>
    </w:p>
    <w:p>
      <w:pPr>
        <w:sectPr>
          <w:pgSz w:w="11900" w:h="16838" w:orient="portrait"/>
          <w:cols w:equalWidth="0" w:num="2">
            <w:col w:w="2400" w:space="720"/>
            <w:col w:w="7620"/>
          </w:cols>
          <w:pgMar w:left="560" w:top="266" w:right="5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 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xml:space="preserve">Applicable;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136" w:lineRule="exact"/>
        <w:rPr>
          <w:sz w:val="20"/>
          <w:szCs w:val="20"/>
          <w:color w:val="auto"/>
        </w:rPr>
      </w:pPr>
    </w:p>
    <w:p>
      <w:pPr>
        <w:sectPr>
          <w:pgSz w:w="11900" w:h="16838" w:orient="portrait"/>
          <w:cols w:equalWidth="0" w:num="2">
            <w:col w:w="2400" w:space="720"/>
            <w:col w:w="7620"/>
          </w:cols>
          <w:pgMar w:left="560" w:top="266" w:right="599" w:bottom="1440" w:gutter="0" w:footer="0" w:header="0"/>
          <w:type w:val="continuous"/>
        </w:sectPr>
      </w:pPr>
    </w:p>
    <w:p>
      <w:pPr>
        <w:ind w:left="3120" w:right="20"/>
        <w:spacing w:after="0" w:line="270" w:lineRule="auto"/>
        <w:rPr>
          <w:sz w:val="20"/>
          <w:szCs w:val="20"/>
          <w:color w:val="auto"/>
        </w:rPr>
      </w:pPr>
      <w:r>
        <w:rPr>
          <w:rFonts w:ascii="Times New Roman" w:cs="Times New Roman" w:eastAsia="Times New Roman" w:hAnsi="Times New Roman"/>
          <w:sz w:val="18"/>
          <w:szCs w:val="18"/>
          <w:color w:val="auto"/>
        </w:rPr>
        <w:t>(i) Section 12.9(a)(v) of the Equity Definitions is hereby amended by inserting the following sentence at the end of such Section:</w:t>
      </w:r>
    </w:p>
    <w:p>
      <w:pPr>
        <w:spacing w:after="0" w:line="76" w:lineRule="exact"/>
        <w:rPr>
          <w:sz w:val="20"/>
          <w:szCs w:val="20"/>
          <w:color w:val="auto"/>
        </w:rPr>
      </w:pPr>
    </w:p>
    <w:p>
      <w:pPr>
        <w:ind w:left="3120" w:right="120"/>
        <w:spacing w:after="0" w:line="257" w:lineRule="auto"/>
        <w:rPr>
          <w:sz w:val="20"/>
          <w:szCs w:val="20"/>
          <w:color w:val="auto"/>
        </w:rPr>
      </w:pPr>
      <w:r>
        <w:rPr>
          <w:rFonts w:ascii="Times New Roman" w:cs="Times New Roman" w:eastAsia="Times New Roman" w:hAnsi="Times New Roman"/>
          <w:sz w:val="18"/>
          <w:szCs w:val="18"/>
          <w:color w:val="auto"/>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spacing w:after="0" w:line="88" w:lineRule="exact"/>
        <w:rPr>
          <w:sz w:val="20"/>
          <w:szCs w:val="20"/>
          <w:color w:val="auto"/>
        </w:rPr>
      </w:pPr>
    </w:p>
    <w:p>
      <w:pPr>
        <w:ind w:left="3120" w:right="160"/>
        <w:spacing w:after="0" w:line="257" w:lineRule="auto"/>
        <w:rPr>
          <w:sz w:val="20"/>
          <w:szCs w:val="20"/>
          <w:color w:val="auto"/>
        </w:rPr>
      </w:pPr>
      <w:r>
        <w:rPr>
          <w:rFonts w:ascii="Times New Roman" w:cs="Times New Roman" w:eastAsia="Times New Roman" w:hAnsi="Times New Roman"/>
          <w:sz w:val="18"/>
          <w:szCs w:val="18"/>
          <w:color w:val="auto"/>
        </w:rPr>
        <w:t>(ii) Section 12.9(b)(iii) of the Equity Definitions is hereby amended by inserting in the third line thereof, after the words “to terminate the Transaction”, the words “or a portion of the Transaction affected by such Hedging Disruption”.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40"/>
          </w:cols>
          <w:pgMar w:left="560" w:top="266" w:right="599" w:bottom="1440" w:gutter="0" w:footer="0" w:header="0"/>
          <w:type w:val="continuous"/>
        </w:sectPr>
      </w:pPr>
    </w:p>
    <w:bookmarkStart w:id="138" w:name="page139"/>
    <w:bookmarkEnd w:id="138"/>
    <w:p>
      <w:pPr>
        <w:jc w:val="both"/>
        <w:ind w:left="3120"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Notwithstanding anything to the contrary herein or in the Equity Definitions, in no event will a Hedging Disruption occur solely due to the deterioration of the creditworthiness of the Hedging Party relative to other comparable financial institutions.</w:t>
      </w:r>
    </w:p>
    <w:p>
      <w:pPr>
        <w:sectPr>
          <w:pgSz w:w="11900" w:h="16838" w:orient="portrait"/>
          <w:cols w:equalWidth="0" w:num="1">
            <w:col w:w="10720"/>
          </w:cols>
          <w:pgMar w:left="560" w:top="266" w:right="619" w:bottom="1440" w:gutter="0" w:footer="0" w:header="0"/>
        </w:sectPr>
      </w:pP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(e) Increased Cost of Hedging:</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Applicable solely with respect to a “Change in Law” described in clause (Y) of Section 12.9(a)(ii) of the Equity Definitions as set forth in the last sentence opposite the caption “Change in Law” above.</w:t>
      </w:r>
    </w:p>
    <w:p>
      <w:pPr>
        <w:spacing w:after="0" w:line="62" w:lineRule="exact"/>
        <w:rPr>
          <w:sz w:val="20"/>
          <w:szCs w:val="20"/>
          <w:color w:val="auto"/>
        </w:rPr>
      </w:pPr>
    </w:p>
    <w:p>
      <w:pPr>
        <w:sectPr>
          <w:pgSz w:w="11900" w:h="16838" w:orient="portrait"/>
          <w:cols w:equalWidth="0" w:num="2">
            <w:col w:w="2520" w:space="600"/>
            <w:col w:w="7600"/>
          </w:cols>
          <w:pgMar w:left="56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Hedging Party:</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Times New Roman" w:cs="Times New Roman" w:eastAsia="Times New Roman" w:hAnsi="Times New Roman"/>
          <w:sz w:val="18"/>
          <w:szCs w:val="18"/>
          <w:color w:val="auto"/>
        </w:rPr>
        <w:t xml:space="preserve">Dealer; all calculations and determinations made by the Hedging Party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Hedging Party shall promptly provide Counterparty with a written explanation describing in reasonable detail any calculation, adjustment or determination made by it (but not, for the avoidance of doubt, any discretionary act or election permitted to be made by Hedging Party) (including any quotations, market data or information from internal or external sources used in making such calculation, adjustment or determination, as the case may be, in a commonly used file format for the storage and manipulation of financial data, but without disclosing Hedging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86" w:lineRule="exact"/>
        <w:rPr>
          <w:sz w:val="20"/>
          <w:szCs w:val="20"/>
          <w:color w:val="auto"/>
        </w:rPr>
      </w:pPr>
    </w:p>
    <w:p>
      <w:pPr>
        <w:sectPr>
          <w:pgSz w:w="11900" w:h="16838" w:orient="portrait"/>
          <w:cols w:equalWidth="0" w:num="2">
            <w:col w:w="2400" w:space="720"/>
            <w:col w:w="7600"/>
          </w:cols>
          <w:pgMar w:left="56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Determining Party:</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Times New Roman" w:cs="Times New Roman" w:eastAsia="Times New Roman" w:hAnsi="Times New Roman"/>
          <w:sz w:val="17"/>
          <w:szCs w:val="17"/>
          <w:color w:val="auto"/>
        </w:rPr>
        <w:t xml:space="preserve">For all applicable Extraordinary Events, Dealer; all calculations and determinations made by the Determining Party shall be made in good faith and in a commercially reasonable manner;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upon receipt of written request from Counterparty, the Determining Party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76" w:lineRule="exact"/>
        <w:rPr>
          <w:sz w:val="20"/>
          <w:szCs w:val="20"/>
          <w:color w:val="auto"/>
        </w:rPr>
      </w:pPr>
    </w:p>
    <w:p>
      <w:pPr>
        <w:sectPr>
          <w:pgSz w:w="11900" w:h="16838" w:orient="portrait"/>
          <w:cols w:equalWidth="0" w:num="2">
            <w:col w:w="2400" w:space="720"/>
            <w:col w:w="7600"/>
          </w:cols>
          <w:pgMar w:left="56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1" w:lineRule="exact"/>
        <w:rPr>
          <w:sz w:val="20"/>
          <w:szCs w:val="20"/>
          <w:color w:val="auto"/>
        </w:rPr>
      </w:pPr>
    </w:p>
    <w:p>
      <w:pPr>
        <w:sectPr>
          <w:pgSz w:w="11900" w:h="16838" w:orient="portrait"/>
          <w:cols w:equalWidth="0" w:num="2">
            <w:col w:w="2400" w:space="720"/>
            <w:col w:w="7600"/>
          </w:cols>
          <w:pgMar w:left="560" w:top="266" w:right="619" w:bottom="1440" w:gutter="0" w:footer="0" w:header="0"/>
          <w:type w:val="continuous"/>
        </w:sectPr>
      </w:pPr>
    </w:p>
    <w:p>
      <w:pPr>
        <w:spacing w:after="0" w:line="300" w:lineRule="auto"/>
        <w:rPr>
          <w:sz w:val="20"/>
          <w:szCs w:val="20"/>
          <w:color w:val="auto"/>
        </w:rPr>
      </w:pPr>
      <w:r>
        <w:rPr>
          <w:rFonts w:ascii="Times New Roman" w:cs="Times New Roman" w:eastAsia="Times New Roman" w:hAnsi="Times New Roman"/>
          <w:sz w:val="17"/>
          <w:szCs w:val="17"/>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332" w:lineRule="exact"/>
        <w:rPr>
          <w:sz w:val="20"/>
          <w:szCs w:val="20"/>
          <w:color w:val="auto"/>
        </w:rPr>
      </w:pPr>
    </w:p>
    <w:p>
      <w:pPr>
        <w:sectPr>
          <w:pgSz w:w="11900" w:h="16838" w:orient="portrait"/>
          <w:cols w:equalWidth="0" w:num="2">
            <w:col w:w="2500" w:space="620"/>
            <w:col w:w="7600"/>
          </w:cols>
          <w:pgMar w:left="560" w:top="266" w:right="6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61" w:lineRule="exact"/>
        <w:rPr>
          <w:sz w:val="20"/>
          <w:szCs w:val="20"/>
          <w:color w:val="auto"/>
        </w:rPr>
      </w:pPr>
    </w:p>
    <w:p>
      <w:pPr>
        <w:sectPr>
          <w:pgSz w:w="11900" w:h="16838" w:orient="portrait"/>
          <w:cols w:equalWidth="0" w:num="2">
            <w:col w:w="2400" w:space="720"/>
            <w:col w:w="7600"/>
          </w:cols>
          <w:pgMar w:left="560" w:top="266" w:right="6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60" w:top="266" w:right="619" w:bottom="1440" w:gutter="0" w:footer="0" w:header="0"/>
          <w:type w:val="continuous"/>
        </w:sectPr>
      </w:pPr>
    </w:p>
    <w:bookmarkStart w:id="139" w:name="page140"/>
    <w:bookmarkEnd w:id="139"/>
    <w:p>
      <w:pPr>
        <w:ind w:right="20" w:firstLine="427"/>
        <w:spacing w:after="0" w:line="268" w:lineRule="auto"/>
        <w:tabs>
          <w:tab w:leader="none" w:pos="60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Calculation Agent</w:t>
      </w:r>
      <w:r>
        <w:rPr>
          <w:rFonts w:ascii="Times New Roman" w:cs="Times New Roman" w:eastAsia="Times New Roman" w:hAnsi="Times New Roman"/>
          <w:sz w:val="17"/>
          <w:szCs w:val="17"/>
          <w:color w:val="auto"/>
        </w:rPr>
        <w:t xml:space="preserve">: Dealer;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71" w:lineRule="exact"/>
        <w:rPr>
          <w:sz w:val="20"/>
          <w:szCs w:val="20"/>
          <w:color w:val="auto"/>
        </w:rPr>
      </w:pPr>
    </w:p>
    <w:p>
      <w:pPr>
        <w:ind w:firstLine="431"/>
        <w:spacing w:after="0" w:line="249" w:lineRule="auto"/>
        <w:rPr>
          <w:sz w:val="20"/>
          <w:szCs w:val="20"/>
          <w:color w:val="auto"/>
        </w:rPr>
      </w:pPr>
      <w:r>
        <w:rPr>
          <w:rFonts w:ascii="Times New Roman" w:cs="Times New Roman" w:eastAsia="Times New Roman" w:hAnsi="Times New Roman"/>
          <w:sz w:val="18"/>
          <w:szCs w:val="18"/>
          <w:color w:val="auto"/>
        </w:rPr>
        <w:t xml:space="preserve">All calculations, adjustments and determinations made by the Calculation Agent shall be made in good faith and in a commercially reasonable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187" w:lineRule="exact"/>
        <w:rPr>
          <w:sz w:val="20"/>
          <w:szCs w:val="20"/>
          <w:color w:val="auto"/>
        </w:rPr>
      </w:pPr>
    </w:p>
    <w:p>
      <w:pPr>
        <w:ind w:left="600" w:hanging="173"/>
        <w:spacing w:after="0"/>
        <w:tabs>
          <w:tab w:leader="none" w:pos="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Details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Dealer Payment Instructions:</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[____________]</w:t>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SWIFT: [____________]</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Bank Routing: [____________]</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Acct Name: [____________]</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Acct No.: [____________]</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Counterparty Payment Instructions: To be advised.</w:t>
      </w:r>
    </w:p>
    <w:p>
      <w:pPr>
        <w:spacing w:after="0" w:line="216" w:lineRule="exact"/>
        <w:rPr>
          <w:sz w:val="20"/>
          <w:szCs w:val="20"/>
          <w:color w:val="auto"/>
        </w:rPr>
      </w:pPr>
    </w:p>
    <w:p>
      <w:pPr>
        <w:ind w:left="600" w:hanging="173"/>
        <w:spacing w:after="0"/>
        <w:tabs>
          <w:tab w:leader="none" w:pos="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Office of Dealer for the Transaction is: [____________].</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Office of Counterparty for the Transaction is: Inapplicable, Counterparty is not a Multibranch Party.</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For purposes of this Confirmation: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Address for notices or communications to Counterparty:</w:t>
      </w:r>
    </w:p>
    <w:p>
      <w:pPr>
        <w:sectPr>
          <w:pgSz w:w="11900" w:h="16838" w:orient="portrait"/>
          <w:cols w:equalWidth="0" w:num="1">
            <w:col w:w="10760"/>
          </w:cols>
          <w:pgMar w:left="560" w:top="264" w:right="579" w:bottom="1440" w:gutter="0" w:footer="0" w:header="0"/>
        </w:sectPr>
      </w:pPr>
    </w:p>
    <w:p>
      <w:pPr>
        <w:spacing w:after="0" w:line="123"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6116 Executive Blvd, Suite 800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0" w:lineRule="exact"/>
        <w:rPr>
          <w:sz w:val="20"/>
          <w:szCs w:val="20"/>
          <w:color w:val="auto"/>
        </w:rPr>
      </w:pPr>
    </w:p>
    <w:p>
      <w:pPr>
        <w:sectPr>
          <w:pgSz w:w="11900" w:h="16838" w:orient="portrait"/>
          <w:cols w:equalWidth="0" w:num="5">
            <w:col w:w="180" w:space="120"/>
            <w:col w:w="40" w:space="140"/>
            <w:col w:w="220" w:space="280"/>
            <w:col w:w="720" w:space="360"/>
            <w:col w:w="8700"/>
          </w:cols>
          <w:pgMar w:left="560" w:top="264" w:right="57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 Address for notices or communications to Dealer:</w:t>
      </w:r>
    </w:p>
    <w:p>
      <w:pPr>
        <w:sectPr>
          <w:pgSz w:w="11900" w:h="16838" w:orient="portrait"/>
          <w:cols w:equalWidth="0" w:num="1">
            <w:col w:w="10760"/>
          </w:cols>
          <w:pgMar w:left="560" w:top="264" w:right="579" w:bottom="1440" w:gutter="0" w:footer="0" w:header="0"/>
          <w:type w:val="continuous"/>
        </w:sectPr>
      </w:pPr>
    </w:p>
    <w:p>
      <w:pPr>
        <w:spacing w:after="0" w:line="135"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w:t>
      </w:r>
    </w:p>
    <w:p>
      <w:pPr>
        <w:spacing w:after="0" w:line="166" w:lineRule="exact"/>
        <w:rPr>
          <w:sz w:val="20"/>
          <w:szCs w:val="20"/>
          <w:color w:val="auto"/>
        </w:rPr>
      </w:pPr>
    </w:p>
    <w:p>
      <w:pPr>
        <w:sectPr>
          <w:pgSz w:w="11900" w:h="16838" w:orient="portrait"/>
          <w:cols w:equalWidth="0" w:num="5">
            <w:col w:w="180" w:space="120"/>
            <w:col w:w="40" w:space="140"/>
            <w:col w:w="220" w:space="280"/>
            <w:col w:w="780" w:space="300"/>
            <w:col w:w="8700"/>
          </w:cols>
          <w:pgMar w:left="560" w:top="264" w:right="5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60" w:top="264" w:right="579" w:bottom="1440" w:gutter="0" w:footer="0" w:header="0"/>
          <w:type w:val="continuous"/>
        </w:sectPr>
      </w:pPr>
    </w:p>
    <w:bookmarkStart w:id="140" w:name="page141"/>
    <w:bookmarkEnd w:id="140"/>
    <w:p>
      <w:pPr>
        <w:ind w:left="600" w:hanging="173"/>
        <w:spacing w:after="0"/>
        <w:tabs>
          <w:tab w:leader="none" w:pos="6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Representations, Warranties and Agreements:</w:t>
      </w:r>
    </w:p>
    <w:p>
      <w:pPr>
        <w:spacing w:after="0" w:line="216" w:lineRule="exact"/>
        <w:rPr>
          <w:sz w:val="20"/>
          <w:szCs w:val="20"/>
          <w:color w:val="auto"/>
        </w:rPr>
      </w:pPr>
    </w:p>
    <w:p>
      <w:pPr>
        <w:ind w:right="40" w:firstLine="427"/>
        <w:spacing w:after="0" w:line="270" w:lineRule="auto"/>
        <w:tabs>
          <w:tab w:leader="none" w:pos="67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62" w:lineRule="exact"/>
        <w:rPr>
          <w:rFonts w:ascii="Times New Roman" w:cs="Times New Roman" w:eastAsia="Times New Roman" w:hAnsi="Times New Roman"/>
          <w:sz w:val="18"/>
          <w:szCs w:val="18"/>
          <w:color w:val="auto"/>
        </w:rPr>
      </w:pPr>
    </w:p>
    <w:p>
      <w:pPr>
        <w:ind w:left="420" w:right="20" w:firstLine="421"/>
        <w:spacing w:after="0" w:line="250" w:lineRule="auto"/>
        <w:tabs>
          <w:tab w:leader="none" w:pos="10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7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on the Trade Date engaged in a “distribution,” as such term is defined in Regulation M under the Exchange Act</w:t>
      </w:r>
    </w:p>
    <w:p>
      <w:pPr>
        <w:spacing w:after="0" w:line="22" w:lineRule="exact"/>
        <w:rPr>
          <w:sz w:val="20"/>
          <w:szCs w:val="20"/>
          <w:color w:val="auto"/>
        </w:rPr>
      </w:pPr>
    </w:p>
    <w:p>
      <w:pPr>
        <w:jc w:val="both"/>
        <w:ind w:left="420" w:right="2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of any securities of Counterparty, other than a distribution meeting the requirements of the exceptions set forth in Rules 101(b) (10), 102(b)(7) or 102(c)(1)(i) of Regulation M. Counterparty shall not, until the second Exchange Business Day immediately following the Trade Date, engage in any such distribution.</w:t>
      </w:r>
    </w:p>
    <w:p>
      <w:pPr>
        <w:spacing w:after="0" w:line="83" w:lineRule="exact"/>
        <w:rPr>
          <w:sz w:val="20"/>
          <w:szCs w:val="20"/>
          <w:color w:val="auto"/>
        </w:rPr>
      </w:pPr>
    </w:p>
    <w:p>
      <w:pPr>
        <w:ind w:left="1140" w:hanging="299"/>
        <w:spacing w:after="0"/>
        <w:tabs>
          <w:tab w:leader="none" w:pos="11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9" w:lineRule="exact"/>
        <w:rPr>
          <w:rFonts w:ascii="Times New Roman" w:cs="Times New Roman" w:eastAsia="Times New Roman" w:hAnsi="Times New Roman"/>
          <w:sz w:val="18"/>
          <w:szCs w:val="18"/>
          <w:color w:val="auto"/>
        </w:rPr>
      </w:pPr>
    </w:p>
    <w:p>
      <w:pPr>
        <w:ind w:left="420" w:firstLine="421"/>
        <w:spacing w:after="0" w:line="251" w:lineRule="auto"/>
        <w:tabs>
          <w:tab w:leader="none" w:pos="113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ASC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Distinguishing Liabilities from Equity </w:t>
      </w:r>
      <w:r>
        <w:rPr>
          <w:rFonts w:ascii="Times New Roman" w:cs="Times New Roman" w:eastAsia="Times New Roman" w:hAnsi="Times New Roman"/>
          <w:sz w:val="18"/>
          <w:szCs w:val="18"/>
          <w:color w:val="auto"/>
        </w:rPr>
        <w:t>and ASC</w:t>
      </w:r>
      <w:r>
        <w:rPr>
          <w:rFonts w:ascii="Times New Roman" w:cs="Times New Roman" w:eastAsia="Times New Roman" w:hAnsi="Times New Roman"/>
          <w:sz w:val="18"/>
          <w:szCs w:val="18"/>
          <w:i w:val="1"/>
          <w:iCs w:val="1"/>
          <w:color w:val="auto"/>
        </w:rPr>
        <w:t xml:space="preserve"> 815-40, 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(or any successor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79" w:lineRule="exact"/>
        <w:rPr>
          <w:rFonts w:ascii="Times New Roman" w:cs="Times New Roman" w:eastAsia="Times New Roman" w:hAnsi="Times New Roman"/>
          <w:sz w:val="18"/>
          <w:szCs w:val="18"/>
          <w:color w:val="auto"/>
        </w:rPr>
      </w:pPr>
    </w:p>
    <w:p>
      <w:pPr>
        <w:ind w:left="420" w:right="40" w:firstLine="421"/>
        <w:spacing w:after="0" w:line="270" w:lineRule="auto"/>
        <w:tabs>
          <w:tab w:leader="none" w:pos="108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3(a)(iii) of the Agreement, the Transaction will not violate Rule 13e-1 or Rule 13e-4 under the Exchange Act.</w:t>
      </w:r>
    </w:p>
    <w:p>
      <w:pPr>
        <w:spacing w:after="0" w:line="62" w:lineRule="exact"/>
        <w:rPr>
          <w:rFonts w:ascii="Times New Roman" w:cs="Times New Roman" w:eastAsia="Times New Roman" w:hAnsi="Times New Roman"/>
          <w:sz w:val="18"/>
          <w:szCs w:val="18"/>
          <w:color w:val="auto"/>
        </w:rPr>
      </w:pPr>
    </w:p>
    <w:p>
      <w:pPr>
        <w:jc w:val="both"/>
        <w:ind w:left="420" w:right="380" w:firstLine="421"/>
        <w:spacing w:after="0" w:line="257" w:lineRule="auto"/>
        <w:tabs>
          <w:tab w:leader="none" w:pos="113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Trade Date, Counterparty shall deliver to Dealer a resolution of Counterparty’s board of directors authorizing the Transaction and approving the Transaction and any related hedging activity for purposes of Section 203 of the Delaware General Corporation Law.</w:t>
      </w:r>
    </w:p>
    <w:p>
      <w:pPr>
        <w:spacing w:after="0" w:line="74" w:lineRule="exact"/>
        <w:rPr>
          <w:rFonts w:ascii="Times New Roman" w:cs="Times New Roman" w:eastAsia="Times New Roman" w:hAnsi="Times New Roman"/>
          <w:sz w:val="18"/>
          <w:szCs w:val="18"/>
          <w:color w:val="auto"/>
        </w:rPr>
      </w:pPr>
    </w:p>
    <w:p>
      <w:pPr>
        <w:ind w:left="1180" w:hanging="339"/>
        <w:spacing w:after="0"/>
        <w:tabs>
          <w:tab w:leader="none" w:pos="11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entering into this Confirmation to create actual or apparent trading activity in the Shares (or any security</w:t>
      </w:r>
    </w:p>
    <w:p>
      <w:pPr>
        <w:spacing w:after="0" w:line="21" w:lineRule="exact"/>
        <w:rPr>
          <w:rFonts w:ascii="Times New Roman" w:cs="Times New Roman" w:eastAsia="Times New Roman" w:hAnsi="Times New Roman"/>
          <w:sz w:val="18"/>
          <w:szCs w:val="18"/>
          <w:color w:val="auto"/>
        </w:rPr>
      </w:pPr>
    </w:p>
    <w:p>
      <w:pPr>
        <w:ind w:left="420" w:right="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into or exchangeable for Shares) or to manipulate the price of the Shares (or any security convertible into or exchangeable for Shares) or otherwise in violation of the Exchange Act.</w:t>
      </w:r>
    </w:p>
    <w:p>
      <w:pPr>
        <w:spacing w:after="0" w:line="81" w:lineRule="exact"/>
        <w:rPr>
          <w:rFonts w:ascii="Times New Roman" w:cs="Times New Roman" w:eastAsia="Times New Roman" w:hAnsi="Times New Roman"/>
          <w:sz w:val="18"/>
          <w:szCs w:val="18"/>
          <w:color w:val="auto"/>
        </w:rPr>
      </w:pPr>
    </w:p>
    <w:p>
      <w:pPr>
        <w:ind w:left="420" w:right="160" w:firstLine="421"/>
        <w:spacing w:after="0" w:line="270" w:lineRule="auto"/>
        <w:tabs>
          <w:tab w:leader="none" w:pos="123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62" w:lineRule="exact"/>
        <w:rPr>
          <w:rFonts w:ascii="Times New Roman" w:cs="Times New Roman" w:eastAsia="Times New Roman" w:hAnsi="Times New Roman"/>
          <w:sz w:val="18"/>
          <w:szCs w:val="18"/>
          <w:color w:val="auto"/>
        </w:rPr>
      </w:pPr>
    </w:p>
    <w:p>
      <w:pPr>
        <w:ind w:left="420" w:right="160" w:firstLine="421"/>
        <w:spacing w:after="0" w:line="263" w:lineRule="auto"/>
        <w:tabs>
          <w:tab w:leader="none" w:pos="1132"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and immediately after the Trade Date and the Premium Payment Date, (A) the value of the total assets of Counterparty is greater than the sum of the total liabilities (including contingent liabilities) and the capital (as such terms are defined in Section 154 and Section 244 of the General Corporation Law of the State of Delaware)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w:t>
      </w:r>
    </w:p>
    <w:p>
      <w:pPr>
        <w:spacing w:after="0" w:line="2" w:lineRule="exact"/>
        <w:rPr>
          <w:rFonts w:ascii="Times New Roman" w:cs="Times New Roman" w:eastAsia="Times New Roman" w:hAnsi="Times New Roman"/>
          <w:sz w:val="17"/>
          <w:szCs w:val="17"/>
          <w:color w:val="auto"/>
        </w:rPr>
      </w:pPr>
    </w:p>
    <w:p>
      <w:pPr>
        <w:ind w:left="420" w:right="340" w:firstLine="7"/>
        <w:spacing w:after="0" w:line="246" w:lineRule="auto"/>
        <w:tabs>
          <w:tab w:leader="none" w:pos="70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and (E) Counterparty would be able to purchase the Number of Shares in compliance with the laws of the jurisdiction of Counterparty’s incorporation (including the adequate surplus and capital requirements of Sections 154 and 160 of the General Corporation Law of the State of Delaware).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0"/>
          </w:cols>
          <w:pgMar w:left="560" w:top="267" w:right="579" w:bottom="1440" w:gutter="0" w:footer="0" w:header="0"/>
        </w:sectPr>
      </w:pPr>
    </w:p>
    <w:bookmarkStart w:id="141" w:name="page142"/>
    <w:bookmarkEnd w:id="141"/>
    <w:p>
      <w:pPr>
        <w:ind w:left="423" w:right="160" w:firstLine="421"/>
        <w:spacing w:after="0" w:line="251" w:lineRule="auto"/>
        <w:tabs>
          <w:tab w:leader="none" w:pos="1086"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representation shall be made by Counterparty with respect to any rules and regulations applicable to Dealer (including the Financial Industry Regulatory Authority, Inc.) arising from Dealer’s status as a regulated entity under applicable law.</w:t>
      </w:r>
    </w:p>
    <w:p>
      <w:pPr>
        <w:spacing w:after="0" w:line="79" w:lineRule="exact"/>
        <w:rPr>
          <w:rFonts w:ascii="Times New Roman" w:cs="Times New Roman" w:eastAsia="Times New Roman" w:hAnsi="Times New Roman"/>
          <w:sz w:val="18"/>
          <w:szCs w:val="18"/>
          <w:color w:val="auto"/>
        </w:rPr>
      </w:pPr>
    </w:p>
    <w:p>
      <w:pPr>
        <w:ind w:left="423" w:right="80" w:firstLine="421"/>
        <w:spacing w:after="0" w:line="279" w:lineRule="auto"/>
        <w:tabs>
          <w:tab w:leader="none" w:pos="1135" w:val="left"/>
        </w:tabs>
        <w:numPr>
          <w:ilvl w:val="2"/>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spacing w:after="0" w:line="163" w:lineRule="exact"/>
        <w:rPr>
          <w:rFonts w:ascii="Times New Roman" w:cs="Times New Roman" w:eastAsia="Times New Roman" w:hAnsi="Times New Roman"/>
          <w:sz w:val="17"/>
          <w:szCs w:val="17"/>
          <w:color w:val="auto"/>
        </w:rPr>
      </w:pPr>
    </w:p>
    <w:p>
      <w:pPr>
        <w:ind w:left="3" w:right="420" w:firstLine="427"/>
        <w:spacing w:after="0" w:line="257" w:lineRule="auto"/>
        <w:tabs>
          <w:tab w:leader="none" w:pos="68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0" w:lineRule="exact"/>
        <w:rPr>
          <w:rFonts w:ascii="Times New Roman" w:cs="Times New Roman" w:eastAsia="Times New Roman" w:hAnsi="Times New Roman"/>
          <w:sz w:val="18"/>
          <w:szCs w:val="18"/>
          <w:color w:val="auto"/>
        </w:rPr>
      </w:pPr>
    </w:p>
    <w:p>
      <w:pPr>
        <w:ind w:left="3" w:firstLine="427"/>
        <w:spacing w:after="0" w:line="247" w:lineRule="auto"/>
        <w:tabs>
          <w:tab w:leader="none" w:pos="67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Times New Roman" w:cs="Times New Roman" w:eastAsia="Times New Roman" w:hAnsi="Times New Roman"/>
          <w:sz w:val="18"/>
          <w:szCs w:val="18"/>
          <w:color w:val="auto"/>
        </w:rPr>
      </w:pPr>
    </w:p>
    <w:p>
      <w:pPr>
        <w:ind w:left="3" w:firstLine="427"/>
        <w:spacing w:after="0" w:line="270" w:lineRule="auto"/>
        <w:tabs>
          <w:tab w:leader="none" w:pos="683"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w:t>
      </w:r>
    </w:p>
    <w:p>
      <w:pPr>
        <w:ind w:left="283" w:hanging="283"/>
        <w:spacing w:after="0"/>
        <w:tabs>
          <w:tab w:leader="none" w:pos="28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Confirmation is (i) a “securities contract,” as such term is defined in Section 741(7) of the Bankruptcy Code, with respect to which each</w:t>
      </w:r>
    </w:p>
    <w:p>
      <w:pPr>
        <w:spacing w:after="0" w:line="4" w:lineRule="exact"/>
        <w:rPr>
          <w:rFonts w:ascii="Times New Roman" w:cs="Times New Roman" w:eastAsia="Times New Roman" w:hAnsi="Times New Roman"/>
          <w:sz w:val="18"/>
          <w:szCs w:val="18"/>
          <w:color w:val="auto"/>
        </w:rPr>
      </w:pPr>
    </w:p>
    <w:p>
      <w:pPr>
        <w:ind w:left="3"/>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176" w:lineRule="exact"/>
        <w:rPr>
          <w:rFonts w:ascii="Times New Roman" w:cs="Times New Roman" w:eastAsia="Times New Roman" w:hAnsi="Times New Roman"/>
          <w:sz w:val="18"/>
          <w:szCs w:val="18"/>
          <w:color w:val="auto"/>
        </w:rPr>
      </w:pPr>
    </w:p>
    <w:p>
      <w:pPr>
        <w:ind w:left="3" w:firstLine="427"/>
        <w:spacing w:after="0" w:line="253" w:lineRule="auto"/>
        <w:tabs>
          <w:tab w:leader="none" w:pos="67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the effectiveness of the Transaction, Counterparty shall deliver to Dealer an opinion of counsel, dated as of the Effective Date and reasonably acceptable to Dealer in form and substance, with respect to certain of the matters set forth in Section 3(a)(i), (ii), (iii) and (iv) of the Agreement and Section 7(a)(viii)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opinion of counsel may contain customary exceptions and qualifications, including, without limitation, exceptions and qualifications relating to indemnification provisions.</w:t>
      </w:r>
    </w:p>
    <w:p>
      <w:pPr>
        <w:spacing w:after="0" w:line="183" w:lineRule="exact"/>
        <w:rPr>
          <w:rFonts w:ascii="Times New Roman" w:cs="Times New Roman" w:eastAsia="Times New Roman" w:hAnsi="Times New Roman"/>
          <w:sz w:val="18"/>
          <w:szCs w:val="18"/>
          <w:color w:val="auto"/>
        </w:rPr>
      </w:pPr>
    </w:p>
    <w:p>
      <w:pPr>
        <w:ind w:left="3" w:firstLine="427"/>
        <w:spacing w:after="0" w:line="279" w:lineRule="auto"/>
        <w:tabs>
          <w:tab w:leader="none" w:pos="654"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9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3"/>
          </w:cols>
          <w:pgMar w:left="557" w:top="266" w:right="579" w:bottom="1440" w:gutter="0" w:footer="0" w:header="0"/>
        </w:sectPr>
      </w:pPr>
    </w:p>
    <w:bookmarkStart w:id="142" w:name="page143"/>
    <w:bookmarkEnd w:id="142"/>
    <w:p>
      <w:pPr>
        <w:ind w:left="3" w:right="360" w:firstLine="427"/>
        <w:spacing w:after="0" w:line="270" w:lineRule="auto"/>
        <w:tabs>
          <w:tab w:leader="none" w:pos="68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68" w:lineRule="exact"/>
        <w:rPr>
          <w:rFonts w:ascii="Times New Roman" w:cs="Times New Roman" w:eastAsia="Times New Roman" w:hAnsi="Times New Roman"/>
          <w:sz w:val="18"/>
          <w:szCs w:val="18"/>
          <w:color w:val="auto"/>
        </w:rPr>
      </w:pPr>
    </w:p>
    <w:p>
      <w:pPr>
        <w:ind w:left="3" w:right="80" w:firstLine="427"/>
        <w:spacing w:after="0" w:line="287" w:lineRule="auto"/>
        <w:tabs>
          <w:tab w:leader="none" w:pos="68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r>
        <w:rPr>
          <w:rFonts w:ascii="Times New Roman" w:cs="Times New Roman" w:eastAsia="Times New Roman" w:hAnsi="Times New Roman"/>
          <w:sz w:val="26"/>
          <w:szCs w:val="26"/>
          <w:color w:val="auto"/>
          <w:vertAlign w:val="superscript"/>
        </w:rPr>
        <w:t>4</w:t>
      </w:r>
    </w:p>
    <w:p>
      <w:pPr>
        <w:spacing w:after="0" w:line="29" w:lineRule="exact"/>
        <w:rPr>
          <w:sz w:val="20"/>
          <w:szCs w:val="20"/>
          <w:color w:val="auto"/>
        </w:rPr>
      </w:pPr>
    </w:p>
    <w:p>
      <w:pPr>
        <w:ind w:left="603" w:hanging="173"/>
        <w:spacing w:after="0"/>
        <w:tabs>
          <w:tab w:leader="none" w:pos="6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3" w:right="40" w:firstLine="427"/>
        <w:spacing w:after="0" w:line="248" w:lineRule="auto"/>
        <w:tabs>
          <w:tab w:leader="none" w:pos="6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Extend</w:t>
      </w:r>
      <w:r>
        <w:rPr>
          <w:rFonts w:ascii="Times New Roman" w:cs="Times New Roman" w:eastAsia="Times New Roman" w:hAnsi="Times New Roman"/>
          <w:sz w:val="18"/>
          <w:szCs w:val="18"/>
          <w:color w:val="auto"/>
        </w:rPr>
        <w:t>. Dealer may divide any Component into additional Components and designate the Expiration Date and the Number of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each such Component if Dealer determines, in good faith and a commercially reasonable manner, that such further division is necessary or advisable to preserve Dealer’s hedging or hedge unwind activity assuming Dealer maintains a commercially reasonable hedge position hereunder in light of existing liquidity conditions or to enable Dealer to effect purchases of Shares in connection with its commercially reasonable hedging, hedge unwind or settlement activity hereunder in a manner that would, if Dealer were Counterparty or an affiliated purchaser of Counterparty, be compliant and consistent with applicable legal, regulatory or self-regulatory requirements, or with related policies and procedures, generally applicable to transactions of the type of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Expiration Date for any Component be postponed to a date later than the Final Termination Date.</w:t>
      </w:r>
    </w:p>
    <w:p>
      <w:pPr>
        <w:spacing w:after="0" w:line="190" w:lineRule="exact"/>
        <w:rPr>
          <w:rFonts w:ascii="Times New Roman" w:cs="Times New Roman" w:eastAsia="Times New Roman" w:hAnsi="Times New Roman"/>
          <w:sz w:val="18"/>
          <w:szCs w:val="18"/>
          <w:color w:val="auto"/>
        </w:rPr>
      </w:pPr>
    </w:p>
    <w:p>
      <w:pPr>
        <w:ind w:left="3" w:firstLine="427"/>
        <w:spacing w:after="0"/>
        <w:tabs>
          <w:tab w:leader="none" w:pos="6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Termination Events</w:t>
      </w:r>
      <w:r>
        <w:rPr>
          <w:rFonts w:ascii="Times New Roman" w:cs="Times New Roman" w:eastAsia="Times New Roman" w:hAnsi="Times New Roman"/>
          <w:sz w:val="18"/>
          <w:szCs w:val="18"/>
          <w:color w:val="auto"/>
        </w:rPr>
        <w:t>. Promptly (but in any event within ten (10) Scheduled Trading Days) following any repurchase,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(other than an exchange pursuant to Section [14.12]</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of the Indenture (as defined below)) or conversion of any of Counterparty’s [__]% Convertible Senior Notes due 2030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issued pursuant to an Indenture [to be] dated [____], 2025 between Counterparty and U.S. Bank Trust Company, National Association, as trustee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Counterparty may (but is not required to) notify Dealer in writing of such repurchase, redemption, exchange or conversion, the number of Convertible Notes so repurchased, redeemed, exchanged or converted, the number of Shares underlying such Convertible Notes and the number of Options as to which Counterparty elects to exercise its termination rights under this Section 8(b) (any such notice, a “</w:t>
      </w:r>
      <w:r>
        <w:rPr>
          <w:rFonts w:ascii="Times New Roman" w:cs="Times New Roman" w:eastAsia="Times New Roman" w:hAnsi="Times New Roman"/>
          <w:sz w:val="18"/>
          <w:szCs w:val="18"/>
          <w:b w:val="1"/>
          <w:bCs w:val="1"/>
          <w:color w:val="auto"/>
        </w:rPr>
        <w:t>Note Repurchase Notice</w:t>
      </w:r>
      <w:r>
        <w:rPr>
          <w:rFonts w:ascii="Times New Roman" w:cs="Times New Roman" w:eastAsia="Times New Roman" w:hAnsi="Times New Roman"/>
          <w:sz w:val="18"/>
          <w:szCs w:val="18"/>
          <w:color w:val="auto"/>
        </w:rPr>
        <w:t xml:space="preserve">”). Notwithstanding anything to the contrary in this Confirmation, the receipt by Dealer from Counterparty of (x) any Note Repurchase Notice, within the applicable time period set forth in the preceding sentence, (y) a written representation and warranty by Counterparty that, as of the date of such Note Repurchase Notice, Counterparty is not in possession of any material non-public information regarding Counterparty or the Shares, and (z) a written representation and warranty by Counterparty that the aggregate Repurchase Options, together with any options being terminated concurrently under other capped call transactions entered into in connection with the issuance of the Convertible Notes, will not exceed the number of Shares underlying the Convertible Notes specified in such Note Repurchase Notice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Option Entitlement, shall constitute an Additional Termination Event as provided in this paragraph. Upon receipt of any such Note Repurchase Notice and the related written representation and warranty, Dealer shall promptly designate an Exchange Business Day following receipt of such Note Repurchase Notice as an Early Termination Date with respect to the portion of the Transaction corresponding to a number of Options (the “</w:t>
      </w:r>
      <w:r>
        <w:rPr>
          <w:rFonts w:ascii="Times New Roman" w:cs="Times New Roman" w:eastAsia="Times New Roman" w:hAnsi="Times New Roman"/>
          <w:sz w:val="18"/>
          <w:szCs w:val="18"/>
          <w:b w:val="1"/>
          <w:bCs w:val="1"/>
          <w:color w:val="auto"/>
        </w:rPr>
        <w:t>Repurchase Options</w:t>
      </w:r>
      <w:r>
        <w:rPr>
          <w:rFonts w:ascii="Times New Roman" w:cs="Times New Roman" w:eastAsia="Times New Roman" w:hAnsi="Times New Roman"/>
          <w:sz w:val="18"/>
          <w:szCs w:val="18"/>
          <w:color w:val="auto"/>
        </w:rPr>
        <w:t>”) equal to the lesser of (A) the number of Options specified in such Note Repurchase Notice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number of “Repurchase Options” (as defined in the Base Capped Call Transaction Confirmation, dated as of [____], 2025, between Counterparty and Dealer relating to the Convertible Notes (the “</w:t>
      </w:r>
      <w:r>
        <w:rPr>
          <w:rFonts w:ascii="Times New Roman" w:cs="Times New Roman" w:eastAsia="Times New Roman" w:hAnsi="Times New Roman"/>
          <w:sz w:val="18"/>
          <w:szCs w:val="18"/>
          <w:b w:val="1"/>
          <w:bCs w:val="1"/>
          <w:color w:val="auto"/>
        </w:rPr>
        <w:t>Base Capped Call Transaction Confirmation</w:t>
      </w:r>
      <w:r>
        <w:rPr>
          <w:rFonts w:ascii="Times New Roman" w:cs="Times New Roman" w:eastAsia="Times New Roman" w:hAnsi="Times New Roman"/>
          <w:sz w:val="18"/>
          <w:szCs w:val="18"/>
          <w:color w:val="auto"/>
        </w:rPr>
        <w:t>”)), if any, that relate to such Convertible Notes (and for purposes of determining whether any Options under this Confirmation or under, and as defined in, the Base Capped Call Transaction Confirmation shall be among the Repurchase Options hereunder or under, and as defined in, the Base Capped Call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46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90" w:lineRule="exact"/>
        <w:rPr>
          <w:sz w:val="20"/>
          <w:szCs w:val="20"/>
          <w:color w:val="auto"/>
        </w:rPr>
      </w:pPr>
    </w:p>
    <w:p>
      <w:pPr>
        <w:ind w:left="423" w:hanging="423"/>
        <w:spacing w:after="0"/>
        <w:tabs>
          <w:tab w:leader="none" w:pos="423" w:val="left"/>
        </w:tabs>
        <w:numPr>
          <w:ilvl w:val="0"/>
          <w:numId w:val="1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as appropriate.</w:t>
      </w:r>
    </w:p>
    <w:p>
      <w:pPr>
        <w:ind w:left="423" w:hanging="423"/>
        <w:spacing w:after="0" w:line="183" w:lineRule="auto"/>
        <w:tabs>
          <w:tab w:leader="none" w:pos="423" w:val="left"/>
        </w:tabs>
        <w:numPr>
          <w:ilvl w:val="0"/>
          <w:numId w:val="1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section of Indenture describing exchange in lieu of conversion.</w:t>
      </w:r>
    </w:p>
    <w:p>
      <w:pPr>
        <w:spacing w:after="0" w:line="12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3"/>
          </w:cols>
          <w:pgMar w:left="557" w:top="266" w:right="579" w:bottom="1440" w:gutter="0" w:footer="0" w:header="0"/>
        </w:sectPr>
      </w:pPr>
    </w:p>
    <w:bookmarkStart w:id="143" w:name="page144"/>
    <w:bookmarkEnd w:id="143"/>
    <w:p>
      <w:pPr>
        <w:ind w:left="3" w:right="140"/>
        <w:spacing w:after="0" w:line="24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Confirmation, such Convertible Notes shall be allocated first to the Base Capped Call Transaction Confirmation until all Options thereunder are exercised or terminated)]</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and (B) the aggregate Number of Options as of the date Dealer designates such Early Termination Date and, as of such date, the aggregate Number of Options shall be reduced by the number of Repurchase Options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across all Components, as determined by the Calculation Agent. Any payment hereunder with respect to such termination shall be calculated pursuant to Section 6 of the Agreement as if (1) an Early Termination Date had been designated in respect of a Transaction having terms identical to the Transaction and an aggregate Number of Options equal to the number of Repurchase Options, (2) Counterparty were the sole Affected Party with respect to such Additional Termination Event, (3) the terminated portion of the Transaction were the sole Affected Transaction and (4) Dealer were the party entitled to designate an Early Termination Date pursuant to Section 6(b) of the Agreement and to determine the amount payable pursuant to Section 6(e) of the Agreement.</w:t>
      </w:r>
    </w:p>
    <w:p>
      <w:pPr>
        <w:spacing w:after="0" w:line="188" w:lineRule="exact"/>
        <w:rPr>
          <w:sz w:val="20"/>
          <w:szCs w:val="20"/>
          <w:color w:val="auto"/>
        </w:rPr>
      </w:pPr>
    </w:p>
    <w:p>
      <w:pPr>
        <w:ind w:left="3" w:right="160" w:firstLine="427"/>
        <w:spacing w:after="0" w:line="265" w:lineRule="auto"/>
        <w:tabs>
          <w:tab w:leader="none" w:pos="673"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Alternative Calculations and Payment on Early Termination and on Certain Extraordinary Events</w:t>
      </w:r>
      <w:r>
        <w:rPr>
          <w:rFonts w:ascii="Times New Roman" w:cs="Times New Roman" w:eastAsia="Times New Roman" w:hAnsi="Times New Roman"/>
          <w:sz w:val="17"/>
          <w:szCs w:val="17"/>
          <w:color w:val="auto"/>
        </w:rPr>
        <w:t>. If (a) an Early Termination Date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w:t>
      </w:r>
    </w:p>
    <w:p>
      <w:pPr>
        <w:spacing w:after="0" w:line="1" w:lineRule="exact"/>
        <w:rPr>
          <w:rFonts w:ascii="Times New Roman" w:cs="Times New Roman" w:eastAsia="Times New Roman" w:hAnsi="Times New Roman"/>
          <w:sz w:val="17"/>
          <w:szCs w:val="17"/>
          <w:color w:val="auto"/>
        </w:rPr>
      </w:pPr>
    </w:p>
    <w:p>
      <w:pPr>
        <w:ind w:left="3" w:right="60" w:hanging="3"/>
        <w:spacing w:after="0" w:line="259" w:lineRule="auto"/>
        <w:tabs>
          <w:tab w:leader="none" w:pos="311"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 w:cs="Times New Roman" w:eastAsia="Times New Roman" w:hAnsi="Times New Roman"/>
          <w:sz w:val="17"/>
          <w:szCs w:val="17"/>
          <w:b w:val="1"/>
          <w:bCs w:val="1"/>
          <w:color w:val="auto"/>
        </w:rPr>
        <w:t>Payment Obligation</w:t>
      </w:r>
      <w:r>
        <w:rPr>
          <w:rFonts w:ascii="Times New Roman" w:cs="Times New Roman" w:eastAsia="Times New Roman" w:hAnsi="Times New Roman"/>
          <w:sz w:val="17"/>
          <w:szCs w:val="17"/>
          <w:color w:val="auto"/>
        </w:rPr>
        <w:t>”), then Dealer shall satisfy the Payment Obligation by the Share Termination Alternative (as defined below) unless</w:t>
      </w:r>
    </w:p>
    <w:p>
      <w:pPr>
        <w:spacing w:after="0" w:line="1" w:lineRule="exact"/>
        <w:rPr>
          <w:rFonts w:ascii="Times New Roman" w:cs="Times New Roman" w:eastAsia="Times New Roman" w:hAnsi="Times New Roman"/>
          <w:sz w:val="17"/>
          <w:szCs w:val="17"/>
          <w:color w:val="auto"/>
        </w:rPr>
      </w:pPr>
    </w:p>
    <w:p>
      <w:pPr>
        <w:ind w:left="3" w:hanging="3"/>
        <w:spacing w:after="0" w:line="259" w:lineRule="auto"/>
        <w:tabs>
          <w:tab w:leader="none" w:pos="242"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Counterparty gives irrevocable telephonic notice to Dealer, confirmed in writing within one Scheduled Trading Day, no later than 5:00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is not in possession of any material non-public information regarding Counterparty or the Shares, and that such election is being made in good faith and not as part of a plan or scheme to evade compliance with the federal securities laws, and (c) Dealer agrees, in its sole discretion, to such election, in which case the provisions of Section 12.7 or Section 12.9 of the Equity Definitions, or the provisions of Section 6(d)</w:t>
      </w:r>
    </w:p>
    <w:p>
      <w:pPr>
        <w:spacing w:after="0" w:line="1" w:lineRule="exact"/>
        <w:rPr>
          <w:rFonts w:ascii="Times New Roman" w:cs="Times New Roman" w:eastAsia="Times New Roman" w:hAnsi="Times New Roman"/>
          <w:sz w:val="17"/>
          <w:szCs w:val="17"/>
          <w:color w:val="auto"/>
        </w:rPr>
      </w:pPr>
    </w:p>
    <w:p>
      <w:pPr>
        <w:ind w:left="263" w:hanging="263"/>
        <w:spacing w:after="0"/>
        <w:tabs>
          <w:tab w:leader="none" w:pos="26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6(e) of the Agreement, as the case may be, shall apply.</w:t>
      </w:r>
    </w:p>
    <w:p>
      <w:pPr>
        <w:sectPr>
          <w:pgSz w:w="11900" w:h="16838" w:orient="portrait"/>
          <w:cols w:equalWidth="0" w:num="1">
            <w:col w:w="10763"/>
          </w:cols>
          <w:pgMar w:left="557" w:top="267" w:right="579" w:bottom="1440" w:gutter="0" w:footer="0" w:header="0"/>
        </w:sectPr>
      </w:pPr>
    </w:p>
    <w:p>
      <w:pPr>
        <w:spacing w:after="0" w:line="2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Share Termination Alternative: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80" w:lineRule="exact"/>
        <w:rPr>
          <w:sz w:val="20"/>
          <w:szCs w:val="20"/>
          <w:color w:val="auto"/>
        </w:rPr>
      </w:pPr>
    </w:p>
    <w:p>
      <w:pPr>
        <w:sectPr>
          <w:pgSz w:w="11900" w:h="16838" w:orient="portrait"/>
          <w:cols w:equalWidth="0" w:num="2">
            <w:col w:w="2403" w:space="720"/>
            <w:col w:w="7640"/>
          </w:cols>
          <w:pgMar w:left="557" w:top="267" w:right="57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color w:val="auto"/>
        </w:rPr>
        <w:t>Share Termination Delivery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650240</wp:posOffset>
            </wp:positionV>
            <wp:extent cx="746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1" w:lineRule="auto"/>
        <w:rPr>
          <w:sz w:val="20"/>
          <w:szCs w:val="20"/>
          <w:color w:val="auto"/>
        </w:rPr>
      </w:pPr>
      <w:r>
        <w:rPr>
          <w:rFonts w:ascii="Times New Roman" w:cs="Times New Roman" w:eastAsia="Times New Roman" w:hAnsi="Times New Roman"/>
          <w:sz w:val="18"/>
          <w:szCs w:val="18"/>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p>
      <w:pPr>
        <w:spacing w:after="0" w:line="89" w:lineRule="exact"/>
        <w:rPr>
          <w:sz w:val="20"/>
          <w:szCs w:val="20"/>
          <w:color w:val="auto"/>
        </w:rPr>
      </w:pPr>
    </w:p>
    <w:p>
      <w:pPr>
        <w:sectPr>
          <w:pgSz w:w="11900" w:h="16838" w:orient="portrait"/>
          <w:cols w:equalWidth="0" w:num="2">
            <w:col w:w="2663" w:space="460"/>
            <w:col w:w="7640"/>
          </w:cols>
          <w:pgMar w:left="557" w:top="267" w:right="579" w:bottom="1440" w:gutter="0" w:footer="0" w:header="0"/>
          <w:type w:val="continuous"/>
        </w:sectPr>
      </w:pPr>
    </w:p>
    <w:p>
      <w:pPr>
        <w:ind w:left="423" w:hanging="423"/>
        <w:spacing w:after="0"/>
        <w:tabs>
          <w:tab w:leader="none" w:pos="423" w:val="left"/>
        </w:tabs>
        <w:numPr>
          <w:ilvl w:val="0"/>
          <w:numId w:val="1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for additional capped call transaction.</w:t>
      </w:r>
    </w:p>
    <w:p>
      <w:pPr>
        <w:spacing w:after="0" w:line="128"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3"/>
          </w:cols>
          <w:pgMar w:left="557" w:top="267" w:right="579" w:bottom="1440" w:gutter="0" w:footer="0" w:header="0"/>
          <w:type w:val="continuous"/>
        </w:sectPr>
      </w:pPr>
    </w:p>
    <w:bookmarkStart w:id="144" w:name="page145"/>
    <w:bookmarkEnd w:id="144"/>
    <w:p>
      <w:pPr>
        <w:ind w:left="3"/>
        <w:spacing w:after="0"/>
        <w:rPr>
          <w:sz w:val="20"/>
          <w:szCs w:val="20"/>
          <w:color w:val="auto"/>
        </w:rPr>
      </w:pPr>
      <w:r>
        <w:rPr>
          <w:rFonts w:ascii="Times New Roman" w:cs="Times New Roman" w:eastAsia="Times New Roman" w:hAnsi="Times New Roman"/>
          <w:sz w:val="17"/>
          <w:szCs w:val="17"/>
          <w:color w:val="auto"/>
        </w:rPr>
        <w:t>Share Termination Unit Price:</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7"/>
          <w:szCs w:val="17"/>
          <w:color w:val="auto"/>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a variety of factors, including the market price of the Share Termination Delivery Units and/or the purchase price paid in connection with the commercially reasonable purchase of Share Termination Delivery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-2141855</wp:posOffset>
            </wp:positionH>
            <wp:positionV relativeFrom="paragraph">
              <wp:posOffset>-908685</wp:posOffset>
            </wp:positionV>
            <wp:extent cx="717740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7405" cy="3810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2403" w:space="720"/>
            <w:col w:w="7640"/>
          </w:cols>
          <w:pgMar w:left="557" w:top="266" w:right="579" w:bottom="1440" w:gutter="0" w:footer="0" w:header="0"/>
        </w:sectPr>
      </w:pPr>
    </w:p>
    <w:p>
      <w:pPr>
        <w:ind w:left="3"/>
        <w:spacing w:after="0"/>
        <w:rPr>
          <w:sz w:val="20"/>
          <w:szCs w:val="20"/>
          <w:color w:val="auto"/>
        </w:rPr>
      </w:pPr>
      <w:r>
        <w:rPr>
          <w:rFonts w:ascii="Times New Roman" w:cs="Times New Roman" w:eastAsia="Times New Roman" w:hAnsi="Times New Roman"/>
          <w:sz w:val="17"/>
          <w:szCs w:val="17"/>
          <w:color w:val="auto"/>
        </w:rPr>
        <w:t>Share Termination Delivery Unit:</w:t>
      </w:r>
    </w:p>
    <w:p>
      <w:pPr>
        <w:spacing w:after="0" w:line="20" w:lineRule="exact"/>
        <w:rPr>
          <w:sz w:val="20"/>
          <w:szCs w:val="20"/>
          <w:color w:val="auto"/>
        </w:rPr>
      </w:pPr>
      <w:r>
        <w:rPr>
          <w:sz w:val="20"/>
          <w:szCs w:val="20"/>
          <w:color w:val="auto"/>
        </w:rPr>
        <w:br w:type="column"/>
      </w:r>
    </w:p>
    <w:p>
      <w:pPr>
        <w:ind w:right="100"/>
        <w:spacing w:after="0" w:line="250" w:lineRule="auto"/>
        <w:rPr>
          <w:sz w:val="20"/>
          <w:szCs w:val="20"/>
          <w:color w:val="auto"/>
        </w:rPr>
      </w:pPr>
      <w:r>
        <w:rPr>
          <w:rFonts w:ascii="Times New Roman" w:cs="Times New Roman" w:eastAsia="Times New Roman" w:hAnsi="Times New Roman"/>
          <w:sz w:val="18"/>
          <w:szCs w:val="18"/>
          <w:color w:val="auto"/>
        </w:rPr>
        <w:t>One Share or, if the Shares have changed into cash or any other property or the right to receive cash or any other property as the result of a Nationalization, Insolvency or Merger Event (any such cash or other property, the “</w:t>
      </w:r>
      <w:r>
        <w:rPr>
          <w:rFonts w:ascii="Times New Roman" w:cs="Times New Roman" w:eastAsia="Times New Roman" w:hAnsi="Times New Roman"/>
          <w:sz w:val="18"/>
          <w:szCs w:val="18"/>
          <w:b w:val="1"/>
          <w:bCs w:val="1"/>
          <w:color w:val="auto"/>
        </w:rPr>
        <w:t>Exchange Property</w:t>
      </w:r>
      <w:r>
        <w:rPr>
          <w:rFonts w:ascii="Times New Roman" w:cs="Times New Roman" w:eastAsia="Times New Roman" w:hAnsi="Times New Roman"/>
          <w:sz w:val="18"/>
          <w:szCs w:val="18"/>
          <w:color w:val="auto"/>
        </w:rPr>
        <w:t>”),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spacing w:after="0" w:line="80"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21"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
        <w:spacing w:after="0"/>
        <w:rPr>
          <w:sz w:val="20"/>
          <w:szCs w:val="20"/>
          <w:color w:val="auto"/>
        </w:rPr>
      </w:pPr>
      <w:r>
        <w:rPr>
          <w:rFonts w:ascii="Times New Roman" w:cs="Times New Roman" w:eastAsia="Times New Roman" w:hAnsi="Times New Roman"/>
          <w:sz w:val="17"/>
          <w:szCs w:val="17"/>
          <w:color w:val="auto"/>
        </w:rPr>
        <w:t>Other Applicable Provisions:</w:t>
      </w:r>
    </w:p>
    <w:p>
      <w:pPr>
        <w:spacing w:after="0" w:line="20" w:lineRule="exact"/>
        <w:rPr>
          <w:sz w:val="20"/>
          <w:szCs w:val="20"/>
          <w:color w:val="auto"/>
        </w:rPr>
      </w:pPr>
      <w:r>
        <w:rPr>
          <w:sz w:val="20"/>
          <w:szCs w:val="20"/>
          <w:color w:val="auto"/>
        </w:rPr>
        <w:br w:type="column"/>
      </w:r>
    </w:p>
    <w:p>
      <w:pPr>
        <w:ind w:right="260"/>
        <w:spacing w:after="0" w:line="267" w:lineRule="auto"/>
        <w:rPr>
          <w:sz w:val="20"/>
          <w:szCs w:val="20"/>
          <w:color w:val="auto"/>
        </w:rPr>
      </w:pPr>
      <w:r>
        <w:rPr>
          <w:rFonts w:ascii="Times New Roman" w:cs="Times New Roman" w:eastAsia="Times New Roman" w:hAnsi="Times New Roman"/>
          <w:sz w:val="17"/>
          <w:szCs w:val="17"/>
          <w:color w:val="auto"/>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172" w:lineRule="exact"/>
        <w:rPr>
          <w:sz w:val="20"/>
          <w:szCs w:val="20"/>
          <w:color w:val="auto"/>
        </w:rPr>
      </w:pPr>
    </w:p>
    <w:p>
      <w:pPr>
        <w:sectPr>
          <w:pgSz w:w="11900" w:h="16838" w:orient="portrait"/>
          <w:cols w:equalWidth="0" w:num="2">
            <w:col w:w="2403" w:space="720"/>
            <w:col w:w="7640"/>
          </w:cols>
          <w:pgMar w:left="557" w:top="266" w:right="579" w:bottom="1440" w:gutter="0" w:footer="0" w:header="0"/>
          <w:type w:val="continuous"/>
        </w:sectPr>
      </w:pPr>
    </w:p>
    <w:p>
      <w:pPr>
        <w:ind w:left="3" w:right="80" w:firstLine="427"/>
        <w:spacing w:after="0" w:line="267" w:lineRule="auto"/>
        <w:tabs>
          <w:tab w:leader="none" w:pos="683"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Disposition of Hedge Shares</w:t>
      </w:r>
      <w:r>
        <w:rPr>
          <w:rFonts w:ascii="Times New Roman" w:cs="Times New Roman" w:eastAsia="Times New Roman" w:hAnsi="Times New Roman"/>
          <w:sz w:val="17"/>
          <w:szCs w:val="17"/>
          <w:color w:val="auto"/>
        </w:rPr>
        <w:t>. Counterparty hereby agrees that if, in the good faith reasonable judgment of Dealer, based on the advice of legal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counsel, the Shares acquired by Dealer for the purpose of effecting a commercially reasonable hedge of its obligations pursuant to the Transaction (the “</w:t>
      </w:r>
      <w:r>
        <w:rPr>
          <w:rFonts w:ascii="Times New Roman" w:cs="Times New Roman" w:eastAsia="Times New Roman" w:hAnsi="Times New Roman"/>
          <w:sz w:val="17"/>
          <w:szCs w:val="17"/>
          <w:b w:val="1"/>
          <w:bCs w:val="1"/>
          <w:color w:val="auto"/>
        </w:rPr>
        <w:t>Hedge Shares</w:t>
      </w:r>
      <w:r>
        <w:rPr>
          <w:rFonts w:ascii="Times New Roman" w:cs="Times New Roman" w:eastAsia="Times New Roman" w:hAnsi="Times New Roman"/>
          <w:sz w:val="17"/>
          <w:szCs w:val="17"/>
          <w:color w:val="auto"/>
        </w:rPr>
        <w:t>”) cannot be sold in the U.S. public market by Dealer without registration under the Securities Act, Counterparty shall, at its election:</w:t>
      </w:r>
    </w:p>
    <w:p>
      <w:pPr>
        <w:ind w:left="3" w:right="500" w:hanging="3"/>
        <w:spacing w:after="0" w:line="259" w:lineRule="auto"/>
        <w:tabs>
          <w:tab w:leader="none" w:pos="21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w:t>
      </w:r>
    </w:p>
    <w:p>
      <w:pPr>
        <w:spacing w:after="0" w:line="1" w:lineRule="exact"/>
        <w:rPr>
          <w:rFonts w:ascii="Times New Roman" w:cs="Times New Roman" w:eastAsia="Times New Roman" w:hAnsi="Times New Roman"/>
          <w:sz w:val="17"/>
          <w:szCs w:val="17"/>
          <w:color w:val="auto"/>
        </w:rPr>
      </w:pPr>
    </w:p>
    <w:p>
      <w:pPr>
        <w:ind w:left="3" w:right="100"/>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w:t>
      </w:r>
    </w:p>
    <w:p>
      <w:pPr>
        <w:spacing w:after="0" w:line="12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3"/>
          </w:cols>
          <w:pgMar w:left="557" w:top="266" w:right="579" w:bottom="1440" w:gutter="0" w:footer="0" w:header="0"/>
          <w:type w:val="continuous"/>
        </w:sectPr>
      </w:pPr>
    </w:p>
    <w:bookmarkStart w:id="145" w:name="page146"/>
    <w:bookmarkEnd w:id="145"/>
    <w:p>
      <w:pPr>
        <w:ind w:left="3"/>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placements of equity securities of companies of a similar size in a similar industry, in form and substance commercially reasonably satisfactory to Dealer using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or (iii) purchase the Hedge Shares from Dealer at the then-current market price on such Exchange Business Days, and in the amounts and at such time(s), commercially reasonably requested by Dealer. This Section 8(d) shall survive the termination, expiration or early unwind of the Transaction.</w:t>
      </w:r>
    </w:p>
    <w:p>
      <w:pPr>
        <w:spacing w:after="0" w:line="186" w:lineRule="exact"/>
        <w:rPr>
          <w:sz w:val="20"/>
          <w:szCs w:val="20"/>
          <w:color w:val="auto"/>
        </w:rPr>
      </w:pPr>
    </w:p>
    <w:p>
      <w:pPr>
        <w:ind w:left="3" w:firstLine="427"/>
        <w:spacing w:after="0" w:line="242" w:lineRule="auto"/>
        <w:tabs>
          <w:tab w:leader="none" w:pos="6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Repurchase Notices</w:t>
      </w:r>
      <w:r>
        <w:rPr>
          <w:rFonts w:ascii="Times New Roman" w:cs="Times New Roman" w:eastAsia="Times New Roman" w:hAnsi="Times New Roman"/>
          <w:sz w:val="18"/>
          <w:szCs w:val="18"/>
          <w:color w:val="auto"/>
        </w:rPr>
        <w:t>. Counterparty shall, on or prior to the date one Scheduled Valid Day immediately following any day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has effected any repurchase of Shares, give Dealer written notice of such repurchase (a “</w:t>
      </w:r>
      <w:r>
        <w:rPr>
          <w:rFonts w:ascii="Times New Roman" w:cs="Times New Roman" w:eastAsia="Times New Roman" w:hAnsi="Times New Roman"/>
          <w:sz w:val="18"/>
          <w:szCs w:val="18"/>
          <w:b w:val="1"/>
          <w:bCs w:val="1"/>
          <w:color w:val="auto"/>
        </w:rPr>
        <w:t>Repurchase Notice</w:t>
      </w:r>
      <w:r>
        <w:rPr>
          <w:rFonts w:ascii="Times New Roman" w:cs="Times New Roman" w:eastAsia="Times New Roman" w:hAnsi="Times New Roman"/>
          <w:sz w:val="18"/>
          <w:szCs w:val="18"/>
          <w:color w:val="auto"/>
        </w:rPr>
        <w:t>”)if, following such repurchase, the Notice Percentage is (i) greater than [__]</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(in the case of the first such notice) and (ii) thereafter greater by 0.5% or more than the Notice Percentage included in the immediately preceding Repurchase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Percentage</w:t>
      </w:r>
      <w:r>
        <w:rPr>
          <w:rFonts w:ascii="Times New Roman" w:cs="Times New Roman" w:eastAsia="Times New Roman" w:hAnsi="Times New Roman"/>
          <w:sz w:val="18"/>
          <w:szCs w:val="18"/>
          <w:color w:val="auto"/>
        </w:rPr>
        <w:t>” as of any day is the fraction, expressed as a percentage, the numerator of which is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any other capped call transactions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In addition, Counterparty shall not have liability for any settlement of any proceeding contemplated by this paragraph that is effected without its written consent, such consent not to be unreasonably withheld, but if settled with such consent or if there be a final judgment for the plaintiff, Counterparty agrees to indemnify any Indemnified Person from and against any loss or liability by reason of such settlement or judgment.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46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46" w:lineRule="exact"/>
        <w:rPr>
          <w:sz w:val="20"/>
          <w:szCs w:val="20"/>
          <w:color w:val="auto"/>
        </w:rPr>
      </w:pPr>
    </w:p>
    <w:p>
      <w:pPr>
        <w:jc w:val="both"/>
        <w:ind w:left="423" w:right="40" w:hanging="423"/>
        <w:spacing w:after="0" w:line="219" w:lineRule="auto"/>
        <w:tabs>
          <w:tab w:leader="none" w:pos="423" w:val="left"/>
        </w:tabs>
        <w:numPr>
          <w:ilvl w:val="0"/>
          <w:numId w:val="1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To be 0.5% higher than (i) the number of Shares underlying all capped call transactions (including any additional capped call transactions and any existing capped call transactions) of the Dealer in this Transaction with highest aggregate number of underlying Shares,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total Shares outstanding on the Trade Date (subtracting any repurchases).</w:t>
      </w:r>
    </w:p>
    <w:p>
      <w:pPr>
        <w:spacing w:after="0" w:line="1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3"/>
          </w:cols>
          <w:pgMar w:left="557" w:top="266" w:right="559" w:bottom="1440" w:gutter="0" w:footer="0" w:header="0"/>
        </w:sectPr>
      </w:pPr>
    </w:p>
    <w:bookmarkStart w:id="146" w:name="page147"/>
    <w:bookmarkEnd w:id="146"/>
    <w:p>
      <w:pPr>
        <w:ind w:left="3" w:right="40" w:firstLine="427"/>
        <w:spacing w:after="0" w:line="253" w:lineRule="auto"/>
        <w:tabs>
          <w:tab w:leader="none" w:pos="654"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Transfer and Assignment</w:t>
      </w:r>
      <w:r>
        <w:rPr>
          <w:rFonts w:ascii="Times New Roman" w:cs="Times New Roman" w:eastAsia="Times New Roman" w:hAnsi="Times New Roman"/>
          <w:sz w:val="17"/>
          <w:szCs w:val="17"/>
          <w:color w:val="auto"/>
        </w:rPr>
        <w:t>. (i) Dealer may transfer or assign any of its rights or obligations under the Transaction with the prior written consent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Counterparty, such consent not to be unreasonably withheld or delayed;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Dealer may transfer or assign without any consent of Counterparty its rights and obligations hereunder, in whole or in part, to (A) any affiliate of Dealer whose obligations would be guaranteed by Dealer [or Dealer’s ultimate parent]</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or (B) any person (including any affiliate of Dealer whose obligations are not guaranteed in the manner described in clause (A)) or any person whose obligations would be guaranteed by a person (a “</w:t>
      </w:r>
      <w:r>
        <w:rPr>
          <w:rFonts w:ascii="Times New Roman" w:cs="Times New Roman" w:eastAsia="Times New Roman" w:hAnsi="Times New Roman"/>
          <w:sz w:val="17"/>
          <w:szCs w:val="17"/>
          <w:b w:val="1"/>
          <w:bCs w:val="1"/>
          <w:color w:val="auto"/>
        </w:rPr>
        <w:t>Designated Transferee</w:t>
      </w:r>
      <w:r>
        <w:rPr>
          <w:rFonts w:ascii="Times New Roman" w:cs="Times New Roman" w:eastAsia="Times New Roman" w:hAnsi="Times New Roman"/>
          <w:sz w:val="17"/>
          <w:szCs w:val="17"/>
          <w:color w:val="auto"/>
        </w:rPr>
        <w:t xml:space="preserve">”), in either case under this clause (B), with a rating for its long-term, unsecured and unsubordinated indebtedness at least equivalent to Dealer’s (or its guarantor’s) at the time of such transfer or assignment;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the case of this clause (B), in no event shall the credit rating of the Designated Transferee or its guarantor (whichever is higher) be lower than A3 from Moody’s Investor Service, Inc. or its successor or A- from Standard and Poor’s Rating Group, Inc. or its successor at the time of such transfer or assignment;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(i) Dealer will notify Counterparty in writing prior to any proposed transfer or assignment to a Designated Transferee, (ii) both the Dealer and transferee in any such transfer or assignment are a “dealer in securities” within the meaning of Section 475(c)(1)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or the transfer or assignment does not result in a deemed exchange for Counterparty within the meaning of Section 1001 of the Code, (iii) after any such transfer or assignment, except to the extent such different amount results from a change in law that occurred after the date of such transfer or assignment, Counterparty will not be required to (A) pay or deliver to the transferee or assignee of such rights or obligations on any payment date or delivery date an amount under Section 2(d)(i)(4) of the Agreement greater than the amount, if any, that Counterparty would have been required to pay Dealer in the absence of such transfer or assignment or</w:t>
      </w:r>
    </w:p>
    <w:p>
      <w:pPr>
        <w:ind w:left="3" w:hanging="3"/>
        <w:spacing w:after="0" w:line="245" w:lineRule="auto"/>
        <w:tabs>
          <w:tab w:leader="none" w:pos="28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from such transferee or assignee of such rights or obligations on any payment date or delivery date an amount or number of Shares, as applicable, less than the amount or number of Shares, as applicable, that Counterparty would have received (after taking into account any amounts paid or delivered under Section 2(d)(i)(4) of the Agreement, and any applicable withholding) from Dealer in the absence of such transfer or assignment, and (iv) Dealer shall cause the transferee or assignee to make such Payee Tax Representations and provide Counterparty with such tax documentation as may reasonably be requested by Counterparty, including a complete and accurate U.S. Internal Revenue Service Form W-9 or W-8 (as applicable), prior to becoming a party to the Transaction to permit Counterparty to make any necessary determinations pursuant to clauses (ii) and (iii) of this proviso.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 203 of the Delaware General Corporation Law or other federal, state or local law, rule, regulation or regulatory order or organizational documents or contracts of Counterparty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could result in an adverse effect on a Dealer Person, under any Applicable Restriction, as determined by Dealer in its reasonable discretion,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(y) 1% of the number of Shares outstanding on the date of determination (either such condition described in clause (1) or (2), an “</w:t>
      </w:r>
      <w:r>
        <w:rPr>
          <w:rFonts w:ascii="Times New Roman" w:cs="Times New Roman" w:eastAsia="Times New Roman" w:hAnsi="Times New Roman"/>
          <w:sz w:val="18"/>
          <w:szCs w:val="18"/>
          <w:b w:val="1"/>
          <w:bCs w:val="1"/>
          <w:color w:val="auto"/>
        </w:rPr>
        <w:t>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Ownership Position</w:t>
      </w:r>
      <w:r>
        <w:rPr>
          <w:rFonts w:ascii="Times New Roman" w:cs="Times New Roman" w:eastAsia="Times New Roman" w:hAnsi="Times New Roman"/>
          <w:sz w:val="18"/>
          <w:szCs w:val="18"/>
          <w:color w:val="auto"/>
        </w:rPr>
        <w:t>”), if Dealer, in its reasonable discretion, is unable to effect a transfer or assignment to a third party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Times New Roman" w:cs="Times New Roman" w:eastAsia="Times New Roman" w:hAnsi="Times New Roman"/>
          <w:sz w:val="18"/>
          <w:szCs w:val="18"/>
          <w:b w:val="1"/>
          <w:bCs w:val="1"/>
          <w:color w:val="auto"/>
        </w:rPr>
        <w:t>Terminated Portion</w:t>
      </w:r>
      <w:r>
        <w:rPr>
          <w:rFonts w:ascii="Times New Roman" w:cs="Times New Roman" w:eastAsia="Times New Roman" w:hAnsi="Times New Roman"/>
          <w:sz w:val="18"/>
          <w:szCs w:val="18"/>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46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76" w:lineRule="exact"/>
        <w:rPr>
          <w:sz w:val="20"/>
          <w:szCs w:val="20"/>
          <w:color w:val="auto"/>
        </w:rPr>
      </w:pPr>
    </w:p>
    <w:p>
      <w:pPr>
        <w:ind w:left="423" w:hanging="423"/>
        <w:spacing w:after="0"/>
        <w:tabs>
          <w:tab w:leader="none" w:pos="423" w:val="left"/>
        </w:tabs>
        <w:numPr>
          <w:ilvl w:val="0"/>
          <w:numId w:val="1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if applicable.</w:t>
      </w:r>
    </w:p>
    <w:p>
      <w:pPr>
        <w:spacing w:after="0" w:line="1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3"/>
          </w:cols>
          <w:pgMar w:left="557" w:top="264" w:right="559" w:bottom="1440" w:gutter="0" w:footer="0" w:header="0"/>
        </w:sectPr>
      </w:pPr>
    </w:p>
    <w:bookmarkStart w:id="147" w:name="page148"/>
    <w:bookmarkEnd w:id="147"/>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 w:cs="Times New Roman" w:eastAsia="Times New Roman" w:hAnsi="Times New Roman"/>
          <w:sz w:val="18"/>
          <w:szCs w:val="18"/>
          <w:b w:val="1"/>
          <w:bCs w:val="1"/>
          <w:color w:val="auto"/>
        </w:rPr>
        <w:t>Equity Percentage</w:t>
      </w:r>
      <w:r>
        <w:rPr>
          <w:rFonts w:ascii="Times New Roman" w:cs="Times New Roman" w:eastAsia="Times New Roman" w:hAnsi="Times New Roman"/>
          <w:sz w:val="18"/>
          <w:szCs w:val="18"/>
          <w:color w:val="auto"/>
        </w:rPr>
        <w:t>”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cs="Times New Roman" w:eastAsia="Times New Roman" w:hAnsi="Times New Roman"/>
          <w:sz w:val="18"/>
          <w:szCs w:val="18"/>
          <w:b w:val="1"/>
          <w:bCs w:val="1"/>
          <w:color w:val="auto"/>
        </w:rPr>
        <w:t>Dealer Group</w:t>
      </w:r>
      <w:r>
        <w:rPr>
          <w:rFonts w:ascii="Times New Roman" w:cs="Times New Roman" w:eastAsia="Times New Roman" w:hAnsi="Times New Roman"/>
          <w:sz w:val="18"/>
          <w:szCs w:val="18"/>
          <w:color w:val="auto"/>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88" w:lineRule="exact"/>
        <w:rPr>
          <w:sz w:val="20"/>
          <w:szCs w:val="20"/>
          <w:color w:val="auto"/>
        </w:rPr>
      </w:pPr>
    </w:p>
    <w:p>
      <w:pPr>
        <w:ind w:right="140" w:firstLine="431"/>
        <w:spacing w:after="0" w:line="251" w:lineRule="auto"/>
        <w:rPr>
          <w:sz w:val="20"/>
          <w:szCs w:val="20"/>
          <w:color w:val="auto"/>
        </w:rPr>
      </w:pPr>
      <w:r>
        <w:rPr>
          <w:rFonts w:ascii="Times New Roman" w:cs="Times New Roman" w:eastAsia="Times New Roman" w:hAnsi="Times New Roman"/>
          <w:sz w:val="18"/>
          <w:szCs w:val="18"/>
          <w:color w:val="auto"/>
        </w:rPr>
        <w:t>(ii)  Counterparty may transfer or assign any of its rights or obligations under the Transaction with the prior written consent of Dealer, such consent not to be unreasonably withheld or delayed. In the case of a transfer or assignment by Counterparty of its rights and obligations hereunder and under the Agreement, in whole or in part (any such Options so transferred or assigned, the “</w:t>
      </w:r>
      <w:r>
        <w:rPr>
          <w:rFonts w:ascii="Times New Roman" w:cs="Times New Roman" w:eastAsia="Times New Roman" w:hAnsi="Times New Roman"/>
          <w:sz w:val="18"/>
          <w:szCs w:val="18"/>
          <w:b w:val="1"/>
          <w:bCs w:val="1"/>
          <w:color w:val="auto"/>
        </w:rPr>
        <w:t>Transfer Options</w:t>
      </w:r>
      <w:r>
        <w:rPr>
          <w:rFonts w:ascii="Times New Roman" w:cs="Times New Roman" w:eastAsia="Times New Roman" w:hAnsi="Times New Roman"/>
          <w:sz w:val="18"/>
          <w:szCs w:val="18"/>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80" w:lineRule="exact"/>
        <w:rPr>
          <w:sz w:val="20"/>
          <w:szCs w:val="20"/>
          <w:color w:val="auto"/>
        </w:rPr>
      </w:pPr>
    </w:p>
    <w:p>
      <w:pPr>
        <w:ind w:left="420" w:right="340" w:firstLine="421"/>
        <w:spacing w:after="0" w:line="270" w:lineRule="auto"/>
        <w:tabs>
          <w:tab w:leader="none" w:pos="112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62" w:lineRule="exact"/>
        <w:rPr>
          <w:rFonts w:ascii="Times New Roman" w:cs="Times New Roman" w:eastAsia="Times New Roman" w:hAnsi="Times New Roman"/>
          <w:sz w:val="18"/>
          <w:szCs w:val="18"/>
          <w:color w:val="auto"/>
        </w:rPr>
      </w:pPr>
    </w:p>
    <w:p>
      <w:pPr>
        <w:ind w:left="1120" w:hanging="279"/>
        <w:spacing w:after="0"/>
        <w:tabs>
          <w:tab w:leader="none" w:pos="11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Options shall only be transferred or assigned to a third party that is a U.S. person (as defined in the Code);</w:t>
      </w:r>
    </w:p>
    <w:p>
      <w:pPr>
        <w:spacing w:after="0" w:line="109" w:lineRule="exact"/>
        <w:rPr>
          <w:rFonts w:ascii="Times New Roman" w:cs="Times New Roman" w:eastAsia="Times New Roman" w:hAnsi="Times New Roman"/>
          <w:sz w:val="18"/>
          <w:szCs w:val="18"/>
          <w:color w:val="auto"/>
        </w:rPr>
      </w:pPr>
    </w:p>
    <w:p>
      <w:pPr>
        <w:ind w:left="420" w:firstLine="421"/>
        <w:spacing w:after="0" w:line="251" w:lineRule="auto"/>
        <w:tabs>
          <w:tab w:leader="none" w:pos="11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by and reasonably satisfactory to Dealer;</w:t>
      </w:r>
    </w:p>
    <w:p>
      <w:pPr>
        <w:spacing w:after="0" w:line="79" w:lineRule="exact"/>
        <w:rPr>
          <w:rFonts w:ascii="Times New Roman" w:cs="Times New Roman" w:eastAsia="Times New Roman" w:hAnsi="Times New Roman"/>
          <w:sz w:val="18"/>
          <w:szCs w:val="18"/>
          <w:color w:val="auto"/>
        </w:rPr>
      </w:pPr>
    </w:p>
    <w:p>
      <w:pPr>
        <w:ind w:left="420" w:right="60" w:firstLine="421"/>
        <w:spacing w:after="0" w:line="250" w:lineRule="auto"/>
        <w:tabs>
          <w:tab w:leader="none" w:pos="112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will not, after such transfer or assignment, be required to (i) pay or deliver to the transferee or assignee on any payment or delivery date an amount under Section 2(d)(i)(4) of the Agreement greater than an amount that Dealer would have been required to pay or deliver to Counterparty in the absence of such transfer or assignment or (ii) receive from the transferee or assignee an amount (after taking into account any amounts paid by the transferee or assignee under Section 2(d)(i)(4) of the Agreement, reduced by any withholding) less than the amount that Dealer would have received from the Counterparty in the absence of such transfer or assignment (except to the extent such different amount results from a change in law that occurred after the date of such transfer or assignment);</w:t>
      </w:r>
    </w:p>
    <w:p>
      <w:pPr>
        <w:spacing w:after="0" w:line="79" w:lineRule="exact"/>
        <w:rPr>
          <w:rFonts w:ascii="Times New Roman" w:cs="Times New Roman" w:eastAsia="Times New Roman" w:hAnsi="Times New Roman"/>
          <w:sz w:val="18"/>
          <w:szCs w:val="18"/>
          <w:color w:val="auto"/>
        </w:rPr>
      </w:pPr>
    </w:p>
    <w:p>
      <w:pPr>
        <w:ind w:left="1100" w:hanging="259"/>
        <w:spacing w:after="0"/>
        <w:tabs>
          <w:tab w:leader="none" w:pos="11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Potential Event of Default or Termination Event will not occur as a result of such transfer and assignment;</w:t>
      </w:r>
    </w:p>
    <w:p>
      <w:pPr>
        <w:spacing w:after="0" w:line="109" w:lineRule="exact"/>
        <w:rPr>
          <w:rFonts w:ascii="Times New Roman" w:cs="Times New Roman" w:eastAsia="Times New Roman" w:hAnsi="Times New Roman"/>
          <w:sz w:val="18"/>
          <w:szCs w:val="18"/>
          <w:color w:val="auto"/>
        </w:rPr>
      </w:pPr>
    </w:p>
    <w:p>
      <w:pPr>
        <w:ind w:left="420" w:right="640" w:firstLine="421"/>
        <w:spacing w:after="0" w:line="253" w:lineRule="auto"/>
        <w:tabs>
          <w:tab w:leader="none" w:pos="109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clause (B), Counterparty shall have caused the transferee or assignee to make such Payee Tax Representations and to provide such tax documentation as may be reasonably requested by Dealer to permit Dealer to determine that the requirement described in clause (B) has been satisfied and the results described in clause (D) will not occur upon or after such transfer or assignment; and</w:t>
      </w:r>
    </w:p>
    <w:p>
      <w:pPr>
        <w:spacing w:after="0" w:line="77" w:lineRule="exact"/>
        <w:rPr>
          <w:rFonts w:ascii="Times New Roman" w:cs="Times New Roman" w:eastAsia="Times New Roman" w:hAnsi="Times New Roman"/>
          <w:sz w:val="18"/>
          <w:szCs w:val="18"/>
          <w:color w:val="auto"/>
        </w:rPr>
      </w:pPr>
    </w:p>
    <w:p>
      <w:pPr>
        <w:ind w:left="420" w:right="560" w:firstLine="421"/>
        <w:spacing w:after="0" w:line="270" w:lineRule="auto"/>
        <w:tabs>
          <w:tab w:leader="none" w:pos="112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be responsible for all reasonable costs and expenses, including reasonable counsel fees, incurred by Dealer in connection with such transfer or assignment.</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40"/>
          </w:cols>
          <w:pgMar w:left="560" w:top="266" w:right="599" w:bottom="1440" w:gutter="0" w:footer="0" w:header="0"/>
        </w:sectPr>
      </w:pPr>
    </w:p>
    <w:bookmarkStart w:id="148" w:name="page149"/>
    <w:bookmarkEnd w:id="148"/>
    <w:p>
      <w:pPr>
        <w:ind w:left="3" w:right="180"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(iii)  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183" w:lineRule="exact"/>
        <w:rPr>
          <w:sz w:val="20"/>
          <w:szCs w:val="20"/>
          <w:color w:val="auto"/>
        </w:rPr>
      </w:pPr>
    </w:p>
    <w:p>
      <w:pPr>
        <w:ind w:left="3" w:firstLine="427"/>
        <w:spacing w:after="0" w:line="254" w:lineRule="auto"/>
        <w:tabs>
          <w:tab w:leader="none" w:pos="68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Staggered Settlement</w:t>
      </w:r>
      <w:r>
        <w:rPr>
          <w:rFonts w:ascii="Times New Roman" w:cs="Times New Roman" w:eastAsia="Times New Roman" w:hAnsi="Times New Roman"/>
          <w:sz w:val="18"/>
          <w:szCs w:val="18"/>
          <w:color w:val="auto"/>
        </w:rPr>
        <w:t>. If Dealer determines reasonably and in good faith that the number of Shares required to be delivered to Counterparty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on the Settlement Date would result in an Excess Ownership Position, then Dealer may, by notice to Counterparty prior to the Settlement Date (a “</w:t>
      </w:r>
      <w:r>
        <w:rPr>
          <w:rFonts w:ascii="Times New Roman" w:cs="Times New Roman" w:eastAsia="Times New Roman" w:hAnsi="Times New Roman"/>
          <w:sz w:val="18"/>
          <w:szCs w:val="18"/>
          <w:b w:val="1"/>
          <w:bCs w:val="1"/>
          <w:color w:val="auto"/>
        </w:rPr>
        <w:t>Nominal Settlement Date</w:t>
      </w:r>
      <w:r>
        <w:rPr>
          <w:rFonts w:ascii="Times New Roman" w:cs="Times New Roman" w:eastAsia="Times New Roman" w:hAnsi="Times New Roman"/>
          <w:sz w:val="18"/>
          <w:szCs w:val="18"/>
          <w:color w:val="auto"/>
        </w:rPr>
        <w:t>”), elect to deliver any Shares due to be delivered on two or more dates (each, a “</w:t>
      </w:r>
      <w:r>
        <w:rPr>
          <w:rFonts w:ascii="Times New Roman" w:cs="Times New Roman" w:eastAsia="Times New Roman" w:hAnsi="Times New Roman"/>
          <w:sz w:val="18"/>
          <w:szCs w:val="18"/>
          <w:b w:val="1"/>
          <w:bCs w:val="1"/>
          <w:color w:val="auto"/>
        </w:rPr>
        <w:t>Staggered Settlement Date</w:t>
      </w:r>
      <w:r>
        <w:rPr>
          <w:rFonts w:ascii="Times New Roman" w:cs="Times New Roman" w:eastAsia="Times New Roman" w:hAnsi="Times New Roman"/>
          <w:sz w:val="18"/>
          <w:szCs w:val="18"/>
          <w:color w:val="auto"/>
        </w:rPr>
        <w:t>”) or at two or more times on the Nominal Settlement Date as follows:</w:t>
      </w:r>
    </w:p>
    <w:p>
      <w:pPr>
        <w:spacing w:after="0" w:line="76" w:lineRule="exact"/>
        <w:rPr>
          <w:rFonts w:ascii="Times New Roman" w:cs="Times New Roman" w:eastAsia="Times New Roman" w:hAnsi="Times New Roman"/>
          <w:sz w:val="18"/>
          <w:szCs w:val="18"/>
          <w:color w:val="auto"/>
        </w:rPr>
      </w:pPr>
    </w:p>
    <w:p>
      <w:pPr>
        <w:ind w:left="423" w:right="200" w:firstLine="421"/>
        <w:spacing w:after="0" w:line="219" w:lineRule="auto"/>
        <w:tabs>
          <w:tab w:leader="none" w:pos="1047"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notice, Dealer will specify to Counterparty the related Staggered Settlement Dates (each of which will be on or prior to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Exchange Business Day after such Nominal Settlement Date) or delivery times and how it will allocate the Shares it is required to deliver hereunder on the Settlement Date among the Staggered Settlement Dates or delivery times; and</w:t>
      </w:r>
    </w:p>
    <w:p>
      <w:pPr>
        <w:spacing w:after="0" w:line="88" w:lineRule="exact"/>
        <w:rPr>
          <w:rFonts w:ascii="Times New Roman" w:cs="Times New Roman" w:eastAsia="Times New Roman" w:hAnsi="Times New Roman"/>
          <w:sz w:val="18"/>
          <w:szCs w:val="18"/>
          <w:color w:val="auto"/>
        </w:rPr>
      </w:pPr>
    </w:p>
    <w:p>
      <w:pPr>
        <w:ind w:left="423" w:right="140" w:firstLine="421"/>
        <w:spacing w:after="0" w:line="257" w:lineRule="auto"/>
        <w:tabs>
          <w:tab w:leader="none" w:pos="10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Staggered Settlement Date be a date later than the Final Termination Date.</w:t>
      </w:r>
    </w:p>
    <w:p>
      <w:pPr>
        <w:spacing w:after="0" w:line="178" w:lineRule="exact"/>
        <w:rPr>
          <w:rFonts w:ascii="Times New Roman" w:cs="Times New Roman" w:eastAsia="Times New Roman" w:hAnsi="Times New Roman"/>
          <w:sz w:val="18"/>
          <w:szCs w:val="18"/>
          <w:color w:val="auto"/>
        </w:rPr>
      </w:pPr>
    </w:p>
    <w:p>
      <w:pPr>
        <w:ind w:left="3" w:right="40" w:firstLine="427"/>
        <w:spacing w:after="0" w:line="281" w:lineRule="auto"/>
        <w:tabs>
          <w:tab w:leader="none" w:pos="683"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Disclosure</w:t>
      </w:r>
      <w:r>
        <w:rPr>
          <w:rFonts w:ascii="Times New Roman" w:cs="Times New Roman" w:eastAsia="Times New Roman" w:hAnsi="Times New Roman"/>
          <w:sz w:val="17"/>
          <w:szCs w:val="17"/>
          <w:color w:val="auto"/>
        </w:rPr>
        <w:t>. Effective from the date of commencement of discussions concerning the Transaction, Counterparty and each of its employees,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58" w:lineRule="exact"/>
        <w:rPr>
          <w:rFonts w:ascii="Times New Roman" w:cs="Times New Roman" w:eastAsia="Times New Roman" w:hAnsi="Times New Roman"/>
          <w:sz w:val="17"/>
          <w:szCs w:val="17"/>
          <w:color w:val="auto"/>
        </w:rPr>
      </w:pPr>
    </w:p>
    <w:p>
      <w:pPr>
        <w:jc w:val="both"/>
        <w:ind w:left="3" w:right="20" w:firstLine="427"/>
        <w:spacing w:after="0" w:line="281" w:lineRule="auto"/>
        <w:tabs>
          <w:tab w:leader="none" w:pos="644"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Netting and Set-off. </w:t>
      </w:r>
      <w:r>
        <w:rPr>
          <w:rFonts w:ascii="Times New Roman" w:cs="Times New Roman" w:eastAsia="Times New Roman" w:hAnsi="Times New Roman"/>
          <w:sz w:val="17"/>
          <w:szCs w:val="17"/>
          <w:color w:val="auto"/>
        </w:rPr>
        <w:t>The provisions of Section 2(c) of the Agreement shall not apply to the Transaction. Each party waives any and all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58" w:lineRule="exact"/>
        <w:rPr>
          <w:rFonts w:ascii="Times New Roman" w:cs="Times New Roman" w:eastAsia="Times New Roman" w:hAnsi="Times New Roman"/>
          <w:sz w:val="17"/>
          <w:szCs w:val="17"/>
          <w:color w:val="auto"/>
        </w:rPr>
      </w:pPr>
    </w:p>
    <w:p>
      <w:pPr>
        <w:ind w:left="3" w:right="80" w:firstLine="427"/>
        <w:spacing w:after="0" w:line="250" w:lineRule="auto"/>
        <w:tabs>
          <w:tab w:leader="none" w:pos="6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Rights</w:t>
      </w:r>
      <w:r>
        <w:rPr>
          <w:rFonts w:ascii="Times New Roman" w:cs="Times New Roman" w:eastAsia="Times New Roman" w:hAnsi="Times New Roman"/>
          <w:sz w:val="18"/>
          <w:szCs w:val="18"/>
          <w:color w:val="auto"/>
        </w:rPr>
        <w:t>. Dealer acknowledges and agrees that this Confirmation is not intended to convey to it rights with respect to the Transaction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85" w:lineRule="exact"/>
        <w:rPr>
          <w:rFonts w:ascii="Times New Roman" w:cs="Times New Roman" w:eastAsia="Times New Roman" w:hAnsi="Times New Roman"/>
          <w:sz w:val="18"/>
          <w:szCs w:val="18"/>
          <w:color w:val="auto"/>
        </w:rPr>
      </w:pPr>
    </w:p>
    <w:p>
      <w:pPr>
        <w:ind w:left="3" w:firstLine="427"/>
        <w:spacing w:after="0" w:line="235" w:lineRule="auto"/>
        <w:tabs>
          <w:tab w:leader="none" w:pos="68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Unwind</w:t>
      </w:r>
      <w:r>
        <w:rPr>
          <w:rFonts w:ascii="Times New Roman" w:cs="Times New Roman" w:eastAsia="Times New Roman" w:hAnsi="Times New Roman"/>
          <w:sz w:val="18"/>
          <w:szCs w:val="18"/>
          <w:color w:val="auto"/>
        </w:rPr>
        <w:t>. In the event the sale of the [Firm Securities]</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[Optional Securities]</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the Purchase Agreement, dated as of [____],</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among Goldman Sachs &amp; Co. LLC and J.P. Morgan Securities LLC, as representatives of the several initial purchasers thereto, and Counterparty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is not consummated pursuant to the Purchase Agreement for any reason by the close of business in the Premium Payment Date (or such later date as agreed upon by the parties which in no event shall be later than the second Scheduled Valid Day following the Premium Payment Date) (such date or such later date as agreed upon being the “</w:t>
      </w:r>
      <w:r>
        <w:rPr>
          <w:rFonts w:ascii="Times New Roman" w:cs="Times New Roman" w:eastAsia="Times New Roman" w:hAnsi="Times New Roman"/>
          <w:sz w:val="18"/>
          <w:szCs w:val="18"/>
          <w:b w:val="1"/>
          <w:bCs w:val="1"/>
          <w:color w:val="auto"/>
        </w:rPr>
        <w:t>Accelerated Unwind Date</w:t>
      </w:r>
      <w:r>
        <w:rPr>
          <w:rFonts w:ascii="Times New Roman" w:cs="Times New Roman" w:eastAsia="Times New Roman" w:hAnsi="Times New Roman"/>
          <w:sz w:val="18"/>
          <w:szCs w:val="18"/>
          <w:color w:val="auto"/>
        </w:rPr>
        <w:t>”), the Transaction shall automatically terminate on the Accelerated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Accelerated Unwind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461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4" w:lineRule="exact"/>
        <w:rPr>
          <w:sz w:val="20"/>
          <w:szCs w:val="20"/>
          <w:color w:val="auto"/>
        </w:rPr>
      </w:pPr>
    </w:p>
    <w:p>
      <w:pPr>
        <w:ind w:left="423" w:hanging="423"/>
        <w:spacing w:after="0"/>
        <w:tabs>
          <w:tab w:leader="none" w:pos="423" w:val="left"/>
        </w:tabs>
        <w:numPr>
          <w:ilvl w:val="0"/>
          <w:numId w:val="1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 for base capped call transaction</w:t>
      </w:r>
    </w:p>
    <w:p>
      <w:pPr>
        <w:ind w:left="423" w:hanging="423"/>
        <w:spacing w:after="0" w:line="183" w:lineRule="auto"/>
        <w:tabs>
          <w:tab w:leader="none" w:pos="423" w:val="left"/>
        </w:tabs>
        <w:numPr>
          <w:ilvl w:val="0"/>
          <w:numId w:val="1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 for additional capped call transaction</w:t>
      </w:r>
    </w:p>
    <w:p>
      <w:pPr>
        <w:spacing w:after="0" w:line="12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63"/>
          </w:cols>
          <w:pgMar w:left="557" w:top="266" w:right="579" w:bottom="1440" w:gutter="0" w:footer="0" w:header="0"/>
        </w:sectPr>
      </w:pPr>
    </w:p>
    <w:bookmarkStart w:id="149" w:name="page150"/>
    <w:bookmarkEnd w:id="149"/>
    <w:p>
      <w:pPr>
        <w:ind w:left="-40" w:right="160" w:firstLine="427"/>
        <w:spacing w:after="0" w:line="250" w:lineRule="auto"/>
        <w:tabs>
          <w:tab w:leader="none" w:pos="60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Illegality</w:t>
      </w:r>
      <w:r>
        <w:rPr>
          <w:rFonts w:ascii="Times New Roman" w:cs="Times New Roman" w:eastAsia="Times New Roman" w:hAnsi="Times New Roman"/>
          <w:sz w:val="18"/>
          <w:szCs w:val="18"/>
          <w:color w:val="auto"/>
        </w:rPr>
        <w:t>. The parties agree that, for the avoidance of doubt, for purposes of Section 5(b)(i) of the Agreement, “any applicable law”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spacing w:after="0" w:line="185" w:lineRule="exact"/>
        <w:rPr>
          <w:rFonts w:ascii="Times New Roman" w:cs="Times New Roman" w:eastAsia="Times New Roman" w:hAnsi="Times New Roman"/>
          <w:sz w:val="18"/>
          <w:szCs w:val="18"/>
          <w:color w:val="auto"/>
        </w:rPr>
      </w:pPr>
    </w:p>
    <w:p>
      <w:pPr>
        <w:ind w:left="680" w:hanging="293"/>
        <w:spacing w:after="0"/>
        <w:tabs>
          <w:tab w:leader="none" w:pos="6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Equity Definitions. </w:t>
      </w:r>
      <w:r>
        <w:rPr>
          <w:rFonts w:ascii="Times New Roman" w:cs="Times New Roman" w:eastAsia="Times New Roman" w:hAnsi="Times New Roman"/>
          <w:sz w:val="18"/>
          <w:szCs w:val="18"/>
          <w:color w:val="auto"/>
        </w:rPr>
        <w:t>The following amendments shall be made to the Equity Definitions:</w:t>
      </w:r>
    </w:p>
    <w:p>
      <w:pPr>
        <w:spacing w:after="0" w:line="111" w:lineRule="exact"/>
        <w:rPr>
          <w:rFonts w:ascii="Times New Roman" w:cs="Times New Roman" w:eastAsia="Times New Roman" w:hAnsi="Times New Roman"/>
          <w:sz w:val="18"/>
          <w:szCs w:val="18"/>
          <w:color w:val="auto"/>
        </w:rPr>
      </w:pPr>
    </w:p>
    <w:p>
      <w:pPr>
        <w:ind w:left="380" w:right="60" w:firstLine="421"/>
        <w:spacing w:after="0" w:line="270" w:lineRule="auto"/>
        <w:tabs>
          <w:tab w:leader="none" w:pos="100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62" w:lineRule="exact"/>
        <w:rPr>
          <w:rFonts w:ascii="Times New Roman" w:cs="Times New Roman" w:eastAsia="Times New Roman" w:hAnsi="Times New Roman"/>
          <w:sz w:val="18"/>
          <w:szCs w:val="18"/>
          <w:color w:val="auto"/>
        </w:rPr>
      </w:pPr>
    </w:p>
    <w:p>
      <w:pPr>
        <w:ind w:left="380" w:right="20" w:firstLine="421"/>
        <w:spacing w:after="0" w:line="262" w:lineRule="auto"/>
        <w:tabs>
          <w:tab w:leader="none" w:pos="1053"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any adjustment under Section 11.2(c) of the Equity Definitions, the first sentence of Section 11.2(c) of the Equity Definitions, prior to clause (A) thereof, is hereby amended to read as follows: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w:t>
      </w:r>
    </w:p>
    <w:p>
      <w:pPr>
        <w:ind w:left="380" w:right="100" w:firstLine="7"/>
        <w:spacing w:after="0" w:line="245" w:lineRule="auto"/>
        <w:tabs>
          <w:tab w:leader="none" w:pos="63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is hereby amended by deleting the words “diluting or concentrative” and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to account solely for changes in volatility, expected dividends, stock loan rate or liquidity relative to the relevant Shares)” and replacing such latter phrase with the words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in the case of Sections 11.2(e)(i), (ii)(A) and (iv), no adjustments will be made to account solely for changes in volatility, expected dividends, stock loan rate or liquidity relative to the relevant Shares but, for the avoidance of doubt, solely in the case of Sections 11.2(e)(ii)(B) through (D), (iii), (v), (vi) and (vii), adjustments may be made to account solely for changes in volatility, expected dividends, stock loan rate or liquidity relative to the relevant Shares)”;</w:t>
      </w:r>
    </w:p>
    <w:p>
      <w:pPr>
        <w:spacing w:after="0" w:line="87" w:lineRule="exact"/>
        <w:rPr>
          <w:rFonts w:ascii="Times New Roman" w:cs="Times New Roman" w:eastAsia="Times New Roman" w:hAnsi="Times New Roman"/>
          <w:sz w:val="18"/>
          <w:szCs w:val="18"/>
          <w:color w:val="auto"/>
        </w:rPr>
      </w:pPr>
    </w:p>
    <w:p>
      <w:pPr>
        <w:ind w:left="380" w:right="60" w:firstLine="421"/>
        <w:spacing w:after="0" w:line="251" w:lineRule="auto"/>
        <w:tabs>
          <w:tab w:leader="none" w:pos="110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11.2(a) of the Equity Definitions is hereby amended by (1) deleting the words “in the determination of the Calculation Agent, a diluting or concentrative effect” and replacing these words with “in the commercially reasonable judgment of the Calculation Agent, a material economic effect”; and (2) adding at the end thereof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event is not based on (i) an observable market, other than the market for Counterparty’s own stock or (ii) an observable index, other than an index calculated and measured solely by reference to Counterparty’s own operations”;</w:t>
      </w:r>
    </w:p>
    <w:p>
      <w:pPr>
        <w:spacing w:after="0" w:line="79" w:lineRule="exact"/>
        <w:rPr>
          <w:rFonts w:ascii="Times New Roman" w:cs="Times New Roman" w:eastAsia="Times New Roman" w:hAnsi="Times New Roman"/>
          <w:sz w:val="18"/>
          <w:szCs w:val="18"/>
          <w:color w:val="auto"/>
        </w:rPr>
      </w:pPr>
    </w:p>
    <w:p>
      <w:pPr>
        <w:ind w:left="380" w:firstLine="421"/>
        <w:spacing w:after="0" w:line="251" w:lineRule="auto"/>
        <w:tabs>
          <w:tab w:leader="none" w:pos="109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spacing w:after="0" w:line="79" w:lineRule="exact"/>
        <w:rPr>
          <w:rFonts w:ascii="Times New Roman" w:cs="Times New Roman" w:eastAsia="Times New Roman" w:hAnsi="Times New Roman"/>
          <w:sz w:val="18"/>
          <w:szCs w:val="18"/>
          <w:color w:val="auto"/>
        </w:rPr>
      </w:pPr>
    </w:p>
    <w:p>
      <w:pPr>
        <w:jc w:val="both"/>
        <w:ind w:left="380" w:right="80" w:firstLine="421"/>
        <w:spacing w:after="0" w:line="257" w:lineRule="auto"/>
        <w:tabs>
          <w:tab w:leader="none" w:pos="1043"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Section 12.7(b) of the Equity Definitions is hereby amended by inserting, prior to the period at the end thereof, the following phrase: “;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Merger Event or Tender Offer, the parties shall use commercially reasonable efforts to agree on such amount on or prior to the Merger Event Date or Tender Offer Date, as the case may be”;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600" w:top="264" w:right="599" w:bottom="1440" w:gutter="0" w:footer="0" w:header="0"/>
        </w:sectPr>
      </w:pPr>
    </w:p>
    <w:bookmarkStart w:id="150" w:name="page151"/>
    <w:bookmarkEnd w:id="150"/>
    <w:p>
      <w:pPr>
        <w:ind w:left="1140" w:hanging="299"/>
        <w:spacing w:after="0"/>
        <w:tabs>
          <w:tab w:leader="none" w:pos="11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“Extraordinary Dividend” (as such term is used in the Equity Definitions) means any cash dividend on the Shares.</w:t>
      </w:r>
    </w:p>
    <w:p>
      <w:pPr>
        <w:spacing w:after="0" w:line="213"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 Exclusive Jurisdiction</w:t>
      </w:r>
      <w:r>
        <w:rPr>
          <w:rFonts w:ascii="Times New Roman" w:cs="Times New Roman" w:eastAsia="Times New Roman" w:hAnsi="Times New Roman"/>
          <w:sz w:val="18"/>
          <w:szCs w:val="18"/>
          <w:color w:val="auto"/>
        </w:rPr>
        <w:t>.</w:t>
      </w:r>
    </w:p>
    <w:p>
      <w:pPr>
        <w:spacing w:after="0" w:line="109" w:lineRule="exact"/>
        <w:rPr>
          <w:rFonts w:ascii="Times New Roman" w:cs="Times New Roman" w:eastAsia="Times New Roman" w:hAnsi="Times New Roman"/>
          <w:sz w:val="18"/>
          <w:szCs w:val="18"/>
          <w:color w:val="auto"/>
        </w:rPr>
      </w:pPr>
    </w:p>
    <w:p>
      <w:pPr>
        <w:ind w:left="420" w:firstLine="421"/>
        <w:spacing w:after="0" w:line="254" w:lineRule="auto"/>
        <w:tabs>
          <w:tab w:leader="none" w:pos="1044"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spacing w:after="0" w:line="74" w:lineRule="exact"/>
        <w:rPr>
          <w:rFonts w:ascii="Times New Roman" w:cs="Times New Roman" w:eastAsia="Times New Roman" w:hAnsi="Times New Roman"/>
          <w:sz w:val="18"/>
          <w:szCs w:val="18"/>
          <w:b w:val="1"/>
          <w:bCs w:val="1"/>
          <w:color w:val="auto"/>
        </w:rPr>
      </w:pPr>
    </w:p>
    <w:p>
      <w:pPr>
        <w:ind w:left="1100" w:hanging="259"/>
        <w:spacing w:after="0"/>
        <w:tabs>
          <w:tab w:leader="none" w:pos="1100"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13(b) of the Agreement is deleted in its entirety and replaced by the following:</w:t>
      </w:r>
    </w:p>
    <w:p>
      <w:pPr>
        <w:spacing w:after="0" w:line="110" w:lineRule="exact"/>
        <w:rPr>
          <w:sz w:val="20"/>
          <w:szCs w:val="20"/>
          <w:color w:val="auto"/>
        </w:rPr>
      </w:pPr>
    </w:p>
    <w:p>
      <w:pPr>
        <w:ind w:left="420" w:firstLine="414"/>
        <w:spacing w:after="0" w:line="262" w:lineRule="auto"/>
        <w:rPr>
          <w:sz w:val="20"/>
          <w:szCs w:val="20"/>
          <w:color w:val="auto"/>
        </w:rPr>
      </w:pPr>
      <w:r>
        <w:rPr>
          <w:rFonts w:ascii="Times New Roman" w:cs="Times New Roman" w:eastAsia="Times New Roman" w:hAnsi="Times New Roman"/>
          <w:sz w:val="17"/>
          <w:szCs w:val="17"/>
          <w:b w:val="1"/>
          <w:bCs w:val="1"/>
          <w:color w:val="auto"/>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spacing w:after="0" w:line="179" w:lineRule="exact"/>
        <w:rPr>
          <w:sz w:val="20"/>
          <w:szCs w:val="20"/>
          <w:color w:val="auto"/>
        </w:rPr>
      </w:pPr>
    </w:p>
    <w:p>
      <w:pPr>
        <w:ind w:right="120" w:firstLine="427"/>
        <w:spacing w:after="0" w:line="254" w:lineRule="auto"/>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For the avoidance of doubt, whenever the Calculation Agent, Hedging Party or Determining Party is called upon to make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calculation, determination or adjustment pursuant to the terms of this Confirmation or the Equity Definitions to take into account the effect of an event, the Calculation Agent, Hedging Party or Determining Party shall make such calculation, determination or adjustment by reference to the effect of such event on Dealer, assuming that the Dealer maintains a commercially reasonable hedge position.</w:t>
      </w:r>
    </w:p>
    <w:p>
      <w:pPr>
        <w:spacing w:after="0" w:line="180" w:lineRule="exact"/>
        <w:rPr>
          <w:rFonts w:ascii="Times New Roman" w:cs="Times New Roman" w:eastAsia="Times New Roman" w:hAnsi="Times New Roman"/>
          <w:sz w:val="18"/>
          <w:szCs w:val="18"/>
          <w:color w:val="auto"/>
        </w:rPr>
      </w:pPr>
    </w:p>
    <w:p>
      <w:pPr>
        <w:ind w:right="280" w:firstLine="427"/>
        <w:spacing w:after="0" w:line="254" w:lineRule="auto"/>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or Receipt of Cash</w:t>
      </w:r>
      <w:r>
        <w:rPr>
          <w:rFonts w:ascii="Times New Roman" w:cs="Times New Roman" w:eastAsia="Times New Roman" w:hAnsi="Times New Roman"/>
          <w:sz w:val="18"/>
          <w:szCs w:val="18"/>
          <w:color w:val="auto"/>
        </w:rPr>
        <w:t>. For the avoidance of doubt, other than payment of the Premium by Counterparty, nothing in this Confirmation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interpreted as requiring Counterparty to cash settle the Transaction, except in circumstances where cash settlement is within Counterparty’s control (including, without limitation, where Counterparty elects to deliver or receive cash) or in those circumstances in which all holders of Shares would also receive cash.</w:t>
      </w:r>
    </w:p>
    <w:p>
      <w:pPr>
        <w:spacing w:after="0" w:line="180" w:lineRule="exact"/>
        <w:rPr>
          <w:rFonts w:ascii="Times New Roman" w:cs="Times New Roman" w:eastAsia="Times New Roman" w:hAnsi="Times New Roman"/>
          <w:sz w:val="18"/>
          <w:szCs w:val="18"/>
          <w:color w:val="auto"/>
        </w:rPr>
      </w:pPr>
    </w:p>
    <w:p>
      <w:pPr>
        <w:ind w:left="680" w:hanging="253"/>
        <w:spacing w:after="0"/>
        <w:tabs>
          <w:tab w:leader="none" w:pos="6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EACH PARTY HEREBY IRREVOCABLY WAIVES ANY AND ALL RIGHTS TO TRIAL BY JURY WITH</w:t>
      </w:r>
    </w:p>
    <w:p>
      <w:pPr>
        <w:spacing w:after="0" w:line="23" w:lineRule="exact"/>
        <w:rPr>
          <w:rFonts w:ascii="Times New Roman" w:cs="Times New Roman" w:eastAsia="Times New Roman" w:hAnsi="Times New Roman"/>
          <w:sz w:val="18"/>
          <w:szCs w:val="18"/>
          <w:color w:val="auto"/>
        </w:rPr>
      </w:pPr>
    </w:p>
    <w:p>
      <w:pPr>
        <w:ind w:right="3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RESPECT TO ANY LEGAL PROCEEDING ARISING OUT OF OR RELATING TO THE AGREEMENT, THIS CONFIRMATION OR ANY TRANSACTIONS CONTEMPLATED HEREBY.</w:t>
      </w:r>
    </w:p>
    <w:p>
      <w:pPr>
        <w:spacing w:after="0" w:line="184" w:lineRule="exact"/>
        <w:rPr>
          <w:rFonts w:ascii="Times New Roman" w:cs="Times New Roman" w:eastAsia="Times New Roman" w:hAnsi="Times New Roman"/>
          <w:sz w:val="18"/>
          <w:szCs w:val="18"/>
          <w:color w:val="auto"/>
        </w:rPr>
      </w:pPr>
    </w:p>
    <w:p>
      <w:pPr>
        <w:ind w:right="160" w:firstLine="427"/>
        <w:spacing w:after="0" w:line="272" w:lineRule="auto"/>
        <w:tabs>
          <w:tab w:leader="none" w:pos="65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This Confirmation and the Agreement may not be modified, amended or supplemented, except in a written instrument 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Counterparty and Dealer.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560" w:top="266" w:right="579" w:bottom="1440" w:gutter="0" w:footer="0" w:header="0"/>
        </w:sectPr>
      </w:pPr>
    </w:p>
    <w:bookmarkStart w:id="151" w:name="page152"/>
    <w:bookmarkEnd w:id="151"/>
    <w:p>
      <w:pPr>
        <w:ind w:left="3" w:right="80" w:firstLine="427"/>
        <w:spacing w:after="0" w:line="254" w:lineRule="auto"/>
        <w:tabs>
          <w:tab w:leader="none" w:pos="66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Confirmation may be executed in several counterparts, each of which shall be deemed an original but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instrument. Delivery of an executed signature page by electronic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or “tif”), or any electronic signature complying with the U.S. federal ESIGN Act of 2000, Uniform Electronic Transactions Act or other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shall be effective as delivery of a manually executed counterpart hereof.</w:t>
      </w:r>
    </w:p>
    <w:p>
      <w:pPr>
        <w:spacing w:after="0" w:line="182" w:lineRule="exact"/>
        <w:rPr>
          <w:rFonts w:ascii="Times New Roman" w:cs="Times New Roman" w:eastAsia="Times New Roman" w:hAnsi="Times New Roman"/>
          <w:sz w:val="18"/>
          <w:szCs w:val="18"/>
          <w:color w:val="auto"/>
        </w:rPr>
      </w:pPr>
    </w:p>
    <w:p>
      <w:pPr>
        <w:ind w:left="643" w:hanging="213"/>
        <w:spacing w:after="0"/>
        <w:tabs>
          <w:tab w:leader="none" w:pos="64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Payee Tax Representations.</w:t>
      </w:r>
    </w:p>
    <w:p>
      <w:pPr>
        <w:spacing w:after="0" w:line="109" w:lineRule="exact"/>
        <w:rPr>
          <w:rFonts w:ascii="Times New Roman" w:cs="Times New Roman" w:eastAsia="Times New Roman" w:hAnsi="Times New Roman"/>
          <w:sz w:val="18"/>
          <w:szCs w:val="18"/>
          <w:color w:val="auto"/>
        </w:rPr>
      </w:pPr>
    </w:p>
    <w:p>
      <w:pPr>
        <w:ind w:left="1063" w:hanging="219"/>
        <w:spacing w:after="0"/>
        <w:tabs>
          <w:tab w:leader="none" w:pos="106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Counterparty makes the following representation to Dealer:</w:t>
      </w:r>
    </w:p>
    <w:p>
      <w:pPr>
        <w:spacing w:after="0" w:line="110" w:lineRule="exact"/>
        <w:rPr>
          <w:sz w:val="20"/>
          <w:szCs w:val="20"/>
          <w:color w:val="auto"/>
        </w:rPr>
      </w:pPr>
    </w:p>
    <w:p>
      <w:pPr>
        <w:ind w:left="423" w:right="140"/>
        <w:spacing w:after="0" w:line="257" w:lineRule="auto"/>
        <w:rPr>
          <w:sz w:val="20"/>
          <w:szCs w:val="20"/>
          <w:color w:val="auto"/>
        </w:rPr>
      </w:pPr>
      <w:r>
        <w:rPr>
          <w:rFonts w:ascii="Times New Roman" w:cs="Times New Roman" w:eastAsia="Times New Roman" w:hAnsi="Times New Roman"/>
          <w:sz w:val="18"/>
          <w:szCs w:val="18"/>
          <w:color w:val="auto"/>
        </w:rPr>
        <w:t>Counterparty is a “U.S. person” (as that term is used in section 1.1441-4(a)(3)(ii) of the U.S. Treasury Regulations) for U.S. federal income tax purposes and “exempt” within the meaning of sections 1.6041-3(p) and 1.6049-4(c) of the U.S. Treasury Regulations from information reporting on U.S. Internal Revenue Service Form 1099 and backup withholding.</w:t>
      </w:r>
    </w:p>
    <w:p>
      <w:pPr>
        <w:spacing w:after="0" w:line="74" w:lineRule="exact"/>
        <w:rPr>
          <w:sz w:val="20"/>
          <w:szCs w:val="20"/>
          <w:color w:val="auto"/>
        </w:rPr>
      </w:pPr>
    </w:p>
    <w:p>
      <w:pPr>
        <w:ind w:left="423" w:right="1860" w:firstLine="421"/>
        <w:spacing w:after="0" w:line="349" w:lineRule="auto"/>
        <w:tabs>
          <w:tab w:leader="none" w:pos="1096"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Dealer makes the following representations to Counterparty: [To come]</w:t>
      </w:r>
      <w:r>
        <w:rPr>
          <w:rFonts w:ascii="Times New Roman" w:cs="Times New Roman" w:eastAsia="Times New Roman" w:hAnsi="Times New Roman"/>
          <w:sz w:val="26"/>
          <w:szCs w:val="26"/>
          <w:color w:val="auto"/>
          <w:vertAlign w:val="superscript"/>
        </w:rPr>
        <w:t>11</w:t>
      </w:r>
    </w:p>
    <w:p>
      <w:pPr>
        <w:spacing w:after="0" w:line="1" w:lineRule="exact"/>
        <w:rPr>
          <w:rFonts w:ascii="Times New Roman" w:cs="Times New Roman" w:eastAsia="Times New Roman" w:hAnsi="Times New Roman"/>
          <w:sz w:val="18"/>
          <w:szCs w:val="18"/>
          <w:color w:val="auto"/>
        </w:rPr>
      </w:pPr>
    </w:p>
    <w:p>
      <w:pPr>
        <w:ind w:left="3" w:right="60" w:firstLine="427"/>
        <w:spacing w:after="0" w:line="231" w:lineRule="auto"/>
        <w:tabs>
          <w:tab w:leader="none" w:pos="683"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Matters. </w:t>
      </w:r>
      <w:r>
        <w:rPr>
          <w:rFonts w:ascii="Times New Roman" w:cs="Times New Roman" w:eastAsia="Times New Roman" w:hAnsi="Times New Roman"/>
          <w:sz w:val="17"/>
          <w:szCs w:val="17"/>
          <w:color w:val="auto"/>
        </w:rPr>
        <w:t>For the purpose of Sections 4(a)(i) and (ii) of the Agreement, Counterparty agrees to deliver to Dealer one duly executed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completed United States Internal Revenue Service Form W-9 (or successor thereto) [and Dealer agrees to deliver to Counterparty a U.S. Internal Revenue Service Form W-8 or Form W-9 (or successor thereto)]</w:t>
      </w:r>
      <w:r>
        <w:rPr>
          <w:rFonts w:ascii="Times New Roman" w:cs="Times New Roman" w:eastAsia="Times New Roman" w:hAnsi="Times New Roman"/>
          <w:sz w:val="25"/>
          <w:szCs w:val="25"/>
          <w:color w:val="auto"/>
          <w:vertAlign w:val="superscript"/>
        </w:rPr>
        <w:t>12</w:t>
      </w:r>
      <w:r>
        <w:rPr>
          <w:rFonts w:ascii="Times New Roman" w:cs="Times New Roman" w:eastAsia="Times New Roman" w:hAnsi="Times New Roman"/>
          <w:sz w:val="17"/>
          <w:szCs w:val="17"/>
          <w:color w:val="auto"/>
        </w:rPr>
        <w:t>. Such forms or documents shall be delivered upon (i) execution of this Confirmation,</w:t>
      </w:r>
    </w:p>
    <w:p>
      <w:pPr>
        <w:spacing w:after="0" w:line="2" w:lineRule="exact"/>
        <w:rPr>
          <w:rFonts w:ascii="Times New Roman" w:cs="Times New Roman" w:eastAsia="Times New Roman" w:hAnsi="Times New Roman"/>
          <w:sz w:val="17"/>
          <w:szCs w:val="17"/>
          <w:color w:val="auto"/>
        </w:rPr>
      </w:pPr>
    </w:p>
    <w:p>
      <w:pPr>
        <w:ind w:left="263" w:hanging="263"/>
        <w:spacing w:after="0"/>
        <w:tabs>
          <w:tab w:leader="none" w:pos="26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request of the other party and (iii) Counterparty or Dealer, as applicable, learning that any such form has become obsolete or incorrect.</w:t>
      </w:r>
    </w:p>
    <w:p>
      <w:pPr>
        <w:spacing w:after="0" w:line="205" w:lineRule="exact"/>
        <w:rPr>
          <w:rFonts w:ascii="Times New Roman" w:cs="Times New Roman" w:eastAsia="Times New Roman" w:hAnsi="Times New Roman"/>
          <w:sz w:val="17"/>
          <w:szCs w:val="17"/>
          <w:color w:val="auto"/>
        </w:rPr>
      </w:pPr>
    </w:p>
    <w:p>
      <w:pPr>
        <w:ind w:left="3" w:firstLine="427"/>
        <w:spacing w:after="0" w:line="250" w:lineRule="auto"/>
        <w:tabs>
          <w:tab w:leader="none" w:pos="68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 imposed on payments to non-US counterparties under the United States Foreign Account Tax Compliance Act</w:t>
      </w:r>
      <w:r>
        <w:rPr>
          <w:rFonts w:ascii="Times New Roman" w:cs="Times New Roman" w:eastAsia="Times New Roman" w:hAnsi="Times New Roman"/>
          <w:sz w:val="18"/>
          <w:szCs w:val="18"/>
          <w:color w:val="auto"/>
        </w:rPr>
        <w:t>. “Indemnifiable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185" w:lineRule="exact"/>
        <w:rPr>
          <w:rFonts w:ascii="Times New Roman" w:cs="Times New Roman" w:eastAsia="Times New Roman" w:hAnsi="Times New Roman"/>
          <w:sz w:val="18"/>
          <w:szCs w:val="18"/>
          <w:color w:val="auto"/>
        </w:rPr>
      </w:pPr>
    </w:p>
    <w:p>
      <w:pPr>
        <w:ind w:left="3" w:right="140" w:firstLine="427"/>
        <w:spacing w:after="0" w:line="254" w:lineRule="auto"/>
        <w:tabs>
          <w:tab w:leader="none" w:pos="72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HIRE Act. </w:t>
      </w:r>
      <w:r>
        <w:rPr>
          <w:rFonts w:ascii="Times New Roman" w:cs="Times New Roman" w:eastAsia="Times New Roman" w:hAnsi="Times New Roman"/>
          <w:sz w:val="18"/>
          <w:szCs w:val="18"/>
          <w:color w:val="auto"/>
        </w:rPr>
        <w:t>“Indemnifiable Tax”, as defined in Section 14 of the Agreement, shall not include any tax imposed on payments treated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from sources within the United States under Section 871(m) of the Code or any regulations issued thereunder (a “</w:t>
      </w:r>
      <w:r>
        <w:rPr>
          <w:rFonts w:ascii="Times New Roman" w:cs="Times New Roman" w:eastAsia="Times New Roman" w:hAnsi="Times New Roman"/>
          <w:sz w:val="18"/>
          <w:szCs w:val="18"/>
          <w:b w:val="1"/>
          <w:bCs w:val="1"/>
          <w:color w:val="auto"/>
        </w:rPr>
        <w:t>Section 871(m) Tax</w:t>
      </w:r>
      <w:r>
        <w:rPr>
          <w:rFonts w:ascii="Times New Roman" w:cs="Times New Roman" w:eastAsia="Times New Roman" w:hAnsi="Times New Roman"/>
          <w:sz w:val="18"/>
          <w:szCs w:val="18"/>
          <w:color w:val="auto"/>
        </w:rPr>
        <w:t>”). For the avoidance of doubt, Section 871(m) Tax is a Tax the deduction or withholding of which is required by applicable law for the purposes of Section 2(d) of the Agreement</w:t>
      </w:r>
      <w:r>
        <w:rPr>
          <w:rFonts w:ascii="Times New Roman" w:cs="Times New Roman" w:eastAsia="Times New Roman" w:hAnsi="Times New Roman"/>
          <w:sz w:val="18"/>
          <w:szCs w:val="18"/>
          <w:i w:val="1"/>
          <w:iCs w:val="1"/>
          <w:color w:val="auto"/>
        </w:rPr>
        <w:t>.</w:t>
      </w:r>
    </w:p>
    <w:p>
      <w:pPr>
        <w:spacing w:after="0" w:line="180" w:lineRule="exact"/>
        <w:rPr>
          <w:rFonts w:ascii="Times New Roman" w:cs="Times New Roman" w:eastAsia="Times New Roman" w:hAnsi="Times New Roman"/>
          <w:sz w:val="18"/>
          <w:szCs w:val="18"/>
          <w:color w:val="auto"/>
        </w:rPr>
      </w:pPr>
    </w:p>
    <w:p>
      <w:pPr>
        <w:ind w:left="683" w:hanging="253"/>
        <w:spacing w:after="0"/>
        <w:tabs>
          <w:tab w:leader="none" w:pos="68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[Insert QFC Language, If Applicable.]</w:t>
      </w:r>
    </w:p>
    <w:p>
      <w:pPr>
        <w:spacing w:after="0" w:line="215" w:lineRule="exact"/>
        <w:rPr>
          <w:rFonts w:ascii="Times New Roman" w:cs="Times New Roman" w:eastAsia="Times New Roman" w:hAnsi="Times New Roman"/>
          <w:sz w:val="18"/>
          <w:szCs w:val="18"/>
          <w:color w:val="auto"/>
        </w:rPr>
      </w:pPr>
    </w:p>
    <w:p>
      <w:pPr>
        <w:ind w:left="3" w:right="220" w:firstLine="427"/>
        <w:spacing w:after="0" w:line="254" w:lineRule="auto"/>
        <w:tabs>
          <w:tab w:leader="none" w:pos="68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CARES Act. </w:t>
      </w:r>
      <w:r>
        <w:rPr>
          <w:rFonts w:ascii="Times New Roman" w:cs="Times New Roman" w:eastAsia="Times New Roman" w:hAnsi="Times New Roman"/>
          <w:sz w:val="18"/>
          <w:szCs w:val="18"/>
          <w:color w:val="auto"/>
        </w:rPr>
        <w:t>Counterparty represents and warrants that it and any of its subsidiaries has not applied, and shall not, until after the first date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to receive any financial assistance or relief under any program or facility (collectively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461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66" w:lineRule="exact"/>
        <w:rPr>
          <w:sz w:val="20"/>
          <w:szCs w:val="20"/>
          <w:color w:val="auto"/>
        </w:rPr>
      </w:pPr>
    </w:p>
    <w:p>
      <w:pPr>
        <w:ind w:left="423" w:hanging="423"/>
        <w:spacing w:after="0"/>
        <w:tabs>
          <w:tab w:leader="none" w:pos="423" w:val="left"/>
        </w:tabs>
        <w:numPr>
          <w:ilvl w:val="0"/>
          <w:numId w:val="1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 be updated as appropriate for Dealer.</w:t>
      </w:r>
    </w:p>
    <w:p>
      <w:pPr>
        <w:spacing w:after="0" w:line="2" w:lineRule="exact"/>
        <w:rPr>
          <w:rFonts w:ascii="Times New Roman" w:cs="Times New Roman" w:eastAsia="Times New Roman" w:hAnsi="Times New Roman"/>
          <w:sz w:val="26"/>
          <w:szCs w:val="26"/>
          <w:color w:val="auto"/>
          <w:vertAlign w:val="superscript"/>
        </w:rPr>
      </w:pPr>
    </w:p>
    <w:p>
      <w:pPr>
        <w:ind w:left="423" w:hanging="423"/>
        <w:spacing w:after="0" w:line="181" w:lineRule="auto"/>
        <w:tabs>
          <w:tab w:leader="none" w:pos="423" w:val="left"/>
        </w:tabs>
        <w:numPr>
          <w:ilvl w:val="0"/>
          <w:numId w:val="1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To be updated as appropriate for Dealer.</w:t>
      </w:r>
    </w:p>
    <w:p>
      <w:pPr>
        <w:spacing w:after="0" w:line="1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3"/>
          </w:cols>
          <w:pgMar w:left="557" w:top="264" w:right="579" w:bottom="1440" w:gutter="0" w:footer="0" w:header="0"/>
        </w:sectPr>
      </w:pPr>
    </w:p>
    <w:bookmarkStart w:id="152" w:name="page153"/>
    <w:bookmarkEnd w:id="152"/>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(a) is established under applicable law (whether in existence as of the Trade Date or subsequently enacted, adopted or amended), including without limitation the CARES Act and the Federal Reserve Act, as amended, and (b) (i)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Counterparty, and that Counterparty has not, as of the date specified in the condition, made a capital distribution or will not make a capital distribution, or (ii) where the terms of the Transaction would cause Counterparty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Assistance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Counterparty or any of its subsidiaries may apply for Restricted Financial Assistance if Counterparty either (a)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advice of outside counsel of national standing that the terms of the Transaction would not cause Counterparty or any of its subsidiaries to fail to satisfy any condition for application for or receipt or retention of such Financial Assistance based on the terms of the program or facility as of the date of such advice or (b) delivers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spacing w:after="0" w:line="194" w:lineRule="exact"/>
        <w:rPr>
          <w:sz w:val="20"/>
          <w:szCs w:val="20"/>
          <w:color w:val="auto"/>
        </w:rPr>
      </w:pPr>
    </w:p>
    <w:p>
      <w:pPr>
        <w:ind w:left="660" w:hanging="233"/>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[Insert additional Dealer boilerplate, if applicable.]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20"/>
          </w:cols>
          <w:pgMar w:left="560" w:top="265" w:right="619" w:bottom="1440" w:gutter="0" w:footer="0" w:header="0"/>
        </w:sectPr>
      </w:pPr>
    </w:p>
    <w:bookmarkStart w:id="153" w:name="page154"/>
    <w:bookmarkEnd w:id="153"/>
    <w:p>
      <w:pPr>
        <w:ind w:left="4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Please confirm that the foregoing correctly sets forth the terms of our agreement by executing this Confirmation and returning it to Dealer.</w:t>
      </w:r>
    </w:p>
    <w:p>
      <w:pPr>
        <w:spacing w:after="0" w:line="25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1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1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14605</wp:posOffset>
            </wp:positionV>
            <wp:extent cx="2506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0698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14605</wp:posOffset>
            </wp:positionV>
            <wp:extent cx="2540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[Base][Additional] Capped Call Confirmation</w:t>
      </w:r>
      <w:r>
        <w:rPr>
          <w:rFonts w:ascii="Times New Roman" w:cs="Times New Roman" w:eastAsia="Times New Roman" w:hAnsi="Times New Roman"/>
          <w:sz w:val="18"/>
          <w:szCs w:val="18"/>
          <w:color w:val="auto"/>
        </w:rPr>
        <w:t>]</w:t>
      </w:r>
    </w:p>
    <w:p>
      <w:pPr>
        <w:sectPr>
          <w:pgSz w:w="11900" w:h="16838" w:orient="portrait"/>
          <w:cols w:equalWidth="0" w:num="1">
            <w:col w:w="10180"/>
          </w:cols>
          <w:pgMar w:left="560" w:top="267" w:right="11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1]</w:t>
      </w:r>
    </w:p>
    <w:p>
      <w:pPr>
        <w:spacing w:after="0" w:line="21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[Form of Guarantee]</w:t>
      </w:r>
    </w:p>
    <w:p>
      <w:pPr>
        <w:sectPr>
          <w:pgSz w:w="11900" w:h="16838" w:orient="portrait"/>
          <w:cols w:equalWidth="0" w:num="1">
            <w:col w:w="9900"/>
          </w:cols>
          <w:pgMar w:left="1440" w:top="266" w:right="559" w:bottom="1440" w:gutter="0" w:footer="0" w:header="0"/>
        </w:sectPr>
      </w:pPr>
    </w:p>
    <w:bookmarkStart w:id="155" w:name="page156"/>
    <w:bookmarkEnd w:id="155"/>
    <w:p>
      <w:pPr>
        <w:ind w:left="5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Annex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Component of the Transaction, the Number of Options and Expiration Date is set forth below.</w:t>
      </w:r>
    </w:p>
    <w:p>
      <w:pPr>
        <w:spacing w:after="0" w:line="238" w:lineRule="exact"/>
        <w:rPr>
          <w:sz w:val="20"/>
          <w:szCs w:val="20"/>
          <w:color w:val="auto"/>
        </w:rPr>
      </w:pPr>
    </w:p>
    <w:p>
      <w:pPr>
        <w:jc w:val="right"/>
        <w:ind w:right="339"/>
        <w:spacing w:after="0"/>
        <w:tabs>
          <w:tab w:leader="none" w:pos="4480" w:val="left"/>
          <w:tab w:leader="none" w:pos="880" w:val="left"/>
        </w:tabs>
        <w:rPr>
          <w:sz w:val="20"/>
          <w:szCs w:val="20"/>
          <w:color w:val="auto"/>
        </w:rPr>
      </w:pPr>
      <w:r>
        <w:rPr>
          <w:rFonts w:ascii="Times New Roman" w:cs="Times New Roman" w:eastAsia="Times New Roman" w:hAnsi="Times New Roman"/>
          <w:sz w:val="14"/>
          <w:szCs w:val="14"/>
          <w:u w:val="single" w:color="auto"/>
          <w:color w:val="auto"/>
        </w:rPr>
        <w:t>Component Number</w:t>
      </w:r>
      <w:r>
        <w:rPr>
          <w:sz w:val="20"/>
          <w:szCs w:val="20"/>
          <w:color w:val="auto"/>
        </w:rPr>
        <w:tab/>
      </w:r>
      <w:r>
        <w:rPr>
          <w:rFonts w:ascii="Times New Roman" w:cs="Times New Roman" w:eastAsia="Times New Roman" w:hAnsi="Times New Roman"/>
          <w:sz w:val="14"/>
          <w:szCs w:val="14"/>
          <w:u w:val="single" w:color="auto"/>
          <w:color w:val="auto"/>
        </w:rPr>
        <w:t>Number of Options</w:t>
      </w:r>
      <w:r>
        <w:rPr>
          <w:sz w:val="20"/>
          <w:szCs w:val="20"/>
          <w:color w:val="auto"/>
        </w:rPr>
        <w:tab/>
      </w:r>
      <w:r>
        <w:rPr>
          <w:rFonts w:ascii="Times New Roman" w:cs="Times New Roman" w:eastAsia="Times New Roman" w:hAnsi="Times New Roman"/>
          <w:sz w:val="14"/>
          <w:szCs w:val="14"/>
          <w:u w:val="single" w:color="auto"/>
          <w:color w:val="auto"/>
        </w:rPr>
        <w:t>Expiration Date</w:t>
      </w:r>
    </w:p>
    <w:p>
      <w:pPr>
        <w:spacing w:after="0" w:line="2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1</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2</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3</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4</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5</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6</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7</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8</w:t>
      </w:r>
    </w:p>
    <w:p>
      <w:pPr>
        <w:spacing w:after="0" w:line="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9</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10</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11</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12</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13</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14</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15</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16</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17</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18</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19</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20</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21</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22</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23</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24</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25</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26</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27</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28</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29</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30</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31</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32</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33</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34</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35</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36</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37</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38</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39</w:t>
      </w:r>
    </w:p>
    <w:p>
      <w:pPr>
        <w:spacing w:after="0" w:line="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40</w:t>
      </w:r>
    </w:p>
    <w:p>
      <w:pPr>
        <w:spacing w:after="0" w:line="19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Annex A</w:t>
      </w:r>
    </w:p>
    <w:p>
      <w:pPr>
        <w:sectPr>
          <w:pgSz w:w="11900" w:h="16838" w:orient="portrait"/>
          <w:cols w:equalWidth="0" w:num="1">
            <w:col w:w="9899"/>
          </w:cols>
          <w:pgMar w:left="560" w:top="267" w:right="144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Announces Proposed $225 Million Offering of Convertible Senior Notes</w:t>
      </w:r>
    </w:p>
    <w:p>
      <w:pPr>
        <w:spacing w:after="0" w:line="21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North Bethesda, Md., June 9, 2025 (GLOBE NEWSWIRE) – Xometry, Inc. (“Xometry”) (XMTR), the global AI-powered marketplace connecting buyers with suppliers of manufacturing services, today announced its intent to offer, subject to market conditions and other factors, $225 million aggregate principal amount of Convertible Senior Notes due 2030 (the “Notes”) in a private placement (the “Offering”) to persons reasonably believed to be qualified institutional buyers pursuant to Rule 144A under the Securities Act of 1933, as amended (the “Securities Act”). Xometry also intends to grant the initial purchasers of the Notes an option to purchase, within a 13-day period beginning on, and including, the date on which the Notes are first issued, up to an additional $25 million aggregate principal amount of Notes.</w:t>
      </w:r>
    </w:p>
    <w:p>
      <w:pPr>
        <w:spacing w:after="0" w:line="18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The Notes will be general unsecured obligations of Xometry and will accrue interest payable semiannually in arrears. Upon conversion, Xometry will pay or deliver, as the case may be, cash, shares of Xometry’s Class A common stock or a combination of cash and shares of Xometry’s Class A common stock, at its election. The interest rate, initial conversion rate and other terms of the Notes will be determined at the time of pricing of the Offering.</w:t>
      </w:r>
    </w:p>
    <w:p>
      <w:pPr>
        <w:spacing w:after="0" w:line="163"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8"/>
          <w:szCs w:val="18"/>
          <w:color w:val="auto"/>
        </w:rPr>
        <w:t>Xometry expects to use the net proceeds from the Offering, together with cash on hand, if necessary, (i) to pay the cost of the capped call transactions described below, (ii) to use up to $25 million to repurchase shares of Xometry’s Class A common stock concurrently with the pricing of the Offering as described below, and (iii) to repurchase for cash a portion of Xometry’s outstanding 1.00% Convertible Senior Notes due 2027 (the “2027 notes”) as described below. If the initial purchasers exercise their option to purchase additional notes, Xometry expects to use any additional proceeds from the Offering to enter into additional capped call transactions and for working capital and other general corporate purposes, which may include additional repurchases of the 2027 notes from time to time following the Offering, and acquisitions of, or strategic investments in, complementary businesses, products, services or technologies. However, Xometry does not have agreements or commitments with respect to any such acquisition or strategic investment at this time.</w:t>
      </w:r>
    </w:p>
    <w:p>
      <w:pPr>
        <w:spacing w:after="0" w:line="19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In connection with the pricing of the Notes, Xometry expects to enter into capped call transactions with one or more of the initial purchasers or affiliates thereof and/or other financial institutions (the “Option Counterparties”). The capped call transactions will cover, subject to customary adjustments, the number of shares of Xometry’s Class A common stock initially underlying the Notes. The capped call transactions are expected generally to reduce the potential dilution to Xometry’s Class A common stock upon any conversion of Notes and/or offset any cash payments Xometry is required to make in excess of the principal amount of converted Notes, as the case may be, with such reduction and/or offset subject to a cap.</w:t>
      </w:r>
    </w:p>
    <w:p>
      <w:pPr>
        <w:spacing w:after="0" w:line="172"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capped call transactions, Xometry expects the Option Counterparties or their respective affiliates will enter into various derivative transactions with respect to Xometry’s Class A common stock and/or purchase shares of Xometry’s Class A common stock concurrently with or shortly after the pricing of the Notes, including with, or from, as the case may be, certain investors in the Notes. This activity could increase (or reduce the size of any decrease in) the market price of Xometry’s Class A common stock or the Notes at that time.</w:t>
      </w:r>
    </w:p>
    <w:p>
      <w:pPr>
        <w:spacing w:after="0" w:line="16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Xometry’s Class A common stock and/or purchasing or selling Xometry’s Class A common stock or other securities of Xometry in secondary market transactions following the pricing of the Notes and prior to the maturity of the Notes (and are likely to do so during the 40 trading day period beginning on the 41st scheduled trading day prior to the maturity date of the Notes, or, to the extent Xometry exercises the relevant election under the capped call transactions, following any repurchase, redemption or conversion of the Notes). This activity could also cause or avoid an increase or a decrease in the market price of Xometry’s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ectPr>
          <w:pgSz w:w="11900" w:h="16838" w:orient="portrait"/>
          <w:cols w:equalWidth="0" w:num="1">
            <w:col w:w="10780"/>
          </w:cols>
          <w:pgMar w:left="560" w:top="119" w:right="559" w:bottom="1440" w:gutter="0" w:footer="0" w:header="0"/>
        </w:sectPr>
      </w:pPr>
    </w:p>
    <w:bookmarkStart w:id="157" w:name="page158"/>
    <w:bookmarkEnd w:id="157"/>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Xometry expects to use up to $25 million of the net proceeds from the Offering, together with cash on hand, if necessary, to repurchase shares of Xometry’s Class A common stock from purchasers of the Notes in the Offering in privately negotiated transactions effected with or through one of the initial purchasers or one of its affiliates concurrently with the pricing of the Offering. Xometry expects to repurchase these shares at a purchase price per share equal to the last reported sale price per share of Xometry’s Class A common stock on the date of pricing of the Offering. No assurance can be given as to how much, if any, of Xometry’s Class A common stock will be repurchased or the terms on which it will be repurchased. These share repurchases could increase (or reduce the size of any decrease in) the market price of Xometry’s Class A common stock prior to, concurrently with or shortly after the pricing of the Notes, and could result in a higher effective conversion price for the Notes. Xometry cannot predict the magnitude of such market activity or the overall effect it will have on the price of the Notes in the Offering or Xometry’s Class A common stock. The Offering is not contingent upon the repurchase of any of Xometry’s Class A common stock.</w:t>
      </w:r>
    </w:p>
    <w:p>
      <w:pPr>
        <w:spacing w:after="0" w:line="18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Xometry expects to use a portion of the net proceeds from the Offering, together with cash on hand, if necessary, to repurchase for cash a portion of its 2027 notes in privately negotiated transactions effected with or through one of the initial purchasers or one of its affiliates concurrently with the pricing of the Offering (each, a “note repurchase transaction”). The terms of each note repurchase transaction will depend on several factors, including the market price of Xometry’s Class A common stock and the trading price of the 2027 notes at the time of such note repurchases. No assurance can be given as to how much, if any of the 2027 notes will be repurchased or the terms on which they will be repurchased. Xometry may also repurchase additional outstanding 2027 notes following completion of the Offering. The Offering is not contingent upon the repurchase of the 2027 notes. In connection with any note repurchase transaction, Xometry expects that holders of the 2027 notes who agree to have their 2027 notes repurchased and who have hedged their equity price risk with respect to such 2027 notes (the “hedged holders”) will unwind all or part of their hedge positions by buying Xometry’s Class A common stock and/or entering into or unwinding various derivative transactions with respect to Xometry’s Class A common stock. The amount of Xometry’s Class A common stock to be purchased by the hedged holders may be substantial in relation to the historic average daily trading volume of Xometry’s Class A common stock. This activity by the hedged holders could increase (or reduce the size of any decrease in) the market price of Xometry’s Class A common stock, including concurrently with the pricing of the Notes, resulting in a higher effective conversion price of the Notes. Xometry cannot predict the magnitude of such market activity or the overall effect it will have on the price of the Notes or Xometry’s Class A common stock.</w:t>
      </w:r>
    </w:p>
    <w:p>
      <w:pPr>
        <w:spacing w:after="0" w:line="19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Notes and shares of Xometry’s Class A common stock issuable upon conversion of the Notes, if any,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including statements concerning the proposed terms of the Notes and the capped call transactions, the size of the proposed Offering of the Notes, the Class A common stock repurchase transactions, the note repurchase transactions, and the anticipated use of the net proceeds from the Offering.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Such forward-looking statements involve known and unknown risks, uncertainties and other factors that may cause actual events to differ materially from Xometry’s plans, including those more fully described in our filings with the Securities and Exchange Commission (“SEC”) from time to time, including our Annual Report on Form 10-K for the year ended December 31, 2024 and our Quarterly Report on Form 10-Q for the quarter ended March 31, 2025. All forward-looking statements in this press release are based on information available to Xometry and assumptions and beliefs as of the date hereof, and Xometry disclaims any obligation to update any forward-looking statements, except as required by law.</w:t>
      </w:r>
    </w:p>
    <w:p>
      <w:pPr>
        <w:sectPr>
          <w:pgSz w:w="11900" w:h="16838" w:orient="portrait"/>
          <w:cols w:equalWidth="0" w:num="1">
            <w:col w:w="10760"/>
          </w:cols>
          <w:pgMar w:left="560" w:top="267" w:right="5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About Xometry</w:t>
      </w:r>
    </w:p>
    <w:p>
      <w:pPr>
        <w:spacing w:after="0" w:line="11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Xometry’s (NASDAQ: XMTR) AI-powered marketplace, popular Thomasnet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industrial sourcing platform and suite of cloud-based services are rapidly digitizing the manufacturing industry. Xometry provides manufacturers the critical resources they need to grow their business and makes it easy for buyers to get the instant pricing and lead times to create locally resilient supply chains.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Milne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240-335-8132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shawn.milne@xometry.com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 Cacciatori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773-610-0806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lauran.cacciatori@xometry.com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Hutchison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Corporate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415-583-2119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matthew.hutchison@xometry.com</w:t>
      </w:r>
    </w:p>
    <w:p>
      <w:pPr>
        <w:sectPr>
          <w:pgSz w:w="11900" w:h="16838" w:orient="portrait"/>
          <w:cols w:equalWidth="0" w:num="1">
            <w:col w:w="10760"/>
          </w:cols>
          <w:pgMar w:left="560" w:top="265" w:right="57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Xometry Announces Pricing of $225 Million Offering of Convertible Senior Notes</w:t>
      </w:r>
    </w:p>
    <w:p>
      <w:pPr>
        <w:spacing w:after="0" w:line="21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North Bethesda, Md., June 10, 2025 (GLOBE NEWSWIRE) – Xometry, Inc. (“Xometry”) (XMTR), the global AI-powered marketplace connecting buyers with suppliers of manufacturing services, today announced the pricing of $225 million aggregate principal amount of 0.75% Convertible Senior Notes due 2030 (the “Notes”) in a private placement (the “Offering”) to persons reasonably believed to be qualified institutional buyers pursuant to Rule 144A under the Securities Act of 1933, as amended (the “Securities Act”).</w:t>
      </w:r>
    </w:p>
    <w:p>
      <w:pPr>
        <w:spacing w:after="0" w:line="184"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Xometry has also granted the initial purchasers of the Notes an option to purchase, within a 13-day period beginning on, and including, the date on which the Notes are first issued, up to an additional $25 million aggregate principal amount of Notes. The sale of the Notes to the initial purchasers is expected to close on June 12, 2025, subject to customary closing conditions.</w:t>
      </w:r>
    </w:p>
    <w:p>
      <w:pPr>
        <w:spacing w:after="0" w:line="18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Notes will be general unsecured obligations of Xometry and will accrue interest payable semiannually in arrears on June 15 and December 15 of each year, beginning on December 15, 2025, at a rate of 0.75% per year. The Notes will mature on June 15, 2030, unless earlier converted, redeemed or repurchased.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 estimates that the net proceeds from the Offering will be approximately $217.0 million (or approximately $241.3 million if the initial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exercise their option to purchase additional Notes in full), after deducting the initial purchasers’ discounts and commissions and estimated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expenses payable by Xometry. Xometry expects to use the net proceeds from the Offering, together with cash on hand, (i) to pay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$15.7 million cost of the capped call transactions described below, (ii) to use approximately $8.0 million for the repurchase of shares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Xometry’s Class A common stock concurrently with the pricing of the Offering as described below, and (iii) to repurchase for approximately</w:t>
      </w:r>
    </w:p>
    <w:p>
      <w:pPr>
        <w:spacing w:after="0" w:line="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$216.7 million in cash approximately $201.7 million aggregate principal amount (including accrued and unpaid interest) of Xometry’s outstanding 1.00% Convertible Senior Notes due 2027 (the “2027 notes”) as described below. If the initial purchasers exercise their option to purchase additional notes, Xometry expects to use any additional proceeds from the Offering to enter into additional capped call transactions and for working capital and other general corporate purposes, which may include additional repurchases of the 2027 notes from time to time following the Offering, and acquisitions of, or strategic investments in, complementary businesses, products, services or technologies. However, Xometry does not have agreements or commitments with respect to any such acquisition or strategic investment at this time.</w:t>
      </w:r>
    </w:p>
    <w:p>
      <w:pPr>
        <w:spacing w:after="0" w:line="19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8"/>
          <w:szCs w:val="18"/>
          <w:color w:val="auto"/>
        </w:rPr>
        <w:t>Prior to March 15, 2030, the Notes will be convertible at the option of the noteholders only if one or more specific conditions are met. On or after March 15, 2030 until the close of business on the second scheduled trading day immediately preceding the maturity date, the Notes will be convertible in integral multiples of $1,000 principal amount at the option of the noteholders at any time regardless of these conditions. Upon conversion, Xometry will pay or deliver, as the case may be, cash, shares of Xometry’s Class A common stock or a combination of cash and shares of Xometry’s Class A common stock, at its election. The initial conversion rate is 21.2495 shares of Xometry’s Class A common stock per $1,000 principal amount of Notes (equivalent to an initial conversion price of approximately $47.06 per share of Xometry’s Class A common stock, which represents a conversion premium of approximately 30.0% to the last reported sale price of Xometry’s Class A common stock on the Nasdaq Global Select Market on June 9, 2025), and will be subject to customary anti-dilution adjustments.</w:t>
      </w:r>
    </w:p>
    <w:p>
      <w:pPr>
        <w:spacing w:after="0" w:line="19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Xometry may not redeem the Notes prior to June 20, 2028. Xometry may redeem for cash all or any portion of the Notes (subject to certain limitations), at its option, on or after June 20, 2028 and prior to the 41st scheduled trading day immediately preceding the maturity date of the Notes if the last reported sale price of Xometry’s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Xometry provides notice of redemption at a redemption price equal to 100% of the principal amount of the Notes to be redeemed, plus accrued and unpaid interest to, but excluding, the redemption date. If Xometry redeems less than all of the outstanding Notes, at least $100 million aggregate principal amount of Notes must be outstanding and not subject to redemption as of, and after giving effect to, delivery of the relevant notice of redemption.</w:t>
      </w:r>
    </w:p>
    <w:p>
      <w:pPr>
        <w:sectPr>
          <w:pgSz w:w="11900" w:h="16838" w:orient="portrait"/>
          <w:cols w:equalWidth="0" w:num="1">
            <w:col w:w="10780"/>
          </w:cols>
          <w:pgMar w:left="560" w:top="119" w:right="559" w:bottom="1440" w:gutter="0" w:footer="0" w:header="0"/>
        </w:sectPr>
      </w:pPr>
    </w:p>
    <w:bookmarkStart w:id="160" w:name="page161"/>
    <w:bookmarkEnd w:id="160"/>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Xometry undergoes a “fundamental change” (as defined in the indenture that will govern the Notes), then, subject to certain conditions and limited exceptions, noteholders may require Xometry to repurchase for cash all or any portion of their Notes in principal amounts of $1,000 or an integral multiple thereof at a repurchase price equal to 100% of the principal amount of the Notes to be repurchased, plus accrued and unpaid interest to, but excluding, the fundamental change repurchase date. In addition, following certain corporate events that occur prior to the maturity date of the Notes or if Xometry delivers a notice of redemption, Xometry will, in certain circumstances, increase the conversion rate of the Notes for a noteholder who elects to convert its Notes in connection with such a corporate event or convert its Notes called (or deemed called) for redemption in connection with such notice of redemption, as the case may be.</w:t>
      </w:r>
    </w:p>
    <w:p>
      <w:pPr>
        <w:spacing w:after="0" w:line="18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connection with the pricing of the Notes, Xometry entered into capped call transactions with certain of the initial purchasers or their respective affiliates and other financial institutions (the “Option Counterparties”). The capped call transactions cover, subject to customary adjustments, the number of shares of Xometry’s Class A common stock initially underlying the Notes. The capped call transactions are expected generally to reduce the potential dilution to Xometry’s Class A common stock upon any conversion of Notes and/or offset any cash payments Xometry is required to make in excess of the principal amount of converted Notes, as the case may be, with such reduction and/or offset subject to a cap.</w:t>
      </w:r>
    </w:p>
    <w:p>
      <w:pPr>
        <w:spacing w:after="0" w:line="18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cap price of the capped call transactions relating to the Notes will initially be $63.35, which represents a premium of 75.0% over the last reported sale price of Xometry’s Class A common stock on the Nasdaq Global Select Market on June 9, 2025, and is subject to certain adjustments under the terms of the capped call transactions.</w:t>
      </w:r>
    </w:p>
    <w:p>
      <w:pPr>
        <w:spacing w:after="0" w:line="18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 connection with establishing their initial hedges of the capped call transactions, Xometry expects the Option Counterparties or their respective affiliates will enter into various derivative transactions with respect to Xometry’s Class A common stock and/or purchase shares of Xometry’s Class A common stock concurrently with or shortly after the pricing of the Notes, including with, or from, as the case may be, certain investors in the Notes. This activity could increase (or reduce the size of any decrease in) the market price of Xometry’s Class A common stock or the Notes at that time.</w:t>
      </w:r>
    </w:p>
    <w:p>
      <w:pPr>
        <w:spacing w:after="0" w:line="16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Xometry’s Class A common stock and/or purchasing or selling Xometry’s Class A common stock or other securities of Xometry in secondary market transactions following the pricing of the Notes and prior to the maturity of the Notes (and are likely to do so during the 40 trading day period beginning on the 41st scheduled trading day prior to the maturity date of the Notes, or, to the extent Xometry exercises the relevant election under the capped call transactions, following any repurchase, redemption or conversion of the Notes). This activity could also cause or avoid an increase or a decrease in the market price of Xometry’s Class A common stock or the Notes which could affect a noteholder’s ability to convert the Notes and, to the extent the activity occurs during any observation period related to a conversion of Notes, it could affect the number of shares, if any, and value of the consideration that a noteholder will receive upon conversion of its Notes.</w:t>
      </w:r>
    </w:p>
    <w:p>
      <w:pPr>
        <w:spacing w:after="0" w:line="19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color w:val="auto"/>
        </w:rPr>
        <w:t>Concurrently with the pricing of the Offering, Xometry entered into privately negotiated transactions effected with or through one of the initial purchasers or one of its affiliates with certain purchasers of the Notes in the Offering to repurchase for cash approximately $8.0 million of Xometry’s Class A common stock from purchasers at a purchase price per share equal to the last reported sale price per share of Xometry’s Class A common stock on the Nasdaq Global Select Market on June 9, 2025. These share repurchases could increase (or reduce the size of any decrease in) the market price of Xometry’s Class A common stock or the Notes prior to, concurrently with or shortly after the pricing of the Notes, and could have resulted in a higher effective conversion price for the Notes. Xometry cannot predict the magnitude of such market activity or the overall effect it had on the price of the Notes in the Offering or Xometry’s Class A common stock. The Offering is not contingent upon the repurchase of any of Xometry’s Class A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Concurrently with the pricing of the Offering, Xometry entered into privately negotiated transactions effected with or through one of the initial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or one of its affiliates with certain holders of the 2027 notes to repurchase, for approximately $216.7 million in cash,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million aggregate principal amount of its 2027 notes, including accrued and unpaid interest on the 2027 notes, on terms negotiated with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2027 notes repurchased (each, a “note repurchase transaction”). Xometry may also repurchase additional outstanding 2027</w:t>
      </w:r>
    </w:p>
    <w:p>
      <w:pPr>
        <w:sectPr>
          <w:pgSz w:w="11900" w:h="16838" w:orient="portrait"/>
          <w:cols w:equalWidth="0" w:num="1">
            <w:col w:w="10760"/>
          </w:cols>
          <w:pgMar w:left="560" w:top="266" w:right="579" w:bottom="1440" w:gutter="0" w:footer="0" w:header="0"/>
        </w:sectPr>
      </w:pPr>
    </w:p>
    <w:bookmarkStart w:id="161" w:name="page162"/>
    <w:bookmarkEnd w:id="161"/>
    <w:p>
      <w:pPr>
        <w:ind w:right="8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notes following completion of the Offering. The Offering is not contingent upon the repurchase of the 2027 notes. In connection with any note repurchase transaction, Xometry expects that holders of the 2027 notes who agree to have their 2027 notes repurchased and who have hedged their equity price risk with respect to such 2027 notes (the “hedged holders”) will unwind all or part of their hedge positions by buying Xometry’s Class A common stock and/or entering into or unwinding various derivative transactions with respect to Xometry’s Class A common stock. The amount of Xometry’s Class A common stock to be purchased by the hedged holders may have been substantial in relation to the historic average daily trading volume of Xometry’s Class A common stock. This activity by the hedged holders could increase (or reduce the size of any decrease in) the market price of Xometry’s Class A common stock, including concurrently with the pricing of the Notes, and may have resulted in a higher effective conversion price of the Notes. Xometry cannot predict the magnitude of such market activity or the overall effect it will have on the price of the Notes or Xometry’s Class A common stock.</w:t>
      </w:r>
    </w:p>
    <w:p>
      <w:pPr>
        <w:spacing w:after="0" w:line="188"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Notes were only offered to qualified institutional buyers pursuant to Rule 144A promulgated under the Securities Act by means of a private offering memorandum. The Notes and shares of Xometry’s Class A common stock issuable upon conversion of the Notes, if any,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including statements concerning the completion and timing of the proposed Offering of the Notes, the capped call transactions, the Class A common stock repurchase transactions, the note repurchase transactions, and the anticipated use of the net proceeds from the Offering.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Such forward-looking statements involve known and unknown risks, uncertainties and other factors that may cause actual events to differ materially from Xometry’s plans, including those more fully described in our filings with the Securities and Exchange Commission (“SEC”) from time to time, including our Annual Report on Form 10-K for the year ended December 31, 2024 and our Quarterly Report on Form 10-Q for the quarter ended March 31, 2025. All forward-looking statements in this press release are based on information available to Xometry and assumptions and beliefs as of the date hereof, and Xometry disclaims any obligation to update any forward-looking statements,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Xometry</w:t>
      </w:r>
    </w:p>
    <w:p>
      <w:pPr>
        <w:spacing w:after="0" w:line="11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Xometry’s (NASDAQ: XMTR) AI-powered marketplace, popular Thomasnet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industrial sourcing platform and suite of cloud-based services are rapidly digitizing the manufacturing industry. Xometry provides manufacturers the critical resources they need to grow their business and makes it easy for buyers to get the instant pricing and lead times to create locally resilient supply chains.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Milne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240-335-8132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shawn.milne@xometry.com</w:t>
      </w:r>
    </w:p>
    <w:p>
      <w:pPr>
        <w:sectPr>
          <w:pgSz w:w="11900" w:h="16838" w:orient="portrait"/>
          <w:cols w:equalWidth="0" w:num="1">
            <w:col w:w="10760"/>
          </w:cols>
          <w:pgMar w:left="560" w:top="267" w:right="5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Media 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 Cacciatori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 Corporate Communications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773-610-0806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lauran.cacciatori@xometry.com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Hutchison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Global Corporate Communications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415-583-2119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matthew.hutchison@xometry.com</w:t>
      </w:r>
    </w:p>
    <w:sectPr>
      <w:pgSz w:w="11900" w:h="16838" w:orient="portrait"/>
      <w:cols w:equalWidth="0" w:num="1">
        <w:col w:w="9899"/>
      </w:cols>
      <w:pgMar w:left="560"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1)"/>
      <w:numFmt w:val="lowerLetter"/>
      <w:start w:val="1"/>
    </w:lvl>
  </w:abstractNum>
  <w:abstractNum w:abstractNumId="3">
    <w:nsid w:val="7FB7E0AA"/>
    <w:multiLevelType w:val="hybridMultilevel"/>
    <w:lvl w:ilvl="0">
      <w:lvlJc w:val="left"/>
      <w:lvlText w:val="(%1)"/>
      <w:numFmt w:val="lowerLetter"/>
      <w:start w:val="1"/>
    </w:lvl>
  </w:abstractNum>
  <w:abstractNum w:abstractNumId="4">
    <w:nsid w:val="6EB5BD4"/>
    <w:multiLevelType w:val="hybridMultilevel"/>
    <w:lvl w:ilvl="0">
      <w:lvlJc w:val="left"/>
      <w:lvlText w:val="(%1)"/>
      <w:numFmt w:val="lowerLetter"/>
      <w:start w:val="2"/>
    </w:lvl>
  </w:abstractNum>
  <w:abstractNum w:abstractNumId="5">
    <w:nsid w:val="6F6DD9AC"/>
    <w:multiLevelType w:val="hybridMultilevel"/>
    <w:lvl w:ilvl="0">
      <w:lvlJc w:val="left"/>
      <w:lvlText w:val="(%1)"/>
      <w:numFmt w:val="lowerRoman"/>
      <w:start w:val="10"/>
    </w:lvl>
  </w:abstractNum>
  <w:abstractNum w:abstractNumId="6">
    <w:nsid w:val="94211F2"/>
    <w:multiLevelType w:val="hybridMultilevel"/>
    <w:lvl w:ilvl="0">
      <w:lvlJc w:val="left"/>
      <w:lvlText w:val="(%1)"/>
      <w:numFmt w:val="lowerLetter"/>
      <w:start w:val="1"/>
    </w:lvl>
  </w:abstractNum>
  <w:abstractNum w:abstractNumId="7">
    <w:nsid w:val="885E1B"/>
    <w:multiLevelType w:val="hybridMultilevel"/>
    <w:lvl w:ilvl="0">
      <w:lvlJc w:val="left"/>
      <w:lvlText w:val="(%1)"/>
      <w:numFmt w:val="lowerRoman"/>
      <w:start w:val="2"/>
    </w:lvl>
  </w:abstractNum>
  <w:abstractNum w:abstractNumId="8">
    <w:nsid w:val="76272110"/>
    <w:multiLevelType w:val="hybridMultilevel"/>
    <w:lvl w:ilvl="0">
      <w:lvlJc w:val="left"/>
      <w:lvlText w:val="(%1)"/>
      <w:numFmt w:val="lowerLetter"/>
      <w:start w:val="2"/>
    </w:lvl>
  </w:abstractNum>
  <w:abstractNum w:abstractNumId="9">
    <w:nsid w:val="4C04A8AF"/>
    <w:multiLevelType w:val="hybridMultilevel"/>
    <w:lvl w:ilvl="0">
      <w:lvlJc w:val="left"/>
      <w:lvlText w:val="(%1)"/>
      <w:numFmt w:val="lowerLetter"/>
      <w:start w:val="3"/>
    </w:lvl>
    <w:lvl w:ilvl="1">
      <w:lvlJc w:val="left"/>
      <w:lvlText w:val="(%2)"/>
      <w:numFmt w:val="lowerRoman"/>
      <w:start w:val="1"/>
    </w:lvl>
  </w:abstractNum>
  <w:abstractNum w:abstractNumId="10">
    <w:nsid w:val="1716703B"/>
    <w:multiLevelType w:val="hybridMultilevel"/>
    <w:lvl w:ilvl="0">
      <w:lvlJc w:val="left"/>
      <w:lvlText w:val="(%1)"/>
      <w:numFmt w:val="lowerRoman"/>
      <w:start w:val="3"/>
    </w:lvl>
  </w:abstractNum>
  <w:abstractNum w:abstractNumId="11">
    <w:nsid w:val="14E17E33"/>
    <w:multiLevelType w:val="hybridMultilevel"/>
    <w:lvl w:ilvl="0">
      <w:lvlJc w:val="left"/>
      <w:lvlText w:val="(%1)"/>
      <w:numFmt w:val="lowerLetter"/>
      <w:start w:val="1"/>
    </w:lvl>
  </w:abstractNum>
  <w:abstractNum w:abstractNumId="12">
    <w:nsid w:val="3222E7CD"/>
    <w:multiLevelType w:val="hybridMultilevel"/>
    <w:lvl w:ilvl="0">
      <w:lvlJc w:val="left"/>
      <w:lvlText w:val="(%1)"/>
      <w:numFmt w:val="lowerRoman"/>
      <w:start w:val="2"/>
    </w:lvl>
  </w:abstractNum>
  <w:abstractNum w:abstractNumId="13">
    <w:nsid w:val="74DE0EE3"/>
    <w:multiLevelType w:val="hybridMultilevel"/>
    <w:lvl w:ilvl="0">
      <w:lvlJc w:val="left"/>
      <w:lvlText w:val="(%1)"/>
      <w:numFmt w:val="lowerLetter"/>
      <w:start w:val="2"/>
    </w:lvl>
  </w:abstractNum>
  <w:abstractNum w:abstractNumId="14">
    <w:nsid w:val="68EBC550"/>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5">
    <w:nsid w:val="2DF6D648"/>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6">
    <w:nsid w:val="46B7D447"/>
    <w:multiLevelType w:val="hybridMultilevel"/>
    <w:lvl w:ilvl="0">
      <w:lvlJc w:val="left"/>
      <w:lvlText w:val="(%1)"/>
      <w:numFmt w:val="lowerLetter"/>
      <w:start w:val="4"/>
    </w:lvl>
  </w:abstractNum>
  <w:abstractNum w:abstractNumId="17">
    <w:nsid w:val="4A2AC315"/>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8">
    <w:nsid w:val="39EE015C"/>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9">
    <w:nsid w:val="57FC4FBB"/>
    <w:multiLevelType w:val="hybridMultilevel"/>
    <w:lvl w:ilvl="0">
      <w:lvlJc w:val="left"/>
      <w:lvlText w:val="(%1)"/>
      <w:numFmt w:val="lowerLetter"/>
      <w:start w:val="5"/>
    </w:lvl>
  </w:abstractNum>
  <w:abstractNum w:abstractNumId="20">
    <w:nsid w:val="CC1016F"/>
    <w:multiLevelType w:val="hybridMultilevel"/>
    <w:lvl w:ilvl="0">
      <w:lvlJc w:val="left"/>
      <w:lvlText w:val="(%1)"/>
      <w:numFmt w:val="lowerRoman"/>
      <w:start w:val="2"/>
    </w:lvl>
  </w:abstractNum>
  <w:abstractNum w:abstractNumId="21">
    <w:nsid w:val="43F18422"/>
    <w:multiLevelType w:val="hybridMultilevel"/>
    <w:lvl w:ilvl="0">
      <w:lvlJc w:val="left"/>
      <w:lvlText w:val="(%1)"/>
      <w:numFmt w:val="lowerRoman"/>
      <w:start w:val="1"/>
    </w:lvl>
  </w:abstractNum>
  <w:abstractNum w:abstractNumId="22">
    <w:nsid w:val="60EF0119"/>
    <w:multiLevelType w:val="hybridMultilevel"/>
    <w:lvl w:ilvl="0">
      <w:lvlJc w:val="left"/>
      <w:lvlText w:val="(%1)"/>
      <w:numFmt w:val="lowerRoman"/>
      <w:start w:val="2"/>
    </w:lvl>
  </w:abstractNum>
  <w:abstractNum w:abstractNumId="23">
    <w:nsid w:val="26F324BA"/>
    <w:multiLevelType w:val="hybridMultilevel"/>
    <w:lvl w:ilvl="0">
      <w:lvlJc w:val="left"/>
      <w:lvlText w:val="(%1)"/>
      <w:numFmt w:val="lowerLetter"/>
      <w:start w:val="2"/>
    </w:lvl>
  </w:abstractNum>
  <w:abstractNum w:abstractNumId="24">
    <w:nsid w:val="7F01579B"/>
    <w:multiLevelType w:val="hybridMultilevel"/>
    <w:lvl w:ilvl="0">
      <w:lvlJc w:val="left"/>
      <w:lvlText w:val="(%1)"/>
      <w:numFmt w:val="lowerLetter"/>
      <w:start w:val="2"/>
    </w:lvl>
  </w:abstractNum>
  <w:abstractNum w:abstractNumId="25">
    <w:nsid w:val="49DA307D"/>
    <w:multiLevelType w:val="hybridMultilevel"/>
    <w:lvl w:ilvl="0">
      <w:lvlJc w:val="left"/>
      <w:lvlText w:val="(%1)"/>
      <w:numFmt w:val="lowerLetter"/>
      <w:start w:val="4"/>
    </w:lvl>
  </w:abstractNum>
  <w:abstractNum w:abstractNumId="26">
    <w:nsid w:val="7055A5F5"/>
    <w:multiLevelType w:val="hybridMultilevel"/>
    <w:lvl w:ilvl="0">
      <w:lvlJc w:val="left"/>
      <w:lvlText w:val="(%1)"/>
      <w:numFmt w:val="lowerLetter"/>
      <w:start w:val="6"/>
    </w:lvl>
  </w:abstractNum>
  <w:abstractNum w:abstractNumId="27">
    <w:nsid w:val="5FB8370B"/>
    <w:multiLevelType w:val="hybridMultilevel"/>
    <w:lvl w:ilvl="0">
      <w:lvlJc w:val="left"/>
      <w:lvlText w:val="(%1)"/>
      <w:numFmt w:val="lowerLetter"/>
      <w:start w:val="1"/>
    </w:lvl>
  </w:abstractNum>
  <w:abstractNum w:abstractNumId="28">
    <w:nsid w:val="50801EE1"/>
    <w:multiLevelType w:val="hybridMultilevel"/>
    <w:lvl w:ilvl="0">
      <w:lvlJc w:val="left"/>
      <w:lvlText w:val="(%1)"/>
      <w:numFmt w:val="lowerLetter"/>
      <w:start w:val="2"/>
    </w:lvl>
  </w:abstractNum>
  <w:abstractNum w:abstractNumId="29">
    <w:nsid w:val="488AC1A"/>
    <w:multiLevelType w:val="hybridMultilevel"/>
    <w:lvl w:ilvl="0">
      <w:lvlJc w:val="left"/>
      <w:lvlText w:val="(%1)"/>
      <w:numFmt w:val="lowerRoman"/>
      <w:start w:val="1"/>
    </w:lvl>
  </w:abstractNum>
  <w:abstractNum w:abstractNumId="30">
    <w:nsid w:val="5FB8011C"/>
    <w:multiLevelType w:val="hybridMultilevel"/>
    <w:lvl w:ilvl="0">
      <w:lvlJc w:val="left"/>
      <w:lvlText w:val="(%1)"/>
      <w:numFmt w:val="lowerLetter"/>
      <w:start w:val="1"/>
    </w:lvl>
  </w:abstractNum>
  <w:abstractNum w:abstractNumId="31">
    <w:nsid w:val="6AA78F7F"/>
    <w:multiLevelType w:val="hybridMultilevel"/>
    <w:lvl w:ilvl="0">
      <w:lvlJc w:val="left"/>
      <w:lvlText w:val="(%1)"/>
      <w:numFmt w:val="lowerLetter"/>
      <w:start w:val="2"/>
    </w:lvl>
  </w:abstractNum>
  <w:abstractNum w:abstractNumId="32">
    <w:nsid w:val="7672BD23"/>
    <w:multiLevelType w:val="hybridMultilevel"/>
    <w:lvl w:ilvl="0">
      <w:lvlJc w:val="left"/>
      <w:lvlText w:val="(%1)"/>
      <w:numFmt w:val="lowerLetter"/>
      <w:start w:val="25"/>
    </w:lvl>
  </w:abstractNum>
  <w:abstractNum w:abstractNumId="33">
    <w:nsid w:val="6FC75AF8"/>
    <w:multiLevelType w:val="hybridMultilevel"/>
    <w:lvl w:ilvl="0">
      <w:lvlJc w:val="left"/>
      <w:lvlText w:val="(%1)"/>
      <w:numFmt w:val="lowerRoman"/>
      <w:start w:val="3"/>
    </w:lvl>
  </w:abstractNum>
  <w:abstractNum w:abstractNumId="34">
    <w:nsid w:val="6A5F7029"/>
    <w:multiLevelType w:val="hybridMultilevel"/>
    <w:lvl w:ilvl="0">
      <w:lvlJc w:val="left"/>
      <w:lvlText w:val="(%1)"/>
      <w:numFmt w:val="lowerLetter"/>
      <w:start w:val="1"/>
    </w:lvl>
    <w:lvl w:ilvl="1">
      <w:lvlJc w:val="left"/>
      <w:lvlText w:val="(%2)"/>
      <w:numFmt w:val="lowerRoman"/>
      <w:start w:val="1"/>
    </w:lvl>
  </w:abstractNum>
  <w:abstractNum w:abstractNumId="35">
    <w:nsid w:val="7D5E18F8"/>
    <w:multiLevelType w:val="hybridMultilevel"/>
    <w:lvl w:ilvl="0">
      <w:lvlJc w:val="left"/>
      <w:lvlText w:val="(%1)"/>
      <w:numFmt w:val="lowerLetter"/>
      <w:start w:val="6"/>
    </w:lvl>
  </w:abstractNum>
  <w:abstractNum w:abstractNumId="36">
    <w:nsid w:val="5F3534A4"/>
    <w:multiLevelType w:val="hybridMultilevel"/>
    <w:lvl w:ilvl="0">
      <w:lvlJc w:val="left"/>
      <w:lvlText w:val="(%1)"/>
      <w:numFmt w:val="lowerLetter"/>
      <w:start w:val="1"/>
    </w:lvl>
  </w:abstractNum>
  <w:abstractNum w:abstractNumId="37">
    <w:nsid w:val="73A1821B"/>
    <w:multiLevelType w:val="hybridMultilevel"/>
    <w:lvl w:ilvl="0">
      <w:lvlJc w:val="left"/>
      <w:lvlText w:val="(%1)"/>
      <w:numFmt w:val="lowerLetter"/>
      <w:start w:val="4"/>
    </w:lvl>
  </w:abstractNum>
  <w:abstractNum w:abstractNumId="38">
    <w:nsid w:val="7DE67713"/>
    <w:multiLevelType w:val="hybridMultilevel"/>
    <w:lvl w:ilvl="0">
      <w:lvlJc w:val="left"/>
      <w:lvlText w:val="(%1)"/>
      <w:numFmt w:val="lowerLetter"/>
      <w:start w:val="1"/>
    </w:lvl>
  </w:abstractNum>
  <w:abstractNum w:abstractNumId="39">
    <w:nsid w:val="555C55B5"/>
    <w:multiLevelType w:val="hybridMultilevel"/>
    <w:lvl w:ilvl="0">
      <w:lvlJc w:val="left"/>
      <w:lvlText w:val="(%1)"/>
      <w:numFmt w:val="lowerLetter"/>
      <w:start w:val="2"/>
    </w:lvl>
    <w:lvl w:ilvl="1">
      <w:lvlJc w:val="left"/>
      <w:lvlText w:val="(%2)"/>
      <w:numFmt w:val="lowerRoman"/>
      <w:start w:val="1"/>
    </w:lvl>
  </w:abstractNum>
  <w:abstractNum w:abstractNumId="40">
    <w:nsid w:val="3FA62ACA"/>
    <w:multiLevelType w:val="hybridMultilevel"/>
    <w:lvl w:ilvl="0">
      <w:lvlJc w:val="left"/>
      <w:lvlText w:val="(%1)"/>
      <w:numFmt w:val="lowerLetter"/>
      <w:start w:val="3"/>
    </w:lvl>
  </w:abstractNum>
  <w:abstractNum w:abstractNumId="41">
    <w:nsid w:val="14FCE74E"/>
    <w:multiLevelType w:val="hybridMultilevel"/>
    <w:lvl w:ilvl="0">
      <w:lvlJc w:val="left"/>
      <w:lvlText w:val="(%1)"/>
      <w:numFmt w:val="lowerLetter"/>
      <w:start w:val="1"/>
    </w:lvl>
  </w:abstractNum>
  <w:abstractNum w:abstractNumId="42">
    <w:nsid w:val="6A3DD3E8"/>
    <w:multiLevelType w:val="hybridMultilevel"/>
    <w:lvl w:ilvl="0">
      <w:lvlJc w:val="left"/>
      <w:lvlText w:val="(%1)"/>
      <w:numFmt w:val="lowerLetter"/>
      <w:start w:val="25"/>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1)"/>
      <w:numFmt w:val="lowerLetter"/>
      <w:start w:val="1"/>
    </w:lvl>
  </w:abstractNum>
  <w:abstractNum w:abstractNumId="45">
    <w:nsid w:val="53299938"/>
    <w:multiLevelType w:val="hybridMultilevel"/>
    <w:lvl w:ilvl="0">
      <w:lvlJc w:val="left"/>
      <w:lvlText w:val="(%1)"/>
      <w:numFmt w:val="lowerLetter"/>
      <w:start w:val="7"/>
    </w:lvl>
  </w:abstractNum>
  <w:abstractNum w:abstractNumId="46">
    <w:nsid w:val="1FBFE8E0"/>
    <w:multiLevelType w:val="hybridMultilevel"/>
    <w:lvl w:ilvl="0">
      <w:lvlJc w:val="left"/>
      <w:lvlText w:val="(%1)"/>
      <w:numFmt w:val="lowerLetter"/>
      <w:start w:val="1"/>
    </w:lvl>
  </w:abstractNum>
  <w:abstractNum w:abstractNumId="47">
    <w:nsid w:val="5092CA79"/>
    <w:multiLevelType w:val="hybridMultilevel"/>
    <w:lvl w:ilvl="0">
      <w:lvlJc w:val="left"/>
      <w:lvlText w:val="(%1)"/>
      <w:numFmt w:val="lowerLetter"/>
      <w:start w:val="3"/>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1)"/>
      <w:numFmt w:val="lowerLetter"/>
      <w:start w:val="1"/>
    </w:lvl>
  </w:abstractNum>
  <w:abstractNum w:abstractNumId="50">
    <w:nsid w:val="288F1A34"/>
    <w:multiLevelType w:val="hybridMultilevel"/>
    <w:lvl w:ilvl="0">
      <w:lvlJc w:val="left"/>
      <w:lvlText w:val="(%1)"/>
      <w:numFmt w:val="lowerRoman"/>
      <w:start w:val="1"/>
    </w:lvl>
  </w:abstractNum>
  <w:abstractNum w:abstractNumId="51">
    <w:nsid w:val="2A155DBC"/>
    <w:multiLevelType w:val="hybridMultilevel"/>
    <w:lvl w:ilvl="0">
      <w:lvlJc w:val="left"/>
      <w:lvlText w:val="(%1)"/>
      <w:numFmt w:val="lowerRoman"/>
      <w:start w:val="2"/>
    </w:lvl>
    <w:lvl w:ilvl="1">
      <w:lvlJc w:val="left"/>
      <w:lvlText w:val="(%2)"/>
      <w:numFmt w:val="upperLetter"/>
      <w:start w:val="1"/>
    </w:lvl>
  </w:abstractNum>
  <w:abstractNum w:abstractNumId="52">
    <w:nsid w:val="1D9F6E5F"/>
    <w:multiLevelType w:val="hybridMultilevel"/>
    <w:lvl w:ilvl="0">
      <w:lvlJc w:val="left"/>
      <w:lvlText w:val="(%1)"/>
      <w:numFmt w:val="upperLetter"/>
      <w:start w:val="2"/>
    </w:lvl>
  </w:abstractNum>
  <w:abstractNum w:abstractNumId="53">
    <w:nsid w:val="97E1B4E"/>
    <w:multiLevelType w:val="hybridMultilevel"/>
    <w:lvl w:ilvl="0">
      <w:lvlJc w:val="left"/>
      <w:lvlText w:val="(%1)"/>
      <w:numFmt w:val="lowerRoman"/>
      <w:start w:val="3"/>
    </w:lvl>
  </w:abstractNum>
  <w:abstractNum w:abstractNumId="54">
    <w:nsid w:val="51088277"/>
    <w:multiLevelType w:val="hybridMultilevel"/>
    <w:lvl w:ilvl="0">
      <w:lvlJc w:val="left"/>
      <w:lvlText w:val="(%1)"/>
      <w:numFmt w:val="lowerLetter"/>
      <w:start w:val="25"/>
    </w:lvl>
    <w:lvl w:ilvl="1">
      <w:lvlJc w:val="left"/>
      <w:lvlText w:val="(%2)"/>
      <w:numFmt w:val="lowerRoman"/>
      <w:start w:val="4"/>
    </w:lvl>
  </w:abstractNum>
  <w:abstractNum w:abstractNumId="55">
    <w:nsid w:val="1CA0C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6">
    <w:nsid w:val="53584BCB"/>
    <w:multiLevelType w:val="hybridMultilevel"/>
    <w:lvl w:ilvl="0">
      <w:lvlJc w:val="left"/>
      <w:lvlText w:val="(%1)"/>
      <w:numFmt w:val="lowerLetter"/>
      <w:start w:val="10"/>
    </w:lvl>
    <w:lvl w:ilvl="1">
      <w:lvlJc w:val="left"/>
      <w:lvlText w:val="%2"/>
      <w:numFmt w:val="lowerLetter"/>
      <w:start w:val="1"/>
    </w:lvl>
    <w:lvl w:ilvl="2">
      <w:lvlJc w:val="left"/>
      <w:lvlText w:val="(%3)"/>
      <w:numFmt w:val="lowerRoman"/>
      <w:start w:val="1"/>
    </w:lvl>
  </w:abstractNum>
  <w:abstractNum w:abstractNumId="57">
    <w:nsid w:val="415E286C"/>
    <w:multiLevelType w:val="hybridMultilevel"/>
    <w:lvl w:ilvl="0">
      <w:lvlJc w:val="left"/>
      <w:lvlText w:val="(%1)"/>
      <w:numFmt w:val="lowerRoman"/>
      <w:start w:val="3"/>
    </w:lvl>
  </w:abstractNum>
  <w:abstractNum w:abstractNumId="58">
    <w:nsid w:val="7C58FD05"/>
    <w:multiLevelType w:val="hybridMultilevel"/>
    <w:lvl w:ilvl="0">
      <w:lvlJc w:val="left"/>
      <w:lvlText w:val="(%1)"/>
      <w:numFmt w:val="lowerRoman"/>
      <w:start w:val="4"/>
    </w:lvl>
    <w:lvl w:ilvl="1">
      <w:lvlJc w:val="left"/>
      <w:lvlText w:val="(%2)"/>
      <w:numFmt w:val="upperLetter"/>
      <w:start w:val="1"/>
    </w:lvl>
  </w:abstractNum>
  <w:abstractNum w:abstractNumId="59">
    <w:nsid w:val="23D86AAC"/>
    <w:multiLevelType w:val="hybridMultilevel"/>
    <w:lvl w:ilvl="0">
      <w:lvlJc w:val="left"/>
      <w:lvlText w:val="%1"/>
      <w:numFmt w:val="lowerLetter"/>
      <w:start w:val="1"/>
    </w:lvl>
    <w:lvl w:ilvl="1">
      <w:lvlJc w:val="left"/>
      <w:lvlText w:val="(%2)"/>
      <w:numFmt w:val="lowerLetter"/>
      <w:start w:val="22"/>
    </w:lvl>
  </w:abstractNum>
  <w:abstractNum w:abstractNumId="60">
    <w:nsid w:val="45E6D486"/>
    <w:multiLevelType w:val="hybridMultilevel"/>
    <w:lvl w:ilvl="0">
      <w:lvlJc w:val="left"/>
      <w:lvlText w:val="(%1)"/>
      <w:numFmt w:val="lowerLetter"/>
      <w:start w:val="2"/>
    </w:lvl>
    <w:lvl w:ilvl="1">
      <w:lvlJc w:val="left"/>
      <w:lvlText w:val="%2"/>
      <w:numFmt w:val="lowerLetter"/>
      <w:start w:val="1"/>
    </w:lvl>
  </w:abstractNum>
  <w:abstractNum w:abstractNumId="61">
    <w:nsid w:val="5C10FE21"/>
    <w:multiLevelType w:val="hybridMultilevel"/>
    <w:lvl w:ilvl="0">
      <w:lvlJc w:val="left"/>
      <w:lvlText w:val="(%1)"/>
      <w:numFmt w:val="lowerLetter"/>
      <w:start w:val="3"/>
    </w:lvl>
  </w:abstractNum>
  <w:abstractNum w:abstractNumId="62">
    <w:nsid w:val="E7FFA2B"/>
    <w:multiLevelType w:val="hybridMultilevel"/>
    <w:lvl w:ilvl="0">
      <w:lvlJc w:val="left"/>
      <w:lvlText w:val="%1"/>
      <w:numFmt w:val="lowerLetter"/>
      <w:start w:val="1"/>
    </w:lvl>
    <w:lvl w:ilvl="1">
      <w:lvlJc w:val="left"/>
      <w:lvlText w:val="(%2)"/>
      <w:numFmt w:val="lowerLetter"/>
      <w:start w:val="8"/>
    </w:lvl>
  </w:abstractNum>
  <w:abstractNum w:abstractNumId="63">
    <w:nsid w:val="3C5991AA"/>
    <w:multiLevelType w:val="hybridMultilevel"/>
    <w:lvl w:ilvl="0">
      <w:lvlJc w:val="left"/>
      <w:lvlText w:val="(%1)"/>
      <w:numFmt w:val="lowerLetter"/>
      <w:start w:val="9"/>
    </w:lvl>
    <w:lvl w:ilvl="1">
      <w:lvlJc w:val="left"/>
      <w:lvlText w:val="%2"/>
      <w:numFmt w:val="lowerLetter"/>
      <w:start w:val="1"/>
    </w:lvl>
  </w:abstractNum>
  <w:abstractNum w:abstractNumId="64">
    <w:nsid w:val="4BD8591A"/>
    <w:multiLevelType w:val="hybridMultilevel"/>
    <w:lvl w:ilvl="0">
      <w:lvlJc w:val="left"/>
      <w:lvlText w:val="%1"/>
      <w:numFmt w:val="lowerLetter"/>
      <w:start w:val="1"/>
    </w:lvl>
    <w:lvl w:ilvl="1">
      <w:lvlJc w:val="left"/>
      <w:lvlText w:val="(%2)"/>
      <w:numFmt w:val="lowerLetter"/>
      <w:start w:val="1"/>
    </w:lvl>
  </w:abstractNum>
  <w:abstractNum w:abstractNumId="65">
    <w:nsid w:val="78DF6A55"/>
    <w:multiLevelType w:val="hybridMultilevel"/>
    <w:lvl w:ilvl="0">
      <w:lvlJc w:val="left"/>
      <w:lvlText w:val="(%1)"/>
      <w:numFmt w:val="lowerLetter"/>
      <w:start w:val="2"/>
    </w:lvl>
    <w:lvl w:ilvl="1">
      <w:lvlJc w:val="left"/>
      <w:lvlText w:val="(%2)"/>
      <w:numFmt w:val="lowerLetter"/>
      <w:start w:val="2"/>
    </w:lvl>
  </w:abstractNum>
  <w:abstractNum w:abstractNumId="66">
    <w:nsid w:val="39B7AAA2"/>
    <w:multiLevelType w:val="hybridMultilevel"/>
    <w:lvl w:ilvl="0">
      <w:lvlJc w:val="left"/>
      <w:lvlText w:val="(%1)"/>
      <w:numFmt w:val="lowerLetter"/>
      <w:start w:val="3"/>
    </w:lvl>
  </w:abstractNum>
  <w:abstractNum w:abstractNumId="67">
    <w:nsid w:val="2B0D8DBE"/>
    <w:multiLevelType w:val="hybridMultilevel"/>
    <w:lvl w:ilvl="0">
      <w:lvlJc w:val="left"/>
      <w:lvlText w:val="(%1)"/>
      <w:numFmt w:val="lowerRoman"/>
      <w:start w:val="1"/>
    </w:lvl>
  </w:abstractNum>
  <w:abstractNum w:abstractNumId="68">
    <w:nsid w:val="6C80EC70"/>
    <w:multiLevelType w:val="hybridMultilevel"/>
    <w:lvl w:ilvl="0">
      <w:lvlJc w:val="left"/>
      <w:lvlText w:val="(%1)"/>
      <w:numFmt w:val="lowerRoman"/>
      <w:start w:val="2"/>
    </w:lvl>
  </w:abstractNum>
  <w:abstractNum w:abstractNumId="69">
    <w:nsid w:val="379E21B5"/>
    <w:multiLevelType w:val="hybridMultilevel"/>
    <w:lvl w:ilvl="0">
      <w:lvlJc w:val="left"/>
      <w:lvlText w:val="(%1)"/>
      <w:numFmt w:val="lowerLetter"/>
      <w:start w:val="6"/>
    </w:lvl>
  </w:abstractNum>
  <w:abstractNum w:abstractNumId="70">
    <w:nsid w:val="69E373"/>
    <w:multiLevelType w:val="hybridMultilevel"/>
    <w:lvl w:ilvl="0">
      <w:lvlJc w:val="left"/>
      <w:lvlText w:val="(%1)"/>
      <w:numFmt w:val="lowerLetter"/>
      <w:start w:val="1"/>
    </w:lvl>
  </w:abstractNum>
  <w:abstractNum w:abstractNumId="71">
    <w:nsid w:val="2C27173B"/>
    <w:multiLevelType w:val="hybridMultilevel"/>
    <w:lvl w:ilvl="0">
      <w:lvlJc w:val="left"/>
      <w:lvlText w:val="(%1)"/>
      <w:numFmt w:val="lowerLetter"/>
      <w:start w:val="2"/>
    </w:lvl>
  </w:abstractNum>
  <w:abstractNum w:abstractNumId="72">
    <w:nsid w:val="4C9B0904"/>
    <w:multiLevelType w:val="hybridMultilevel"/>
    <w:lvl w:ilvl="0">
      <w:lvlJc w:val="left"/>
      <w:lvlText w:val="X"/>
      <w:numFmt w:val="bullet"/>
      <w:start w:val="1"/>
    </w:lvl>
  </w:abstractNum>
  <w:abstractNum w:abstractNumId="73">
    <w:nsid w:val="6AA7B75C"/>
    <w:multiLevelType w:val="hybridMultilevel"/>
    <w:lvl w:ilvl="0">
      <w:lvlJc w:val="left"/>
      <w:lvlText w:val="Y"/>
      <w:numFmt w:val="bullet"/>
      <w:start w:val="1"/>
    </w:lvl>
  </w:abstractNum>
  <w:abstractNum w:abstractNumId="74">
    <w:nsid w:val="1DF029D3"/>
    <w:multiLevelType w:val="hybridMultilevel"/>
    <w:lvl w:ilvl="0">
      <w:lvlJc w:val="left"/>
      <w:lvlText w:val="(%1)"/>
      <w:numFmt w:val="lowerLetter"/>
      <w:start w:val="3"/>
    </w:lvl>
  </w:abstractNum>
  <w:abstractNum w:abstractNumId="75">
    <w:nsid w:val="5675FF36"/>
    <w:multiLevelType w:val="hybridMultilevel"/>
    <w:lvl w:ilvl="0">
      <w:lvlJc w:val="left"/>
      <w:lvlText w:val="(%1)"/>
      <w:numFmt w:val="decimal"/>
      <w:start w:val="1"/>
    </w:lvl>
  </w:abstractNum>
  <w:abstractNum w:abstractNumId="76">
    <w:nsid w:val="3DD15094"/>
    <w:multiLevelType w:val="hybridMultilevel"/>
    <w:lvl w:ilvl="0">
      <w:lvlJc w:val="left"/>
      <w:lvlText w:val="(%1)"/>
      <w:numFmt w:val="upperLetter"/>
      <w:start w:val="1"/>
    </w:lvl>
  </w:abstractNum>
  <w:abstractNum w:abstractNumId="77">
    <w:nsid w:val="3DB012B3"/>
    <w:multiLevelType w:val="hybridMultilevel"/>
    <w:lvl w:ilvl="0">
      <w:lvlJc w:val="left"/>
      <w:lvlText w:val="(%1)"/>
      <w:numFmt w:val="lowerLetter"/>
      <w:start w:val="4"/>
    </w:lvl>
  </w:abstractNum>
  <w:abstractNum w:abstractNumId="78">
    <w:nsid w:val="2708C9AF"/>
    <w:multiLevelType w:val="hybridMultilevel"/>
    <w:lvl w:ilvl="0">
      <w:lvlJc w:val="left"/>
      <w:lvlText w:val="C"/>
      <w:numFmt w:val="bullet"/>
      <w:start w:val="1"/>
    </w:lvl>
  </w:abstractNum>
  <w:abstractNum w:abstractNumId="79">
    <w:nsid w:val="5B25ACE2"/>
    <w:multiLevelType w:val="hybridMultilevel"/>
    <w:lvl w:ilvl="0">
      <w:lvlJc w:val="left"/>
      <w:lvlText w:val="(%1)"/>
      <w:numFmt w:val="lowerLetter"/>
      <w:start w:val="5"/>
    </w:lvl>
  </w:abstractNum>
  <w:abstractNum w:abstractNumId="80">
    <w:nsid w:val="175DFCF0"/>
    <w:multiLevelType w:val="hybridMultilevel"/>
    <w:lvl w:ilvl="0">
      <w:lvlJc w:val="left"/>
      <w:lvlText w:val="(%1)"/>
      <w:numFmt w:val="lowerLetter"/>
      <w:start w:val="6"/>
    </w:lvl>
  </w:abstractNum>
  <w:abstractNum w:abstractNumId="81">
    <w:nsid w:val="4F97E3E4"/>
    <w:multiLevelType w:val="hybridMultilevel"/>
    <w:lvl w:ilvl="0">
      <w:lvlJc w:val="left"/>
      <w:lvlText w:val="(%1)"/>
      <w:numFmt w:val="lowerLetter"/>
      <w:start w:val="7"/>
    </w:lvl>
    <w:lvl w:ilvl="1">
      <w:lvlJc w:val="left"/>
      <w:lvlText w:val="(%2)"/>
      <w:numFmt w:val="lowerRoman"/>
      <w:start w:val="1"/>
    </w:lvl>
  </w:abstractNum>
  <w:abstractNum w:abstractNumId="82">
    <w:nsid w:val="53B0A9E"/>
    <w:multiLevelType w:val="hybridMultilevel"/>
    <w:lvl w:ilvl="0">
      <w:lvlJc w:val="left"/>
      <w:lvlText w:val="(%1)"/>
      <w:numFmt w:val="lowerLetter"/>
      <w:start w:val="5"/>
    </w:lvl>
    <w:lvl w:ilvl="1">
      <w:lvlJc w:val="left"/>
      <w:lvlText w:val="%2"/>
      <w:numFmt w:val="lowerRoman"/>
      <w:start w:val="1"/>
    </w:lvl>
  </w:abstractNum>
  <w:abstractNum w:abstractNumId="83">
    <w:nsid w:val="34FD6B4F"/>
    <w:multiLevelType w:val="hybridMultilevel"/>
    <w:lvl w:ilvl="0">
      <w:lvlJc w:val="left"/>
      <w:lvlText w:val="%1"/>
      <w:numFmt w:val="lowerLetter"/>
      <w:start w:val="1"/>
    </w:lvl>
    <w:lvl w:ilvl="1">
      <w:lvlJc w:val="left"/>
      <w:lvlText w:val="(%2)"/>
      <w:numFmt w:val="lowerRoman"/>
      <w:start w:val="6"/>
    </w:lvl>
  </w:abstractNum>
  <w:abstractNum w:abstractNumId="84">
    <w:nsid w:val="5915FF32"/>
    <w:multiLevelType w:val="hybridMultilevel"/>
    <w:lvl w:ilvl="0">
      <w:lvlJc w:val="left"/>
      <w:lvlText w:val="(%1)"/>
      <w:numFmt w:val="lowerLetter"/>
      <w:start w:val="10"/>
    </w:lvl>
    <w:lvl w:ilvl="1">
      <w:lvlJc w:val="left"/>
      <w:lvlText w:val="%2"/>
      <w:numFmt w:val="lowerRoman"/>
      <w:start w:val="1"/>
    </w:lvl>
  </w:abstractNum>
  <w:abstractNum w:abstractNumId="85">
    <w:nsid w:val="56438D15"/>
    <w:multiLevelType w:val="hybridMultilevel"/>
    <w:lvl w:ilvl="0">
      <w:lvlJc w:val="left"/>
      <w:lvlText w:val="(%1)"/>
      <w:numFmt w:val="lowerLetter"/>
      <w:start w:val="1"/>
    </w:lvl>
    <w:lvl w:ilvl="1">
      <w:lvlJc w:val="left"/>
      <w:lvlText w:val="(%2)"/>
      <w:numFmt w:val="lowerRoman"/>
      <w:start w:val="1"/>
    </w:lvl>
  </w:abstractNum>
  <w:abstractNum w:abstractNumId="86">
    <w:nsid w:val="519E3149"/>
    <w:multiLevelType w:val="hybridMultilevel"/>
    <w:lvl w:ilvl="0">
      <w:lvlJc w:val="left"/>
      <w:lvlText w:val="(%1)"/>
      <w:numFmt w:val="lowerRoman"/>
      <w:start w:val="1"/>
    </w:lvl>
  </w:abstractNum>
  <w:abstractNum w:abstractNumId="87">
    <w:nsid w:val="2C6E4AFD"/>
    <w:multiLevelType w:val="hybridMultilevel"/>
    <w:lvl w:ilvl="0">
      <w:lvlJc w:val="left"/>
      <w:lvlText w:val="(%1)"/>
      <w:numFmt w:val="lowerLetter"/>
      <w:start w:val="2"/>
    </w:lvl>
  </w:abstractNum>
  <w:abstractNum w:abstractNumId="88">
    <w:nsid w:val="17A1B582"/>
    <w:multiLevelType w:val="hybridMultilevel"/>
    <w:lvl w:ilvl="0">
      <w:lvlJc w:val="left"/>
      <w:lvlText w:val="(%1)"/>
      <w:numFmt w:val="lowerLetter"/>
      <w:start w:val="2"/>
    </w:lvl>
  </w:abstractNum>
  <w:abstractNum w:abstractNumId="89">
    <w:nsid w:val="4DF72E4E"/>
    <w:multiLevelType w:val="hybridMultilevel"/>
    <w:lvl w:ilvl="0">
      <w:lvlJc w:val="left"/>
      <w:lvlText w:val="(%1)"/>
      <w:numFmt w:val="lowerLetter"/>
      <w:start w:val="1"/>
    </w:lvl>
  </w:abstractNum>
  <w:abstractNum w:abstractNumId="90">
    <w:nsid w:val="5046B5A9"/>
    <w:multiLevelType w:val="hybridMultilevel"/>
    <w:lvl w:ilvl="0">
      <w:lvlJc w:val="left"/>
      <w:lvlText w:val="(%1)"/>
      <w:numFmt w:val="lowerLetter"/>
      <w:start w:val="1"/>
    </w:lvl>
  </w:abstractNum>
  <w:abstractNum w:abstractNumId="91">
    <w:nsid w:val="5D888A08"/>
    <w:multiLevelType w:val="hybridMultilevel"/>
    <w:lvl w:ilvl="0">
      <w:lvlJc w:val="left"/>
      <w:lvlText w:val="(%1)"/>
      <w:numFmt w:val="lowerLetter"/>
      <w:start w:val="2"/>
    </w:lvl>
    <w:lvl w:ilvl="1">
      <w:lvlJc w:val="left"/>
      <w:lvlText w:val="(%2)"/>
      <w:numFmt w:val="lowerRoman"/>
      <w:start w:val="1"/>
    </w:lvl>
  </w:abstractNum>
  <w:abstractNum w:abstractNumId="92">
    <w:nsid w:val="2A082C70"/>
    <w:multiLevelType w:val="hybridMultilevel"/>
    <w:lvl w:ilvl="0">
      <w:lvlJc w:val="left"/>
      <w:lvlText w:val="(%1)"/>
      <w:numFmt w:val="lowerRoman"/>
      <w:start w:val="1"/>
    </w:lvl>
  </w:abstractNum>
  <w:abstractNum w:abstractNumId="93">
    <w:nsid w:val="5EC6AFD4"/>
    <w:multiLevelType w:val="hybridMultilevel"/>
    <w:lvl w:ilvl="0">
      <w:lvlJc w:val="left"/>
      <w:lvlText w:val="(%1)"/>
      <w:numFmt w:val="lowerLetter"/>
      <w:start w:val="3"/>
    </w:lvl>
    <w:lvl w:ilvl="1">
      <w:lvlJc w:val="left"/>
      <w:lvlText w:val="(%2)"/>
      <w:numFmt w:val="lowerRoman"/>
      <w:start w:val="1"/>
    </w:lvl>
  </w:abstractNum>
  <w:abstractNum w:abstractNumId="94">
    <w:nsid w:val="19E21BB2"/>
    <w:multiLevelType w:val="hybridMultilevel"/>
    <w:lvl w:ilvl="0">
      <w:lvlJc w:val="left"/>
      <w:lvlText w:val="%1"/>
      <w:numFmt w:val="lowerLetter"/>
      <w:start w:val="1"/>
    </w:lvl>
    <w:lvl w:ilvl="1">
      <w:lvlJc w:val="left"/>
      <w:lvlText w:val="(%2)"/>
      <w:numFmt w:val="lowerLetter"/>
      <w:start w:val="4"/>
    </w:lvl>
  </w:abstractNum>
  <w:abstractNum w:abstractNumId="95">
    <w:nsid w:val="75E0858A"/>
    <w:multiLevelType w:val="hybridMultilevel"/>
    <w:lvl w:ilvl="0">
      <w:lvlJc w:val="left"/>
      <w:lvlText w:val="(%1)"/>
      <w:numFmt w:val="lowerLetter"/>
      <w:start w:val="35"/>
    </w:lvl>
    <w:lvl w:ilvl="1">
      <w:lvlJc w:val="left"/>
      <w:lvlText w:val="%2"/>
      <w:numFmt w:val="lowerLetter"/>
      <w:start w:val="1"/>
    </w:lvl>
  </w:abstractNum>
  <w:abstractNum w:abstractNumId="96">
    <w:nsid w:val="57A61A29"/>
    <w:multiLevelType w:val="hybridMultilevel"/>
    <w:lvl w:ilvl="0">
      <w:lvlJc w:val="left"/>
      <w:lvlText w:val="(%1)"/>
      <w:numFmt w:val="lowerRoman"/>
      <w:start w:val="1"/>
    </w:lvl>
  </w:abstractNum>
  <w:abstractNum w:abstractNumId="97">
    <w:nsid w:val="5399C654"/>
    <w:multiLevelType w:val="hybridMultilevel"/>
    <w:lvl w:ilvl="0">
      <w:lvlJc w:val="left"/>
      <w:lvlText w:val="(%1)"/>
      <w:numFmt w:val="lowerLetter"/>
      <w:start w:val="2"/>
    </w:lvl>
  </w:abstractNum>
  <w:abstractNum w:abstractNumId="98">
    <w:nsid w:val="20EE1348"/>
    <w:multiLevelType w:val="hybridMultilevel"/>
    <w:lvl w:ilvl="0">
      <w:lvlJc w:val="left"/>
      <w:lvlText w:val="(%1)"/>
      <w:numFmt w:val="lowerLetter"/>
      <w:start w:val="3"/>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1)"/>
      <w:numFmt w:val="lowerLetter"/>
      <w:start w:val="2"/>
    </w:lvl>
    <w:lvl w:ilvl="1">
      <w:lvlJc w:val="left"/>
      <w:lvlText w:val="(%2)"/>
      <w:numFmt w:val="lowerRoman"/>
      <w:start w:val="1"/>
    </w:lvl>
  </w:abstractNum>
  <w:abstractNum w:abstractNumId="101">
    <w:nsid w:val="2157F6BC"/>
    <w:multiLevelType w:val="hybridMultilevel"/>
    <w:lvl w:ilvl="0">
      <w:lvlJc w:val="left"/>
      <w:lvlText w:val="(%1)"/>
      <w:numFmt w:val="lowerRoman"/>
      <w:start w:val="5"/>
    </w:lvl>
  </w:abstractNum>
  <w:abstractNum w:abstractNumId="102">
    <w:nsid w:val="704E1DD5"/>
    <w:multiLevelType w:val="hybridMultilevel"/>
    <w:lvl w:ilvl="0">
      <w:lvlJc w:val="left"/>
      <w:lvlText w:val="(%1)"/>
      <w:numFmt w:val="lowerRoman"/>
      <w:start w:val="8"/>
    </w:lvl>
  </w:abstractNum>
  <w:abstractNum w:abstractNumId="103">
    <w:nsid w:val="57D2F10E"/>
    <w:multiLevelType w:val="hybridMultilevel"/>
    <w:lvl w:ilvl="0">
      <w:lvlJc w:val="left"/>
      <w:lvlText w:val="(%1)"/>
      <w:numFmt w:val="lowerLetter"/>
      <w:start w:val="4"/>
    </w:lvl>
  </w:abstractNum>
  <w:abstractNum w:abstractNumId="104">
    <w:nsid w:val="BFFAE18"/>
    <w:multiLevelType w:val="hybridMultilevel"/>
    <w:lvl w:ilvl="0">
      <w:lvlJc w:val="left"/>
      <w:lvlText w:val="(%1)"/>
      <w:numFmt w:val="lowerLetter"/>
      <w:start w:val="1"/>
    </w:lvl>
  </w:abstractNum>
  <w:abstractNum w:abstractNumId="105">
    <w:nsid w:val="E3E47A8"/>
    <w:multiLevelType w:val="hybridMultilevel"/>
    <w:lvl w:ilvl="0">
      <w:lvlJc w:val="left"/>
      <w:lvlText w:val="(%1)"/>
      <w:numFmt w:val="lowerLetter"/>
      <w:start w:val="2"/>
    </w:lvl>
  </w:abstractNum>
  <w:abstractNum w:abstractNumId="106">
    <w:nsid w:val="2E48F044"/>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07">
    <w:nsid w:val="49D0FEAC"/>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08">
    <w:nsid w:val="4BEE5A5B"/>
    <w:multiLevelType w:val="hybridMultilevel"/>
    <w:lvl w:ilvl="0">
      <w:lvlJc w:val="left"/>
      <w:lvlText w:val="(%1)"/>
      <w:numFmt w:val="upperLetter"/>
      <w:start w:val="3"/>
    </w:lvl>
  </w:abstractNum>
  <w:abstractNum w:abstractNumId="109">
    <w:nsid w:val="5551B9F3"/>
    <w:multiLevelType w:val="hybridMultilevel"/>
    <w:lvl w:ilvl="0">
      <w:lvlJc w:val="left"/>
      <w:lvlText w:val="1"/>
      <w:numFmt w:val="bullet"/>
      <w:start w:val="1"/>
    </w:lvl>
  </w:abstractNum>
  <w:abstractNum w:abstractNumId="110">
    <w:nsid w:val="24F6AB8E"/>
    <w:multiLevelType w:val="hybridMultilevel"/>
    <w:lvl w:ilvl="0">
      <w:lvlJc w:val="left"/>
      <w:lvlText w:val="2"/>
      <w:numFmt w:val="bullet"/>
      <w:start w:val="1"/>
    </w:lvl>
  </w:abstractNum>
  <w:abstractNum w:abstractNumId="111">
    <w:nsid w:val="634C574C"/>
    <w:multiLevelType w:val="hybridMultilevel"/>
    <w:lvl w:ilvl="0">
      <w:lvlJc w:val="left"/>
      <w:lvlText w:val="3"/>
      <w:numFmt w:val="bullet"/>
      <w:start w:val="1"/>
    </w:lvl>
  </w:abstractNum>
  <w:abstractNum w:abstractNumId="112">
    <w:nsid w:val="24E99DD7"/>
    <w:multiLevelType w:val="hybridMultilevel"/>
    <w:lvl w:ilvl="0">
      <w:lvlJc w:val="left"/>
      <w:lvlText w:val="4"/>
      <w:numFmt w:val="bullet"/>
      <w:start w:val="1"/>
    </w:lvl>
  </w:abstractNum>
  <w:abstractNum w:abstractNumId="113">
    <w:nsid w:val="2A31B62D"/>
    <w:multiLevelType w:val="hybridMultilevel"/>
    <w:lvl w:ilvl="0">
      <w:lvlJc w:val="left"/>
      <w:lvlText w:val="5"/>
      <w:numFmt w:val="bullet"/>
      <w:start w:val="1"/>
    </w:lvl>
  </w:abstractNum>
  <w:abstractNum w:abstractNumId="114">
    <w:nsid w:val="1849C29B"/>
    <w:multiLevelType w:val="hybridMultilevel"/>
    <w:lvl w:ilvl="0">
      <w:lvlJc w:val="left"/>
      <w:lvlText w:val="6"/>
      <w:numFmt w:val="bullet"/>
      <w:start w:val="1"/>
    </w:lvl>
  </w:abstractNum>
  <w:abstractNum w:abstractNumId="115">
    <w:nsid w:val="7DFF9D09"/>
    <w:multiLevelType w:val="hybridMultilevel"/>
    <w:lvl w:ilvl="0">
      <w:lvlJc w:val="left"/>
      <w:lvlText w:val="7"/>
      <w:numFmt w:val="bullet"/>
      <w:start w:val="1"/>
    </w:lvl>
  </w:abstractNum>
  <w:abstractNum w:abstractNumId="116">
    <w:nsid w:val="754342"/>
    <w:multiLevelType w:val="hybridMultilevel"/>
    <w:lvl w:ilvl="0">
      <w:lvlJc w:val="left"/>
      <w:lvlText w:val="☐"/>
      <w:numFmt w:val="bullet"/>
      <w:start w:val="1"/>
    </w:lvl>
  </w:abstractNum>
  <w:abstractNum w:abstractNumId="117">
    <w:nsid w:val="69E7F3E5"/>
    <w:multiLevelType w:val="hybridMultilevel"/>
    <w:lvl w:ilvl="0">
      <w:lvlJc w:val="left"/>
      <w:lvlText w:val="%1."/>
      <w:numFmt w:val="decimal"/>
      <w:start w:val="1"/>
    </w:lvl>
  </w:abstractNum>
  <w:abstractNum w:abstractNumId="118">
    <w:nsid w:val="2A6DE806"/>
    <w:multiLevelType w:val="hybridMultilevel"/>
    <w:lvl w:ilvl="0">
      <w:lvlJc w:val="left"/>
      <w:lvlText w:val="1"/>
      <w:numFmt w:val="bullet"/>
      <w:start w:val="1"/>
    </w:lvl>
  </w:abstractNum>
  <w:abstractNum w:abstractNumId="119">
    <w:nsid w:val="1816F8C4"/>
    <w:multiLevelType w:val="hybridMultilevel"/>
    <w:lvl w:ilvl="0">
      <w:lvlJc w:val="left"/>
      <w:lvlText w:val="%1."/>
      <w:numFmt w:val="decimal"/>
      <w:start w:val="2"/>
    </w:lvl>
  </w:abstractNum>
  <w:abstractNum w:abstractNumId="120">
    <w:nsid w:val="37DF2233"/>
    <w:multiLevelType w:val="hybridMultilevel"/>
    <w:lvl w:ilvl="0">
      <w:lvlJc w:val="left"/>
      <w:lvlText w:val="2"/>
      <w:numFmt w:val="bullet"/>
      <w:start w:val="1"/>
    </w:lvl>
  </w:abstractNum>
  <w:abstractNum w:abstractNumId="121">
    <w:nsid w:val="7AB49DAF"/>
    <w:multiLevelType w:val="hybridMultilevel"/>
    <w:lvl w:ilvl="0">
      <w:lvlJc w:val="left"/>
      <w:lvlText w:val="3"/>
      <w:numFmt w:val="bullet"/>
      <w:start w:val="1"/>
    </w:lvl>
  </w:abstractNum>
  <w:abstractNum w:abstractNumId="122">
    <w:nsid w:val="759F82CD"/>
    <w:multiLevelType w:val="hybridMultilevel"/>
    <w:lvl w:ilvl="0">
      <w:lvlJc w:val="left"/>
      <w:lvlText w:val="(%1)"/>
      <w:numFmt w:val="lowerRoman"/>
      <w:start w:val="1"/>
    </w:lvl>
  </w:abstractNum>
  <w:abstractNum w:abstractNumId="123">
    <w:nsid w:val="61E74EA3"/>
    <w:multiLevelType w:val="hybridMultilevel"/>
    <w:lvl w:ilvl="0">
      <w:lvlJc w:val="left"/>
      <w:lvlText w:val="%1."/>
      <w:numFmt w:val="decimal"/>
      <w:start w:val="3"/>
    </w:lvl>
  </w:abstractNum>
  <w:abstractNum w:abstractNumId="124">
    <w:nsid w:val="597B4D84"/>
    <w:multiLevelType w:val="hybridMultilevel"/>
    <w:lvl w:ilvl="0">
      <w:lvlJc w:val="left"/>
      <w:lvlText w:val="%1."/>
      <w:numFmt w:val="decimal"/>
      <w:start w:val="4"/>
    </w:lvl>
  </w:abstractNum>
  <w:abstractNum w:abstractNumId="125">
    <w:nsid w:val="F819E7F"/>
    <w:multiLevelType w:val="hybridMultilevel"/>
    <w:lvl w:ilvl="0">
      <w:lvlJc w:val="left"/>
      <w:lvlText w:val="%1."/>
      <w:numFmt w:val="decimal"/>
      <w:start w:val="5"/>
    </w:lvl>
  </w:abstractNum>
  <w:abstractNum w:abstractNumId="126">
    <w:nsid w:val="57C7D42D"/>
    <w:multiLevelType w:val="hybridMultilevel"/>
    <w:lvl w:ilvl="0">
      <w:lvlJc w:val="left"/>
      <w:lvlText w:val="%1."/>
      <w:numFmt w:val="decimal"/>
      <w:start w:val="7"/>
    </w:lvl>
  </w:abstractNum>
  <w:abstractNum w:abstractNumId="127">
    <w:nsid w:val="312167AD"/>
    <w:multiLevelType w:val="hybridMultilevel"/>
    <w:lvl w:ilvl="0">
      <w:lvlJc w:val="left"/>
      <w:lvlText w:val="(%1)"/>
      <w:numFmt w:val="lowerLetter"/>
      <w:start w:val="1"/>
    </w:lvl>
    <w:lvl w:ilvl="1">
      <w:lvlJc w:val="left"/>
      <w:lvlText w:val="(%2)"/>
      <w:numFmt w:val="lowerRoman"/>
      <w:start w:val="1"/>
    </w:lvl>
  </w:abstractNum>
  <w:abstractNum w:abstractNumId="128">
    <w:nsid w:val="631B64D4"/>
    <w:multiLevelType w:val="hybridMultilevel"/>
    <w:lvl w:ilvl="0">
      <w:lvlJc w:val="left"/>
      <w:lvlText w:val="%1"/>
      <w:numFmt w:val="upperLetter"/>
      <w:start w:val="1"/>
    </w:lvl>
    <w:lvl w:ilvl="1">
      <w:lvlJc w:val="left"/>
      <w:lvlText w:val="(%2)"/>
      <w:numFmt w:val="lowerRoman"/>
      <w:start w:val="3"/>
    </w:lvl>
  </w:abstractNum>
  <w:abstractNum w:abstractNumId="129">
    <w:nsid w:val="78B5E776"/>
    <w:multiLevelType w:val="hybridMultilevel"/>
    <w:lvl w:ilvl="0">
      <w:lvlJc w:val="left"/>
      <w:lvlText w:val="(%1)"/>
      <w:numFmt w:val="upperLetter"/>
      <w:start w:val="4"/>
    </w:lvl>
    <w:lvl w:ilvl="1">
      <w:lvlJc w:val="left"/>
      <w:lvlText w:val="%2"/>
      <w:numFmt w:val="lowerRoman"/>
      <w:start w:val="1"/>
    </w:lvl>
  </w:abstractNum>
  <w:abstractNum w:abstractNumId="130">
    <w:nsid w:val="75486E4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131">
    <w:nsid w:val="6E534CD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32">
    <w:nsid w:val="1A0DDE32"/>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33">
    <w:nsid w:val="65968C1C"/>
    <w:multiLevelType w:val="hybridMultilevel"/>
    <w:lvl w:ilvl="0">
      <w:lvlJc w:val="left"/>
      <w:lvlText w:val="(%1)"/>
      <w:numFmt w:val="lowerLetter"/>
      <w:start w:val="7"/>
    </w:lvl>
  </w:abstractNum>
  <w:abstractNum w:abstractNumId="134">
    <w:nsid w:val="46263DEC"/>
    <w:multiLevelType w:val="hybridMultilevel"/>
    <w:lvl w:ilvl="0">
      <w:lvlJc w:val="left"/>
      <w:lvlText w:val="%1."/>
      <w:numFmt w:val="decimal"/>
      <w:start w:val="8"/>
    </w:lvl>
  </w:abstractNum>
  <w:abstractNum w:abstractNumId="135">
    <w:nsid w:val="260D8C4A"/>
    <w:multiLevelType w:val="hybridMultilevel"/>
    <w:lvl w:ilvl="0">
      <w:lvlJc w:val="left"/>
      <w:lvlText w:val="(%1)"/>
      <w:numFmt w:val="lowerLetter"/>
      <w:start w:val="1"/>
    </w:lvl>
  </w:abstractNum>
  <w:abstractNum w:abstractNumId="136">
    <w:nsid w:val="73D4D3C4"/>
    <w:multiLevelType w:val="hybridMultilevel"/>
    <w:lvl w:ilvl="0">
      <w:lvlJc w:val="left"/>
      <w:lvlText w:val="4"/>
      <w:numFmt w:val="bullet"/>
      <w:start w:val="1"/>
    </w:lvl>
  </w:abstractNum>
  <w:abstractNum w:abstractNumId="137">
    <w:nsid w:val="746F2E30"/>
    <w:multiLevelType w:val="hybridMultilevel"/>
    <w:lvl w:ilvl="0">
      <w:lvlJc w:val="left"/>
      <w:lvlText w:val="5"/>
      <w:numFmt w:val="bullet"/>
      <w:start w:val="1"/>
    </w:lvl>
  </w:abstractNum>
  <w:abstractNum w:abstractNumId="138">
    <w:nsid w:val="6FDE8AF6"/>
    <w:multiLevelType w:val="hybridMultilevel"/>
    <w:lvl w:ilvl="0">
      <w:lvlJc w:val="left"/>
      <w:lvlText w:val="%1"/>
      <w:numFmt w:val="lowerLetter"/>
      <w:start w:val="1"/>
    </w:lvl>
    <w:lvl w:ilvl="1">
      <w:lvlJc w:val="left"/>
      <w:lvlText w:val="(%2)"/>
      <w:numFmt w:val="lowerLetter"/>
      <w:start w:val="3"/>
    </w:lvl>
  </w:abstractNum>
  <w:abstractNum w:abstractNumId="139">
    <w:nsid w:val="3FC32E20"/>
    <w:multiLevelType w:val="hybridMultilevel"/>
    <w:lvl w:ilvl="0">
      <w:lvlJc w:val="left"/>
      <w:lvlText w:val="(%1)"/>
      <w:numFmt w:val="lowerLetter"/>
      <w:start w:val="61"/>
    </w:lvl>
    <w:lvl w:ilvl="1">
      <w:lvlJc w:val="left"/>
      <w:lvlText w:val="%2"/>
      <w:numFmt w:val="lowerLetter"/>
      <w:start w:val="1"/>
    </w:lvl>
  </w:abstractNum>
  <w:abstractNum w:abstractNumId="140">
    <w:nsid w:val="49C0E823"/>
    <w:multiLevelType w:val="hybridMultilevel"/>
    <w:lvl w:ilvl="0">
      <w:lvlJc w:val="left"/>
      <w:lvlText w:val="(%1)"/>
      <w:numFmt w:val="lowerLetter"/>
      <w:start w:val="1"/>
    </w:lvl>
    <w:lvl w:ilvl="1">
      <w:lvlJc w:val="left"/>
      <w:lvlText w:val="%2"/>
      <w:numFmt w:val="lowerLetter"/>
      <w:start w:val="1"/>
    </w:lvl>
  </w:abstractNum>
  <w:abstractNum w:abstractNumId="141">
    <w:nsid w:val="14D53685"/>
    <w:multiLevelType w:val="hybridMultilevel"/>
    <w:lvl w:ilvl="0">
      <w:lvlJc w:val="left"/>
      <w:lvlText w:val="(%1)"/>
      <w:numFmt w:val="lowerLetter"/>
      <w:start w:val="35"/>
    </w:lvl>
    <w:lvl w:ilvl="1">
      <w:lvlJc w:val="left"/>
      <w:lvlText w:val="%2"/>
      <w:numFmt w:val="lowerLetter"/>
      <w:start w:val="1"/>
    </w:lvl>
  </w:abstractNum>
  <w:abstractNum w:abstractNumId="142">
    <w:nsid w:val="230F856C"/>
    <w:multiLevelType w:val="hybridMultilevel"/>
    <w:lvl w:ilvl="0">
      <w:lvlJc w:val="left"/>
      <w:lvlText w:val="6"/>
      <w:numFmt w:val="bullet"/>
      <w:start w:val="1"/>
    </w:lvl>
  </w:abstractNum>
  <w:abstractNum w:abstractNumId="143">
    <w:nsid w:val="6EAA85FB"/>
    <w:multiLevelType w:val="hybridMultilevel"/>
    <w:lvl w:ilvl="0">
      <w:lvlJc w:val="left"/>
      <w:lvlText w:val="%1"/>
      <w:numFmt w:val="lowerLetter"/>
      <w:start w:val="1"/>
    </w:lvl>
    <w:lvl w:ilvl="1">
      <w:lvlJc w:val="left"/>
      <w:lvlText w:val="(%2)"/>
      <w:numFmt w:val="lowerLetter"/>
      <w:start w:val="4"/>
    </w:lvl>
  </w:abstractNum>
  <w:abstractNum w:abstractNumId="144">
    <w:nsid w:val="3F06ECB2"/>
    <w:multiLevelType w:val="hybridMultilevel"/>
    <w:lvl w:ilvl="0">
      <w:lvlJc w:val="left"/>
      <w:lvlText w:val="(%1)"/>
      <w:numFmt w:val="lowerLetter"/>
      <w:start w:val="9"/>
    </w:lvl>
    <w:lvl w:ilvl="1">
      <w:lvlJc w:val="left"/>
      <w:lvlText w:val="%2"/>
      <w:numFmt w:val="lowerLetter"/>
      <w:start w:val="1"/>
    </w:lvl>
  </w:abstractNum>
  <w:abstractNum w:abstractNumId="145">
    <w:nsid w:val="3B594807"/>
    <w:multiLevelType w:val="hybridMultilevel"/>
    <w:lvl w:ilvl="0">
      <w:lvlJc w:val="left"/>
      <w:lvlText w:val="(%1)"/>
      <w:numFmt w:val="lowerLetter"/>
      <w:start w:val="5"/>
    </w:lvl>
  </w:abstractNum>
  <w:abstractNum w:abstractNumId="146">
    <w:nsid w:val="6CAA2304"/>
    <w:multiLevelType w:val="hybridMultilevel"/>
    <w:lvl w:ilvl="0">
      <w:lvlJc w:val="left"/>
      <w:lvlText w:val="7"/>
      <w:numFmt w:val="bullet"/>
      <w:start w:val="1"/>
    </w:lvl>
  </w:abstractNum>
  <w:abstractNum w:abstractNumId="147">
    <w:nsid w:val="3F7C2FF4"/>
    <w:multiLevelType w:val="hybridMultilevel"/>
    <w:lvl w:ilvl="0">
      <w:lvlJc w:val="left"/>
      <w:lvlText w:val="%1"/>
      <w:numFmt w:val="upperLetter"/>
      <w:start w:val="1"/>
    </w:lvl>
    <w:lvl w:ilvl="1">
      <w:lvlJc w:val="left"/>
      <w:lvlText w:val="(%2)"/>
      <w:numFmt w:val="lowerLetter"/>
      <w:start w:val="6"/>
    </w:lvl>
  </w:abstractNum>
  <w:abstractNum w:abstractNumId="148">
    <w:nsid w:val="25413BEC"/>
    <w:multiLevelType w:val="hybridMultilevel"/>
    <w:lvl w:ilvl="0">
      <w:lvlJc w:val="left"/>
      <w:lvlText w:val="(%1)"/>
      <w:numFmt w:val="upperLetter"/>
      <w:start w:val="2"/>
    </w:lvl>
    <w:lvl w:ilvl="1">
      <w:lvlJc w:val="left"/>
      <w:lvlText w:val="%2"/>
      <w:numFmt w:val="lowerLetter"/>
      <w:start w:val="1"/>
    </w:lvl>
  </w:abstractNum>
  <w:abstractNum w:abstractNumId="149">
    <w:nsid w:val="17180B0B"/>
    <w:multiLevelType w:val="hybridMultilevel"/>
    <w:lvl w:ilvl="0">
      <w:lvlJc w:val="left"/>
      <w:lvlText w:val="8"/>
      <w:numFmt w:val="bullet"/>
      <w:start w:val="1"/>
    </w:lvl>
  </w:abstractNum>
  <w:abstractNum w:abstractNumId="150">
    <w:nsid w:val="579328B9"/>
    <w:multiLevelType w:val="hybridMultilevel"/>
    <w:lvl w:ilvl="0">
      <w:lvlJc w:val="left"/>
      <w:lvlText w:val="(%1)"/>
      <w:numFmt w:val="upperLetter"/>
      <w:start w:val="1"/>
    </w:lvl>
  </w:abstractNum>
  <w:abstractNum w:abstractNumId="151">
    <w:nsid w:val="5D205E20"/>
    <w:multiLevelType w:val="hybridMultilevel"/>
    <w:lvl w:ilvl="0">
      <w:lvlJc w:val="left"/>
      <w:lvlText w:val="(%1)"/>
      <w:numFmt w:val="lowerLetter"/>
      <w:start w:val="7"/>
    </w:lvl>
    <w:lvl w:ilvl="1">
      <w:lvlJc w:val="left"/>
      <w:lvlText w:val="(%2)"/>
      <w:numFmt w:val="lowerRoman"/>
      <w:start w:val="1"/>
    </w:lvl>
  </w:abstractNum>
  <w:abstractNum w:abstractNumId="152">
    <w:nsid w:val="11CCA8BA"/>
    <w:multiLevelType w:val="hybridMultilevel"/>
    <w:lvl w:ilvl="0">
      <w:lvlJc w:val="left"/>
      <w:lvlText w:val="9"/>
      <w:numFmt w:val="bullet"/>
      <w:start w:val="1"/>
    </w:lvl>
  </w:abstractNum>
  <w:abstractNum w:abstractNumId="153">
    <w:nsid w:val="4D32AB86"/>
    <w:multiLevelType w:val="hybridMultilevel"/>
    <w:lvl w:ilvl="0">
      <w:lvlJc w:val="left"/>
      <w:lvlText w:val="%1"/>
      <w:numFmt w:val="decimal"/>
      <w:start w:val="10"/>
    </w:lvl>
  </w:abstractNum>
  <w:abstractNum w:abstractNumId="154">
    <w:nsid w:val="3F07ACC3"/>
    <w:multiLevelType w:val="hybridMultilevel"/>
    <w:lvl w:ilvl="0">
      <w:lvlJc w:val="left"/>
      <w:lvlText w:val="(%1)"/>
      <w:numFmt w:val="lowerLetter"/>
      <w:start w:val="12"/>
    </w:lvl>
    <w:lvl w:ilvl="1">
      <w:lvlJc w:val="left"/>
      <w:lvlText w:val="(%2)"/>
      <w:numFmt w:val="lowerRoman"/>
      <w:start w:val="1"/>
    </w:lvl>
  </w:abstractNum>
  <w:abstractNum w:abstractNumId="155">
    <w:nsid w:val="6B47F63E"/>
    <w:multiLevelType w:val="hybridMultilevel"/>
    <w:lvl w:ilvl="0">
      <w:lvlJc w:val="left"/>
      <w:lvlText w:val="(%1)"/>
      <w:numFmt w:val="lowerLetter"/>
      <w:start w:val="35"/>
    </w:lvl>
    <w:lvl w:ilvl="1">
      <w:lvlJc w:val="left"/>
      <w:lvlText w:val="(%2)"/>
      <w:numFmt w:val="lowerRoman"/>
      <w:start w:val="3"/>
    </w:lvl>
  </w:abstractNum>
  <w:abstractNum w:abstractNumId="156">
    <w:nsid w:val="5CB44A05"/>
    <w:multiLevelType w:val="hybridMultilevel"/>
    <w:lvl w:ilvl="0">
      <w:lvlJc w:val="left"/>
      <w:lvlText w:val="%1"/>
      <w:numFmt w:val="lowerLetter"/>
      <w:start w:val="1"/>
    </w:lvl>
    <w:lvl w:ilvl="1">
      <w:lvlJc w:val="left"/>
      <w:lvlText w:val="(%2)"/>
      <w:numFmt w:val="lowerRoman"/>
      <w:start w:val="6"/>
    </w:lvl>
  </w:abstractNum>
  <w:abstractNum w:abstractNumId="157">
    <w:nsid w:val="16CF80F1"/>
    <w:multiLevelType w:val="hybridMultilevel"/>
    <w:lvl w:ilvl="0">
      <w:lvlJc w:val="left"/>
      <w:lvlText w:val="(%1)"/>
      <w:numFmt w:val="lowerLetter"/>
      <w:start w:val="14"/>
    </w:lvl>
    <w:lvl w:ilvl="1">
      <w:lvlJc w:val="left"/>
      <w:lvlText w:val="(%2)"/>
      <w:numFmt w:val="lowerRoman"/>
      <w:start w:val="1"/>
    </w:lvl>
  </w:abstractNum>
  <w:abstractNum w:abstractNumId="158">
    <w:nsid w:val="1C695DEC"/>
    <w:multiLevelType w:val="hybridMultilevel"/>
    <w:lvl w:ilvl="0">
      <w:lvlJc w:val="left"/>
      <w:lvlText w:val="(%1)"/>
      <w:numFmt w:val="lowerLetter"/>
      <w:start w:val="15"/>
    </w:lvl>
  </w:abstractNum>
  <w:abstractNum w:abstractNumId="159">
    <w:nsid w:val="3FCFAED9"/>
    <w:multiLevelType w:val="hybridMultilevel"/>
    <w:lvl w:ilvl="0">
      <w:lvlJc w:val="left"/>
      <w:lvlText w:val="(%1)"/>
      <w:numFmt w:val="lowerLetter"/>
      <w:start w:val="19"/>
    </w:lvl>
    <w:lvl w:ilvl="1">
      <w:lvlJc w:val="left"/>
      <w:lvlText w:val="(%2)"/>
      <w:numFmt w:val="lowerLetter"/>
      <w:start w:val="9"/>
    </w:lvl>
  </w:abstractNum>
  <w:abstractNum w:abstractNumId="160">
    <w:nsid w:val="F8568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61">
    <w:nsid w:val="11B1CC33"/>
    <w:multiLevelType w:val="hybridMultilevel"/>
    <w:lvl w:ilvl="0">
      <w:lvlJc w:val="left"/>
      <w:lvlText w:val="%1"/>
      <w:numFmt w:val="lowerLetter"/>
      <w:start w:val="1"/>
    </w:lvl>
    <w:lvl w:ilvl="1">
      <w:lvlJc w:val="left"/>
      <w:lvlText w:val="(%2)"/>
      <w:numFmt w:val="lowerLetter"/>
      <w:start w:val="21"/>
    </w:lvl>
    <w:lvl w:ilvl="2">
      <w:lvlJc w:val="left"/>
      <w:lvlText w:val="%3"/>
      <w:numFmt w:val="lowerLetter"/>
      <w:start w:val="1"/>
    </w:lvl>
  </w:abstractNum>
  <w:abstractNum w:abstractNumId="162">
    <w:nsid w:val="2E22FBB7"/>
    <w:multiLevelType w:val="hybridMultilevel"/>
    <w:lvl w:ilvl="0">
      <w:lvlJc w:val="left"/>
      <w:lvlText w:val="(%1)"/>
      <w:numFmt w:val="lowerLetter"/>
      <w:start w:val="35"/>
    </w:lvl>
    <w:lvl w:ilvl="1">
      <w:lvlJc w:val="left"/>
      <w:lvlText w:val="(%2)"/>
      <w:numFmt w:val="lowerLetter"/>
      <w:start w:val="22"/>
    </w:lvl>
    <w:lvl w:ilvl="2">
      <w:lvlJc w:val="left"/>
      <w:lvlText w:val="%3"/>
      <w:numFmt w:val="lowerLetter"/>
      <w:start w:val="1"/>
    </w:lvl>
  </w:abstractNum>
  <w:abstractNum w:abstractNumId="163">
    <w:nsid w:val="29934699"/>
    <w:multiLevelType w:val="hybridMultilevel"/>
    <w:lvl w:ilvl="0">
      <w:lvlJc w:val="left"/>
      <w:lvlText w:val="%1"/>
      <w:numFmt w:val="decimal"/>
      <w:start w:val="11"/>
    </w:lvl>
  </w:abstractNum>
  <w:abstractNum w:abstractNumId="164">
    <w:nsid w:val="77485850"/>
    <w:multiLevelType w:val="hybridMultilevel"/>
    <w:lvl w:ilvl="0">
      <w:lvlJc w:val="left"/>
      <w:lvlText w:val="(%1)"/>
      <w:numFmt w:val="lowerLetter"/>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2025-06-12T15:32:42Z</dcterms:created>
  <dcterms:modified xsi:type="dcterms:W3CDTF">2025-06-12T15:32:42Z</dcterms:modified>
</cp:coreProperties>
</file>