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0002056024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Raghavan Vaidyanathan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1866</w:t>
            </w:r>
          </w:p>
        </w:tc>
        <w:tc>
          <w:tcPr>
            <w:tcW w:w="1393" w:type="dxa"/>
            <w:tcBorders/>
            <w:vAlign w:val="center"/>
          </w:tcPr>
          <w:p>
            <w:pPr>
              <w:pStyle w:val="TableContents"/>
              <w:bidi w:val="0"/>
              <w:spacing w:before="0" w:after="283"/>
              <w:jc w:val="left"/>
              <w:rPr/>
            </w:pPr>
            <w:r>
              <w:rPr/>
              <w:t>195612.78</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10/02/2026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1866</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Vaidyanathan Raghavan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07/02/2026</w:t>
            </w:r>
          </w:p>
        </w:tc>
        <w:tc>
          <w:tcPr>
            <w:tcW w:w="1524" w:type="dxa"/>
            <w:tcBorders/>
            <w:vAlign w:val="center"/>
          </w:tcPr>
          <w:p>
            <w:pPr>
              <w:pStyle w:val="TableContents"/>
              <w:bidi w:val="0"/>
              <w:spacing w:before="0" w:after="283"/>
              <w:jc w:val="left"/>
              <w:rPr/>
            </w:pPr>
            <w:r>
              <w:rPr/>
              <w:t>1866</w:t>
            </w:r>
          </w:p>
        </w:tc>
        <w:tc>
          <w:tcPr>
            <w:tcW w:w="1714" w:type="dxa"/>
            <w:tcBorders/>
            <w:vAlign w:val="center"/>
          </w:tcPr>
          <w:p>
            <w:pPr>
              <w:pStyle w:val="TableContents"/>
              <w:bidi w:val="0"/>
              <w:spacing w:before="0" w:after="283"/>
              <w:jc w:val="left"/>
              <w:rPr/>
            </w:pPr>
            <w:r>
              <w:rPr/>
              <w:t>173937.70</w:t>
            </w:r>
          </w:p>
        </w:tc>
      </w:tr>
      <w:tr>
        <w:trPr/>
        <w:tc>
          <w:tcPr>
            <w:tcW w:w="3259" w:type="dxa"/>
            <w:tcBorders/>
            <w:vAlign w:val="center"/>
          </w:tcPr>
          <w:p>
            <w:pPr>
              <w:pStyle w:val="TableContents"/>
              <w:bidi w:val="0"/>
              <w:spacing w:before="0" w:after="283"/>
              <w:jc w:val="left"/>
              <w:rPr/>
            </w:pPr>
            <w:r>
              <w:rPr/>
              <w:t>Vaidyanathan Raghavan</w:t>
              <w:br/>
              <w:t>6116 EXECUTIVE BOULEVARD</w:t>
              <w:br/>
              <w:t>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08/27/2026</w:t>
            </w:r>
          </w:p>
        </w:tc>
        <w:tc>
          <w:tcPr>
            <w:tcW w:w="1524" w:type="dxa"/>
            <w:tcBorders/>
            <w:vAlign w:val="center"/>
          </w:tcPr>
          <w:p>
            <w:pPr>
              <w:pStyle w:val="TableContents"/>
              <w:bidi w:val="0"/>
              <w:spacing w:before="0" w:after="283"/>
              <w:jc w:val="left"/>
              <w:rPr/>
            </w:pPr>
            <w:r>
              <w:rPr/>
              <w:t>5000</w:t>
            </w:r>
          </w:p>
        </w:tc>
        <w:tc>
          <w:tcPr>
            <w:tcW w:w="1714" w:type="dxa"/>
            <w:tcBorders/>
            <w:vAlign w:val="center"/>
          </w:tcPr>
          <w:p>
            <w:pPr>
              <w:pStyle w:val="TableContents"/>
              <w:bidi w:val="0"/>
              <w:spacing w:before="0" w:after="283"/>
              <w:jc w:val="left"/>
              <w:rPr/>
            </w:pPr>
            <w:r>
              <w:rPr/>
              <w:t>481250.00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10/02/2026</w:t>
            </w:r>
          </w:p>
        </w:tc>
      </w:tr>
      <w:tr>
        <w:trPr/>
        <w:tc>
          <w:tcPr>
            <w:tcW w:w="4820" w:type="dxa"/>
            <w:tcBorders/>
            <w:vAlign w:val="center"/>
          </w:tcPr>
          <w:p>
            <w:pPr>
              <w:pStyle w:val="TableContents"/>
              <w:bidi w:val="0"/>
              <w:spacing w:before="0" w:after="283"/>
              <w:jc w:val="left"/>
              <w:rPr/>
            </w:pPr>
            <w:r>
              <w:rPr/>
              <w:t>Date of Plan Adoption or Giving of Instruction, If Relying on Rule 10b5-1</w:t>
            </w:r>
          </w:p>
        </w:tc>
        <w:tc>
          <w:tcPr>
            <w:tcW w:w="5385" w:type="dxa"/>
            <w:tcBorders/>
            <w:vAlign w:val="center"/>
          </w:tcPr>
          <w:p>
            <w:pPr>
              <w:pStyle w:val="TableContents"/>
              <w:bidi w:val="0"/>
              <w:spacing w:before="0" w:after="0"/>
              <w:jc w:val="left"/>
              <w:rPr/>
            </w:pPr>
            <w:r>
              <w:rPr/>
              <w:t>05/13/2025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UBS Financial Services Inc, as attorney-in-fact for Vaidyanathan Raghavan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3302</Characters>
  <CharactersWithSpaces>3886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