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CRONIN BILL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Revenue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MD</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jc w:val="center"/>
              <w:ind w:left="5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12/30/2021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16,922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53.27</w:t>
            </w:r>
            <w:r>
              <w:rPr>
                <w:rFonts w:ascii="Arial" w:cs="Arial" w:eastAsia="Arial" w:hAnsi="Arial"/>
                <w:sz w:val="22"/>
                <w:szCs w:val="22"/>
                <w:color w:val="008000"/>
                <w:w w:val="88"/>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156,207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12/31/2021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53.1</w:t>
            </w:r>
            <w:r>
              <w:rPr>
                <w:rFonts w:ascii="Arial" w:cs="Arial" w:eastAsia="Arial" w:hAnsi="Arial"/>
                <w:sz w:val="22"/>
                <w:szCs w:val="22"/>
                <w:color w:val="008000"/>
                <w:w w:val="89"/>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153,407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01/03/2022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4,378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53.07</w:t>
            </w:r>
            <w:r>
              <w:rPr>
                <w:rFonts w:ascii="Arial" w:cs="Arial" w:eastAsia="Arial" w:hAnsi="Arial"/>
                <w:sz w:val="22"/>
                <w:szCs w:val="22"/>
                <w:color w:val="008000"/>
                <w:w w:val="88"/>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149,029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14 days prior to the trading date.</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$53.96,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(3) and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$53.26,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$53.36, inclusive.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2022-01-03T15:34:19Z</dcterms:created>
  <dcterms:modified xsi:type="dcterms:W3CDTF">2022-01-03T15:34:19Z</dcterms:modified>
</cp:coreProperties>
</file>