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558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5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Rallo James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Xometry,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XMTR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11/30/2023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80" w:right="560" w:hanging="256"/>
        <w:spacing w:after="0" w:line="183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53,785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48,785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3.65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05/05/2030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256,177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-2197100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in this Form 4 was effected automatically pursuant to a Rule 10b5-1 trading plan adopted by the reporting person at least 90 days prior to the trading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sold in a transaction that was effected automatically pursuant to a Rule 10b5-1 trading plan adopted by the reporting person at least 90 days prior to the trading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quarter (1/4) of the shares vested on April 13, 2021, and thereafter, the remainder of the shares vest in 36 monthly installments, subject to the Reporting Person's continuous service.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Kristie Scott,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2659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2023-12-01T15:31:40Z</dcterms:created>
  <dcterms:modified xsi:type="dcterms:W3CDTF">2023-12-01T15:31:40Z</dcterms:modified>
</cp:coreProperties>
</file>