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jc w:val="left"/>
        <w:rPr/>
      </w:pPr>
      <w:bookmarkStart w:id="0" w:name="xmtr-20230620.htm"/>
      <w:bookmarkStart w:id="1" w:name="ksxmtr20230620"/>
      <w:bookmarkEnd w:id="0"/>
      <w:bookmarkEnd w:id="1"/>
      <w:r>
        <w:rPr/>
        <w:t> </w:t>
      </w:r>
    </w:p>
    <w:p>
      <w:pPr>
        <w:pStyle w:val="TextBody"/>
        <w:bidi w:val="0"/>
        <w:spacing w:before="115" w:after="0"/>
        <w:jc w:val="center"/>
        <w:rPr>
          <w:rFonts w:ascii="Times New Roman" w:hAnsi="Times New Roman"/>
          <w:sz w:val="20"/>
        </w:rPr>
      </w:pPr>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pBdr>
          <w:bottom w:val="single" w:sz="6" w:space="1" w:color="000000"/>
        </w:pBdr>
        <w:bidi w:val="0"/>
        <w:spacing w:before="0" w:after="0"/>
        <w:jc w:val="left"/>
        <w:rPr/>
      </w:pPr>
      <w:r>
        <w:rPr/>
        <w:t> </w:t>
      </w:r>
    </w:p>
    <w:p>
      <w:pPr>
        <w:pStyle w:val="TextBody"/>
        <w:bidi w:val="0"/>
        <w:spacing w:before="200" w:after="0"/>
        <w:jc w:val="center"/>
        <w:rPr>
          <w:rFonts w:ascii="Times New Roman;serif" w:hAnsi="Times New Roman;serif"/>
          <w:b/>
          <w:sz w:val="36"/>
        </w:rPr>
      </w:pPr>
      <w:r>
        <w:rPr>
          <w:rFonts w:ascii="Times New Roman;serif" w:hAnsi="Times New Roman;serif"/>
          <w:b/>
          <w:sz w:val="36"/>
        </w:rPr>
        <w:t>FORM 8-K</w:t>
      </w:r>
    </w:p>
    <w:p>
      <w:pPr>
        <w:pStyle w:val="TextBody"/>
        <w:pBdr>
          <w:bottom w:val="single" w:sz="6" w:space="1" w:color="000000"/>
        </w:pBdr>
        <w:bidi w:val="0"/>
        <w:spacing w:before="0" w:after="0"/>
        <w:jc w:val="left"/>
        <w:rPr/>
      </w:pPr>
      <w:r>
        <w:rPr/>
        <w:t> </w:t>
      </w:r>
    </w:p>
    <w:p>
      <w:pPr>
        <w:pStyle w:val="TextBody"/>
        <w:bidi w:val="0"/>
        <w:spacing w:before="180" w:after="0"/>
        <w:jc w:val="center"/>
        <w:rPr>
          <w:rFonts w:ascii="Times New Roman;serif" w:hAnsi="Times New Roman;serif"/>
          <w:b/>
          <w:sz w:val="24"/>
        </w:rPr>
      </w:pPr>
      <w:r>
        <w:rPr>
          <w:rFonts w:ascii="Times New Roman;serif" w:hAnsi="Times New Roman;serif"/>
          <w:b/>
          <w:sz w:val="24"/>
        </w:rPr>
        <w:t>CURRENT REPORT</w:t>
      </w:r>
    </w:p>
    <w:p>
      <w:pPr>
        <w:pStyle w:val="TextBody"/>
        <w:bidi w:val="0"/>
        <w:spacing w:before="180" w:after="120"/>
        <w:jc w:val="center"/>
        <w:rPr>
          <w:rFonts w:ascii="Times New Roman;serif" w:hAnsi="Times New Roman;serif"/>
          <w:b/>
          <w:sz w:val="24"/>
        </w:rPr>
      </w:pPr>
      <w:r>
        <w:rPr>
          <w:rFonts w:ascii="Times New Roman;serif" w:hAnsi="Times New Roman;serif"/>
          <w:b/>
          <w:sz w:val="24"/>
        </w:rPr>
        <w:t>Pursuant to Section 13 or 15(d) of the Securities Exchange Act of 1934</w:t>
      </w:r>
    </w:p>
    <w:tbl>
      <w:tblPr>
        <w:tblW w:w="5429" w:type="dxa"/>
        <w:jc w:val="left"/>
        <w:tblInd w:w="0" w:type="dxa"/>
        <w:tblLayout w:type="fixed"/>
        <w:tblCellMar>
          <w:top w:w="28" w:type="dxa"/>
          <w:left w:w="28" w:type="dxa"/>
          <w:bottom w:w="28" w:type="dxa"/>
          <w:right w:w="28" w:type="dxa"/>
        </w:tblCellMar>
      </w:tblPr>
      <w:tblGrid>
        <w:gridCol w:w="5429"/>
      </w:tblGrid>
      <w:tr>
        <w:trPr/>
        <w:tc>
          <w:tcPr>
            <w:tcW w:w="5429" w:type="dxa"/>
            <w:tcBorders/>
            <w:vAlign w:val="center"/>
          </w:tcPr>
          <w:p>
            <w:pPr>
              <w:pStyle w:val="TableContents"/>
              <w:bidi w:val="0"/>
              <w:spacing w:before="0" w:after="283"/>
              <w:jc w:val="left"/>
              <w:rPr>
                <w:sz w:val="4"/>
                <w:szCs w:val="4"/>
              </w:rPr>
            </w:pPr>
            <w:r>
              <w:rPr>
                <w:sz w:val="4"/>
                <w:szCs w:val="4"/>
              </w:rPr>
            </w:r>
          </w:p>
        </w:tc>
      </w:tr>
      <w:tr>
        <w:trPr/>
        <w:tc>
          <w:tcPr>
            <w:tcW w:w="542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serif" w:hAnsi="Times New Roman;serif"/>
                <w:b/>
                <w:sz w:val="20"/>
              </w:rPr>
            </w:pPr>
            <w:r>
              <w:rPr>
                <w:rFonts w:ascii="Times New Roman;serif" w:hAnsi="Times New Roman;serif"/>
                <w:b/>
                <w:sz w:val="20"/>
              </w:rPr>
              <w:t>Date of Report (Date of earliest event reported): June 20, 2023</w:t>
            </w:r>
          </w:p>
        </w:tc>
      </w:tr>
    </w:tbl>
    <w:p>
      <w:pPr>
        <w:pStyle w:val="TextBody"/>
        <w:pBdr>
          <w:bottom w:val="single" w:sz="6" w:space="1" w:color="000000"/>
        </w:pBdr>
        <w:bidi w:val="0"/>
        <w:spacing w:before="100" w:after="0"/>
        <w:jc w:val="left"/>
        <w:rPr/>
      </w:pPr>
      <w:r>
        <w:rPr/>
        <w:t> </w:t>
      </w:r>
    </w:p>
    <w:p>
      <w:pPr>
        <w:pStyle w:val="TextBody"/>
        <w:bidi w:val="0"/>
        <w:spacing w:before="0" w:after="0"/>
        <w:jc w:val="left"/>
        <w:rPr/>
      </w:pPr>
      <w:r>
        <w:rPr/>
        <w:t> </w:t>
      </w:r>
    </w:p>
    <w:p>
      <w:pPr>
        <w:pStyle w:val="TextBody"/>
        <w:bidi w:val="0"/>
        <w:spacing w:before="100" w:after="0"/>
        <w:jc w:val="center"/>
        <w:rPr>
          <w:rFonts w:ascii="Times New Roman;serif" w:hAnsi="Times New Roman;serif"/>
          <w:b/>
          <w:sz w:val="48"/>
        </w:rPr>
      </w:pPr>
      <w:r>
        <w:rPr>
          <w:rFonts w:ascii="Times New Roman;serif" w:hAnsi="Times New Roman;serif"/>
          <w:b/>
          <w:sz w:val="48"/>
        </w:rPr>
        <w:t>Xometry, Inc.</w:t>
      </w:r>
    </w:p>
    <w:p>
      <w:pPr>
        <w:pStyle w:val="TextBody"/>
        <w:bidi w:val="0"/>
        <w:spacing w:before="60" w:after="0"/>
        <w:jc w:val="center"/>
        <w:rPr>
          <w:rFonts w:ascii="Times New Roman;serif" w:hAnsi="Times New Roman;serif"/>
          <w:b/>
          <w:sz w:val="15"/>
        </w:rPr>
      </w:pPr>
      <w:r>
        <w:rPr>
          <w:rFonts w:ascii="Times New Roman;serif" w:hAnsi="Times New Roman;serif"/>
          <w:b/>
          <w:sz w:val="15"/>
        </w:rPr>
        <w:t>(Exact Name of Registrant as Specified in Its Charter)</w:t>
      </w:r>
    </w:p>
    <w:p>
      <w:pPr>
        <w:pStyle w:val="TextBody"/>
        <w:pBdr>
          <w:bottom w:val="single" w:sz="6" w:space="1" w:color="000000"/>
        </w:pBdr>
        <w:bidi w:val="0"/>
        <w:spacing w:before="180" w:after="0"/>
        <w:jc w:val="left"/>
        <w:rPr/>
      </w:pPr>
      <w:r>
        <w:rPr/>
        <w:t> </w:t>
      </w:r>
    </w:p>
    <w:p>
      <w:pPr>
        <w:pStyle w:val="TextBody"/>
        <w:bidi w:val="0"/>
        <w:spacing w:before="0" w:after="0"/>
        <w:jc w:val="left"/>
        <w:rPr/>
      </w:pPr>
      <w:r>
        <w:rPr/>
        <w:t> </w:t>
      </w:r>
    </w:p>
    <w:tbl>
      <w:tblPr>
        <w:tblW w:w="5926" w:type="dxa"/>
        <w:jc w:val="left"/>
        <w:tblInd w:w="0" w:type="dxa"/>
        <w:tblLayout w:type="fixed"/>
        <w:tblCellMar>
          <w:top w:w="28" w:type="dxa"/>
          <w:left w:w="28" w:type="dxa"/>
          <w:bottom w:w="28" w:type="dxa"/>
          <w:right w:w="28" w:type="dxa"/>
        </w:tblCellMar>
      </w:tblPr>
      <w:tblGrid>
        <w:gridCol w:w="970"/>
        <w:gridCol w:w="885"/>
        <w:gridCol w:w="889"/>
        <w:gridCol w:w="1846"/>
        <w:gridCol w:w="1336"/>
      </w:tblGrid>
      <w:tr>
        <w:trPr/>
        <w:tc>
          <w:tcPr>
            <w:tcW w:w="97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001-40546</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32-0415449</w:t>
            </w:r>
          </w:p>
        </w:tc>
      </w:tr>
      <w:tr>
        <w:trPr/>
        <w:tc>
          <w:tcPr>
            <w:tcW w:w="274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97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85"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8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6116 Executive Blvd, Suite 800</w:t>
            </w:r>
          </w:p>
        </w:tc>
        <w:tc>
          <w:tcPr>
            <w:tcW w:w="3182" w:type="dxa"/>
            <w:gridSpan w:val="2"/>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North Bethesda, Maryland</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20852</w:t>
            </w:r>
          </w:p>
        </w:tc>
      </w:tr>
      <w:tr>
        <w:trPr/>
        <w:tc>
          <w:tcPr>
            <w:tcW w:w="274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(Zip Code)</w:t>
            </w:r>
          </w:p>
        </w:tc>
      </w:tr>
    </w:tbl>
    <w:p>
      <w:pPr>
        <w:pStyle w:val="TextBody"/>
        <w:bidi w:val="0"/>
        <w:spacing w:before="0" w:after="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r>
              <w:rPr>
                <w:rFonts w:ascii="Times New Roman;serif" w:hAnsi="Times New Roman;serif"/>
                <w:b/>
                <w:sz w:val="20"/>
              </w:rPr>
              <w:t>(240)</w:t>
            </w:r>
            <w:r>
              <w:rPr>
                <w:rFonts w:ascii="Times New Roman" w:hAnsi="Times New Roman"/>
                <w:sz w:val="20"/>
              </w:rPr>
              <w:t xml:space="preserve"> </w:t>
            </w:r>
            <w:r>
              <w:rPr>
                <w:rFonts w:ascii="Times New Roman;serif" w:hAnsi="Times New Roman;serif"/>
                <w:b/>
                <w:sz w:val="20"/>
              </w:rPr>
              <w:t>252-1138</w:t>
            </w:r>
          </w:p>
        </w:tc>
      </w:tr>
    </w:tbl>
    <w:p>
      <w:pPr>
        <w:pStyle w:val="TextBody"/>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Not applicable</w:t>
            </w:r>
          </w:p>
        </w:tc>
      </w:tr>
    </w:tbl>
    <w:p>
      <w:pPr>
        <w:pStyle w:val="TextBody"/>
        <w:bidi w:val="0"/>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pBdr>
          <w:bottom w:val="single" w:sz="6" w:space="1" w:color="000000"/>
        </w:pBdr>
        <w:bidi w:val="0"/>
        <w:spacing w:before="187" w:after="0"/>
        <w:jc w:val="left"/>
        <w:rPr/>
      </w:pPr>
      <w:r>
        <w:rPr/>
        <w:t> </w:t>
      </w:r>
    </w:p>
    <w:p>
      <w:pPr>
        <w:pStyle w:val="TextBody"/>
        <w:bidi w:val="0"/>
        <w:spacing w:before="187"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bidi w:val="0"/>
        <w:spacing w:before="180" w:after="0"/>
        <w:ind w:left="0" w:right="0" w:hanging="490"/>
        <w:jc w:val="left"/>
        <w:rPr/>
      </w:pPr>
      <w:r>
        <w:rPr/>
        <w:t>☐</w:t>
      </w:r>
      <w:r>
        <w:rPr>
          <w:rFonts w:ascii="Times New Roman;serif" w:hAnsi="Times New Roman;serif"/>
          <w:b w:val="false"/>
          <w:sz w:val="20"/>
        </w:rPr>
        <w:t>Written communications pursuant to Rule 425 under the Securities Act (17 CFR 230.425)</w:t>
      </w:r>
    </w:p>
    <w:p>
      <w:pPr>
        <w:pStyle w:val="TextBody"/>
        <w:bidi w:val="0"/>
        <w:spacing w:before="120" w:after="0"/>
        <w:ind w:left="0" w:right="0" w:hanging="490"/>
        <w:jc w:val="left"/>
        <w:rPr/>
      </w:pPr>
      <w:r>
        <w:rPr/>
        <w:t>☐</w:t>
      </w:r>
      <w:r>
        <w:rPr>
          <w:rFonts w:ascii="Times New Roman;serif" w:hAnsi="Times New Roman;serif"/>
          <w:b w:val="false"/>
          <w:sz w:val="20"/>
        </w:rPr>
        <w:t>Soliciting material pursuant to Rule 14a-12 under the Exchange Act (17 CFR 240.14a-12)</w:t>
      </w:r>
    </w:p>
    <w:p>
      <w:pPr>
        <w:pStyle w:val="TextBody"/>
        <w:bidi w:val="0"/>
        <w:spacing w:before="120" w:after="0"/>
        <w:ind w:left="0" w:right="0" w:hanging="490"/>
        <w:jc w:val="left"/>
        <w:rPr/>
      </w:pPr>
      <w:r>
        <w:rPr/>
        <w:t>☐</w:t>
      </w:r>
      <w:r>
        <w:rPr>
          <w:rFonts w:ascii="Times New Roman;serif" w:hAnsi="Times New Roman;serif"/>
          <w:b w:val="false"/>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serif" w:hAnsi="Times New Roman;serif"/>
          <w:b w:val="false"/>
          <w:sz w:val="20"/>
        </w:rPr>
        <w:t>Pre-commencement communications pursuant to Rule 13e-4(c) under the Exchange Act (17 CFR 240.13e-4(c))</w:t>
      </w:r>
    </w:p>
    <w:p>
      <w:pPr>
        <w:pStyle w:val="TextBody"/>
        <w:bidi w:val="0"/>
        <w:spacing w:before="180" w:after="180"/>
        <w:jc w:val="center"/>
        <w:rPr>
          <w:rFonts w:ascii="Times New Roman;serif" w:hAnsi="Times New Roman;serif"/>
          <w:b/>
          <w:sz w:val="20"/>
        </w:rPr>
      </w:pPr>
      <w:r>
        <w:rPr>
          <w:rFonts w:ascii="Times New Roman;serif" w:hAnsi="Times New Roman;serif"/>
          <w:b/>
          <w:sz w:val="20"/>
        </w:rPr>
        <w:t>Securities registered pursuant to Section 12(b) of the Act:</w:t>
      </w:r>
    </w:p>
    <w:tbl>
      <w:tblPr>
        <w:tblW w:w="9565" w:type="dxa"/>
        <w:jc w:val="left"/>
        <w:tblInd w:w="0" w:type="dxa"/>
        <w:tblLayout w:type="fixed"/>
        <w:tblCellMar>
          <w:top w:w="28" w:type="dxa"/>
          <w:left w:w="28" w:type="dxa"/>
          <w:bottom w:w="28" w:type="dxa"/>
          <w:right w:w="28" w:type="dxa"/>
        </w:tblCellMar>
      </w:tblPr>
      <w:tblGrid>
        <w:gridCol w:w="4501"/>
        <w:gridCol w:w="146"/>
        <w:gridCol w:w="946"/>
        <w:gridCol w:w="146"/>
        <w:gridCol w:w="382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50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Title of each class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Trading</w:t>
              <w:br/>
              <w:t>Symbol(s)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Name of each exchange on which registered</w:t>
            </w:r>
          </w:p>
        </w:tc>
      </w:tr>
      <w:tr>
        <w:trPr/>
        <w:tc>
          <w:tcPr>
            <w:tcW w:w="45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Class A common stock, par value $0.000001 per share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XMTR</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Nasdaq Global Select Market</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Item 5.07. Submission of Matters to a Vote of Security Holders.</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Xometry, Inc. (the “Company”) held its 2023 Annual Meeting of Stockholders on June 20, 2023 (the “Meeting”). At the Meeting, the Company’s stockholders voted on the four proposals set forth below. A detailed description of each proposal is set forth in the Company’s 2023 Proxy Statement filed with the U.S. Securities and Exchange Commission on April 28, 2023 (the “Proxy Statement”).</w:t>
      </w:r>
    </w:p>
    <w:p>
      <w:pPr>
        <w:pStyle w:val="TextBody"/>
        <w:bidi w:val="0"/>
        <w:spacing w:before="0" w:after="0"/>
        <w:jc w:val="both"/>
        <w:rPr>
          <w:rFonts w:ascii="Times New Roman" w:hAnsi="Times New Roman"/>
          <w:sz w:val="20"/>
        </w:rPr>
      </w:pPr>
      <w:r>
        <w:rPr>
          <w:rFonts w:ascii="Times New Roman;serif" w:hAnsi="Times New Roman;serif"/>
          <w:b w:val="false"/>
          <w:sz w:val="20"/>
        </w:rPr>
        <w:t>At the Meeting, the Company’s stockholders elected the three persons nominated by the Company’s board of directors (the “Board”), each to serve as a Class II director until the Company’s 2026 Annual Meeting of Stockholders and until the director’s successor is duly elected and qualified, or, if sooner, until the director’s death, resignation or removal. The Company’s stockholders also (1) approved, on an advisory basis, the compensation of the Company’s named executive officers as disclosed in the Proxy Statement, (2) approved, on an advisory basis, every one year as the frequency of future non-binding votes to approve the compensation of the Company’s named executive officers, and (3) ratified the selection of KPMG LLP</w:t>
      </w:r>
      <w:r>
        <w:rPr>
          <w:rFonts w:ascii="Times New Roman" w:hAnsi="Times New Roman"/>
          <w:sz w:val="20"/>
        </w:rPr>
        <w:t xml:space="preserve"> </w:t>
      </w:r>
      <w:r>
        <w:rPr>
          <w:rFonts w:ascii="Times New Roman;serif" w:hAnsi="Times New Roman;serif"/>
          <w:b w:val="false"/>
          <w:sz w:val="20"/>
        </w:rPr>
        <w:t>as the Company’s independent registered public accounting firm for the fiscal year ending December 31, 2023. Based on the results of the stockholder vote on the frequency of future non-binding advisory votes to approve the compensation of the Company’s named executive officers, and consistent with the Board’s recommendation, the Company has determined to hold an advisory vote to approve the compensation of its named executive officers on an annual basis until the next required advisory vote on the frequency of holding future votes regarding the compensation of the Company's named executive officers.</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serif" w:hAnsi="Times New Roman;serif"/>
          <w:b w:val="false"/>
          <w:sz w:val="20"/>
        </w:rPr>
        <w:t>The final voting results for each of the proposals are set forth below.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Proposal 1. Election of Directors.</w:t>
      </w:r>
    </w:p>
    <w:p>
      <w:pPr>
        <w:pStyle w:val="TextBody"/>
        <w:bidi w:val="0"/>
        <w:spacing w:before="0" w:after="0"/>
        <w:jc w:val="left"/>
        <w:rPr/>
      </w:pPr>
      <w:r>
        <w:rPr/>
        <w:t> </w:t>
      </w:r>
    </w:p>
    <w:tbl>
      <w:tblPr>
        <w:tblW w:w="6676" w:type="dxa"/>
        <w:jc w:val="left"/>
        <w:tblInd w:w="0" w:type="dxa"/>
        <w:tblLayout w:type="fixed"/>
        <w:tblCellMar>
          <w:top w:w="28" w:type="dxa"/>
          <w:left w:w="28" w:type="dxa"/>
          <w:bottom w:w="28" w:type="dxa"/>
          <w:right w:w="28" w:type="dxa"/>
        </w:tblCellMar>
      </w:tblPr>
      <w:tblGrid>
        <w:gridCol w:w="1861"/>
        <w:gridCol w:w="146"/>
        <w:gridCol w:w="146"/>
        <w:gridCol w:w="1036"/>
        <w:gridCol w:w="146"/>
        <w:gridCol w:w="146"/>
        <w:gridCol w:w="146"/>
        <w:gridCol w:w="931"/>
        <w:gridCol w:w="146"/>
        <w:gridCol w:w="146"/>
        <w:gridCol w:w="221"/>
        <w:gridCol w:w="1414"/>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Withheld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Broker Non-Votes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35"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George Hornig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88,547,217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2,136,857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1" w:type="dxa"/>
            <w:tcBorders/>
            <w:vAlign w:val="center"/>
          </w:tcPr>
          <w:p>
            <w:pPr>
              <w:pStyle w:val="TableContents"/>
              <w:bidi w:val="0"/>
              <w:spacing w:before="0" w:after="0"/>
              <w:ind w:left="0" w:right="0" w:hanging="0"/>
              <w:jc w:val="left"/>
              <w:rPr/>
            </w:pPr>
            <w:r>
              <w:rPr/>
              <w:t> </w:t>
            </w:r>
          </w:p>
        </w:tc>
        <w:tc>
          <w:tcPr>
            <w:tcW w:w="14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4,318,988</w:t>
            </w:r>
          </w:p>
        </w:tc>
        <w:tc>
          <w:tcPr>
            <w:tcW w:w="191" w:type="dxa"/>
            <w:tcBorders/>
            <w:vAlign w:val="center"/>
          </w:tcPr>
          <w:p>
            <w:pPr>
              <w:pStyle w:val="TableContents"/>
              <w:bidi w:val="0"/>
              <w:spacing w:before="0" w:after="0"/>
              <w:ind w:left="0" w:right="0" w:hanging="0"/>
              <w:jc w:val="left"/>
              <w:rPr/>
            </w:pPr>
            <w:r>
              <w:rPr/>
              <w:t> </w:t>
            </w:r>
          </w:p>
        </w:tc>
      </w:tr>
      <w:tr>
        <w:trPr/>
        <w:tc>
          <w:tcPr>
            <w:tcW w:w="18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Fabio Rosati</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83,569,546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7,114,528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1" w:type="dxa"/>
            <w:tcBorders/>
            <w:vAlign w:val="center"/>
          </w:tcPr>
          <w:p>
            <w:pPr>
              <w:pStyle w:val="TableContents"/>
              <w:bidi w:val="0"/>
              <w:spacing w:before="0" w:after="0"/>
              <w:ind w:left="0" w:right="0" w:hanging="0"/>
              <w:jc w:val="left"/>
              <w:rPr/>
            </w:pPr>
            <w:r>
              <w:rPr/>
              <w:t> </w:t>
            </w:r>
          </w:p>
        </w:tc>
        <w:tc>
          <w:tcPr>
            <w:tcW w:w="14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4,318,988</w:t>
            </w:r>
          </w:p>
        </w:tc>
        <w:tc>
          <w:tcPr>
            <w:tcW w:w="191" w:type="dxa"/>
            <w:tcBorders/>
            <w:vAlign w:val="center"/>
          </w:tcPr>
          <w:p>
            <w:pPr>
              <w:pStyle w:val="TableContents"/>
              <w:bidi w:val="0"/>
              <w:spacing w:before="0" w:after="0"/>
              <w:ind w:left="0" w:right="0" w:hanging="0"/>
              <w:jc w:val="left"/>
              <w:rPr/>
            </w:pPr>
            <w:r>
              <w:rPr/>
              <w:t> </w:t>
            </w:r>
          </w:p>
        </w:tc>
      </w:tr>
      <w:tr>
        <w:trPr/>
        <w:tc>
          <w:tcPr>
            <w:tcW w:w="18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Katharine Weymouth</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82,830,057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7,854,017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1" w:type="dxa"/>
            <w:tcBorders/>
            <w:vAlign w:val="center"/>
          </w:tcPr>
          <w:p>
            <w:pPr>
              <w:pStyle w:val="TableContents"/>
              <w:bidi w:val="0"/>
              <w:spacing w:before="0" w:after="0"/>
              <w:ind w:left="0" w:right="0" w:hanging="0"/>
              <w:jc w:val="left"/>
              <w:rPr/>
            </w:pPr>
            <w:r>
              <w:rPr/>
              <w:t> </w:t>
            </w:r>
          </w:p>
        </w:tc>
        <w:tc>
          <w:tcPr>
            <w:tcW w:w="14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4,318,988</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Proposal 2. Approval, on an Advisory Basis, of the Compensation of the Company’s Named Executive Officers.</w:t>
      </w:r>
    </w:p>
    <w:p>
      <w:pPr>
        <w:pStyle w:val="TextBody"/>
        <w:bidi w:val="0"/>
        <w:spacing w:before="0" w:after="0"/>
        <w:jc w:val="left"/>
        <w:rPr/>
      </w:pPr>
      <w:r>
        <w:rPr/>
        <w:t> </w:t>
      </w:r>
    </w:p>
    <w:tbl>
      <w:tblPr>
        <w:tblW w:w="5753" w:type="dxa"/>
        <w:jc w:val="left"/>
        <w:tblInd w:w="0" w:type="dxa"/>
        <w:tblLayout w:type="fixed"/>
        <w:tblCellMar>
          <w:top w:w="28" w:type="dxa"/>
          <w:left w:w="28" w:type="dxa"/>
          <w:bottom w:w="28" w:type="dxa"/>
          <w:right w:w="28" w:type="dxa"/>
        </w:tblCellMar>
      </w:tblPr>
      <w:tblGrid>
        <w:gridCol w:w="161"/>
        <w:gridCol w:w="1036"/>
        <w:gridCol w:w="146"/>
        <w:gridCol w:w="146"/>
        <w:gridCol w:w="146"/>
        <w:gridCol w:w="781"/>
        <w:gridCol w:w="146"/>
        <w:gridCol w:w="146"/>
        <w:gridCol w:w="146"/>
        <w:gridCol w:w="781"/>
        <w:gridCol w:w="146"/>
        <w:gridCol w:w="146"/>
        <w:gridCol w:w="221"/>
        <w:gridCol w:w="1414"/>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Abstain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Broker Non-Votes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35"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90,394,715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173,214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116,145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1" w:type="dxa"/>
            <w:tcBorders/>
            <w:vAlign w:val="center"/>
          </w:tcPr>
          <w:p>
            <w:pPr>
              <w:pStyle w:val="TableContents"/>
              <w:bidi w:val="0"/>
              <w:spacing w:before="0" w:after="0"/>
              <w:ind w:left="0" w:right="0" w:hanging="0"/>
              <w:jc w:val="left"/>
              <w:rPr/>
            </w:pPr>
            <w:r>
              <w:rPr/>
              <w:t> </w:t>
            </w:r>
          </w:p>
        </w:tc>
        <w:tc>
          <w:tcPr>
            <w:tcW w:w="14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4,318,988</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Proposal 3. Approval, on an Advisory Basis, of the Frequency of Future Non-Binding Advisory Votes to Approve the Compensation of the Company's Named Executive Officers.</w:t>
      </w:r>
    </w:p>
    <w:p>
      <w:pPr>
        <w:pStyle w:val="TextBody"/>
        <w:bidi w:val="0"/>
        <w:spacing w:before="0" w:after="0"/>
        <w:jc w:val="left"/>
        <w:rPr/>
      </w:pPr>
      <w:r>
        <w:rPr/>
        <w:t> </w:t>
      </w:r>
    </w:p>
    <w:tbl>
      <w:tblPr>
        <w:tblW w:w="7117" w:type="dxa"/>
        <w:jc w:val="left"/>
        <w:tblInd w:w="0" w:type="dxa"/>
        <w:tblLayout w:type="fixed"/>
        <w:tblCellMar>
          <w:top w:w="28" w:type="dxa"/>
          <w:left w:w="28" w:type="dxa"/>
          <w:bottom w:w="28" w:type="dxa"/>
          <w:right w:w="28" w:type="dxa"/>
        </w:tblCellMar>
      </w:tblPr>
      <w:tblGrid>
        <w:gridCol w:w="161"/>
        <w:gridCol w:w="1036"/>
        <w:gridCol w:w="146"/>
        <w:gridCol w:w="146"/>
        <w:gridCol w:w="181"/>
        <w:gridCol w:w="839"/>
        <w:gridCol w:w="146"/>
        <w:gridCol w:w="146"/>
        <w:gridCol w:w="182"/>
        <w:gridCol w:w="973"/>
        <w:gridCol w:w="146"/>
        <w:gridCol w:w="146"/>
        <w:gridCol w:w="152"/>
        <w:gridCol w:w="599"/>
        <w:gridCol w:w="146"/>
        <w:gridCol w:w="146"/>
        <w:gridCol w:w="221"/>
        <w:gridCol w:w="1414"/>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One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Two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Abstain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Broker Non-Votes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35"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90,255,483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1"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2"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407,751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1" w:type="dxa"/>
            <w:tcBorders/>
            <w:vAlign w:val="center"/>
          </w:tcPr>
          <w:p>
            <w:pPr>
              <w:pStyle w:val="TableContents"/>
              <w:bidi w:val="0"/>
              <w:spacing w:before="0" w:after="0"/>
              <w:ind w:left="0" w:right="0" w:hanging="0"/>
              <w:jc w:val="left"/>
              <w:rPr/>
            </w:pPr>
            <w:r>
              <w:rPr/>
              <w:t> </w:t>
            </w:r>
          </w:p>
        </w:tc>
        <w:tc>
          <w:tcPr>
            <w:tcW w:w="14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4,318,988</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Proposal 4. Ratification of the selection of KPMG LLP as the Company’s independent registered public accounting firm for the fiscal year ending December 31, 2023.</w:t>
      </w:r>
    </w:p>
    <w:p>
      <w:pPr>
        <w:pStyle w:val="TextBody"/>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161"/>
        <w:gridCol w:w="1036"/>
        <w:gridCol w:w="146"/>
        <w:gridCol w:w="146"/>
        <w:gridCol w:w="146"/>
        <w:gridCol w:w="676"/>
        <w:gridCol w:w="146"/>
        <w:gridCol w:w="146"/>
        <w:gridCol w:w="146"/>
        <w:gridCol w:w="6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Abstain</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2"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94,933,000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12,069</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360" w:after="12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serif" w:hAnsi="Times New Roman;serif"/>
          <w:b/>
          <w:sz w:val="20"/>
        </w:rPr>
      </w:pPr>
      <w:r>
        <w:rPr>
          <w:rFonts w:ascii="Times New Roman;serif" w:hAnsi="Times New Roman;serif"/>
          <w:b/>
          <w:sz w:val="20"/>
        </w:rPr>
        <w:t>SIGNATURES</w:t>
      </w:r>
    </w:p>
    <w:p>
      <w:pPr>
        <w:pStyle w:val="TextBody"/>
        <w:bidi w:val="0"/>
        <w:spacing w:before="0" w:after="187"/>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tbl>
      <w:tblPr>
        <w:tblW w:w="4339" w:type="dxa"/>
        <w:jc w:val="left"/>
        <w:tblInd w:w="0" w:type="dxa"/>
        <w:tblLayout w:type="fixed"/>
        <w:tblCellMar>
          <w:top w:w="28" w:type="dxa"/>
          <w:left w:w="28" w:type="dxa"/>
          <w:bottom w:w="28" w:type="dxa"/>
          <w:right w:w="28" w:type="dxa"/>
        </w:tblCellMar>
      </w:tblPr>
      <w:tblGrid>
        <w:gridCol w:w="556"/>
        <w:gridCol w:w="1246"/>
        <w:gridCol w:w="451"/>
        <w:gridCol w:w="208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86" w:type="dxa"/>
            <w:tcBorders/>
            <w:tcMar>
              <w:top w:w="0" w:type="dxa"/>
              <w:left w:w="0" w:type="dxa"/>
              <w:bottom w:w="0" w:type="dxa"/>
              <w:right w:w="0" w:type="dxa"/>
            </w:tcMar>
            <w:vAlign w:val="center"/>
          </w:tcPr>
          <w:p>
            <w:pPr>
              <w:pStyle w:val="TableContents"/>
              <w:bidi w:val="0"/>
              <w:spacing w:before="86" w:after="86"/>
              <w:ind w:left="0" w:right="0" w:hanging="0"/>
              <w:jc w:val="center"/>
              <w:rPr>
                <w:rFonts w:ascii="Times New Roman" w:hAnsi="Times New Roman"/>
                <w:sz w:val="20"/>
              </w:rPr>
            </w:pPr>
            <w:r>
              <w:rPr>
                <w:rFonts w:ascii="Times New Roman;serif" w:hAnsi="Times New Roman;serif"/>
                <w:b/>
                <w:sz w:val="20"/>
              </w:rPr>
              <w:t>XOMETRY, INC.</w:t>
            </w:r>
            <w:r>
              <w:rPr>
                <w:rFonts w:ascii="Times New Roman" w:hAnsi="Times New Roman"/>
                <w:sz w:val="20"/>
              </w:rPr>
              <w:t xml:space="preserve"> </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24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June 21, 2023</w:t>
            </w:r>
          </w:p>
        </w:tc>
        <w:tc>
          <w:tcPr>
            <w:tcW w:w="451"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2086" w:type="dxa"/>
            <w:tcBorders>
              <w:bottom w:val="single" w:sz="2" w:space="0" w:color="000000"/>
            </w:tcBorders>
            <w:tcMar>
              <w:top w:w="0" w:type="dxa"/>
              <w:left w:w="0" w:type="dxa"/>
              <w:right w:w="0" w:type="dxa"/>
            </w:tcMar>
            <w:vAlign w:val="center"/>
          </w:tcPr>
          <w:p>
            <w:pPr>
              <w:pStyle w:val="TableContents"/>
              <w:bidi w:val="0"/>
              <w:spacing w:before="86"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/s/ Randolph Altschuler</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86" w:type="dxa"/>
            <w:tcBorders/>
            <w:tcMar>
              <w:top w:w="0" w:type="dxa"/>
              <w:left w:w="0" w:type="dxa"/>
              <w:bottom w:w="0" w:type="dxa"/>
              <w:right w:w="0" w:type="dxa"/>
            </w:tcMar>
            <w:vAlign w:val="center"/>
          </w:tcPr>
          <w:p>
            <w:pPr>
              <w:pStyle w:val="TableContents"/>
              <w:bidi w:val="0"/>
              <w:spacing w:before="14" w:after="187"/>
              <w:ind w:left="0" w:right="0" w:hanging="0"/>
              <w:jc w:val="left"/>
              <w:rPr>
                <w:rFonts w:ascii="Times New Roman;serif" w:hAnsi="Times New Roman;serif"/>
                <w:b w:val="false"/>
                <w:sz w:val="20"/>
              </w:rPr>
            </w:pPr>
            <w:r>
              <w:rPr>
                <w:rFonts w:ascii="Times New Roman;serif" w:hAnsi="Times New Roman;serif"/>
                <w:b w:val="false"/>
                <w:sz w:val="20"/>
              </w:rPr>
              <w:t>Randolph Altschuler</w:t>
              <w:br/>
              <w:t>Chief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759</Words>
  <Characters>4261</Characters>
  <CharactersWithSpaces>5111</CharactersWithSpaces>
  <Paragraphs>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