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09394d8k.htm"/>
      <w:bookmarkStart w:id="1" w:name="ksd9093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27,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Xometry,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001-40546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32-0415449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6116 Executive Blvd, Suite 800</w:t>
            </w:r>
          </w:p>
          <w:p>
            <w:pPr>
              <w:pStyle w:val="TableContents"/>
              <w:bidi w:val="0"/>
              <w:spacing w:before="0" w:after="20"/>
              <w:jc w:val="center"/>
              <w:rPr>
                <w:rFonts w:ascii="Times New Roman" w:hAnsi="Times New Roman"/>
                <w:b/>
                <w:sz w:val="20"/>
              </w:rPr>
            </w:pPr>
            <w:r>
              <w:rPr>
                <w:rFonts w:ascii="Times New Roman" w:hAnsi="Times New Roman"/>
                <w:b/>
                <w:sz w:val="20"/>
              </w:rPr>
              <w:t>North Bethesda, 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20852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(240) 252-1138</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5210"/>
        <w:gridCol w:w="60"/>
        <w:gridCol w:w="740"/>
        <w:gridCol w:w="60"/>
        <w:gridCol w:w="2825"/>
      </w:tblGrid>
      <w:tr>
        <w:trPr/>
        <w:tc>
          <w:tcPr>
            <w:tcW w:w="5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52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10" w:type="dxa"/>
            <w:tcBorders/>
            <w:vAlign w:val="center"/>
          </w:tcPr>
          <w:p>
            <w:pPr>
              <w:pStyle w:val="TableContents"/>
              <w:bidi w:val="0"/>
              <w:spacing w:before="0" w:after="283"/>
              <w:jc w:val="center"/>
              <w:rPr/>
            </w:pPr>
            <w:r>
              <w:rPr/>
              <w:t>Class A common stock, par value $0.000001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XMTR</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27, 2025, Xometry, Inc. (the “Company”) and Peter Goguen, the Company’s Chief Operating Officer, mutually agreed that Mr. Goguen would separate from his role at the Company effective as of June 30, 2025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Goguen’s departure, he will receive the payments and benefits pursuant to a qualifying termination as set forth in his employment agreement with the Company (the “Employment Agreement”), as described in the Company’s proxy statement filed with the Securities and Exchange Commission on April 29, 2025, subject to the terms and conditions of the Employment Agreement, including, without limitation, his signing of an effective general release and waiver of claims (the “Release”) and compliance with the terms of the Release and his restrictive covenant obligations owed to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80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230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b/>
              </w:rPr>
            </w:pPr>
            <w:r>
              <w:rPr>
                <w:b/>
              </w:rPr>
              <w:t>XOMETRY,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Randolph Altschuler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xml:space="preserve">Randolph Altschuler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Words>
  <Characters>2796</Characters>
  <CharactersWithSpaces>3296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