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102235</wp:posOffset>
            </wp:positionV>
            <wp:extent cx="71577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59690"/>
                    </a:xfrm>
                    <a:prstGeom prst="rect">
                      <a:avLst/>
                    </a:prstGeom>
                    <a:noFill/>
                  </pic:spPr>
                </pic:pic>
              </a:graphicData>
            </a:graphic>
          </wp:anchor>
        </w:drawing>
        <w:t>UNITED STATES</w:t>
      </w: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00" w:lineRule="exact"/>
        <w:rPr>
          <w:sz w:val="24"/>
          <w:szCs w:val="24"/>
          <w:color w:val="auto"/>
        </w:rPr>
      </w:pPr>
    </w:p>
    <w:p>
      <w:pPr>
        <w:spacing w:after="0" w:line="2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ind w:left="4500"/>
        <w:spacing w:after="0"/>
        <w:tabs>
          <w:tab w:leader="none" w:pos="654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3896995</wp:posOffset>
            </wp:positionH>
            <wp:positionV relativeFrom="paragraph">
              <wp:posOffset>-12065</wp:posOffset>
            </wp:positionV>
            <wp:extent cx="274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color w:val="auto"/>
        </w:rPr>
        <w:t>XOMETRY,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62165" cy="33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of Issuer)</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 par value $0.000001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621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98423F109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6216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62165"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8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520" w:hanging="287"/>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13d-1(b)</w:t>
      </w:r>
    </w:p>
    <w:p>
      <w:pPr>
        <w:spacing w:after="0" w:line="252" w:lineRule="exact"/>
        <w:rPr>
          <w:sz w:val="24"/>
          <w:szCs w:val="24"/>
          <w:color w:val="auto"/>
        </w:rPr>
      </w:pPr>
    </w:p>
    <w:p>
      <w:pPr>
        <w:ind w:left="480" w:hanging="247"/>
        <w:spacing w:after="0"/>
        <w:tabs>
          <w:tab w:leader="none" w:pos="480" w:val="left"/>
        </w:tabs>
        <w:numPr>
          <w:ilvl w:val="1"/>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13d-1(c)</w:t>
      </w:r>
    </w:p>
    <w:p>
      <w:pPr>
        <w:spacing w:after="0" w:line="252" w:lineRule="exact"/>
        <w:rPr>
          <w:rFonts w:ascii="Wingdings" w:cs="Wingdings" w:eastAsia="Wingdings" w:hAnsi="Wingdings"/>
          <w:sz w:val="18"/>
          <w:szCs w:val="18"/>
          <w:b w:val="1"/>
          <w:bCs w:val="1"/>
          <w:color w:val="auto"/>
        </w:rPr>
      </w:pPr>
    </w:p>
    <w:p>
      <w:pPr>
        <w:ind w:left="480" w:hanging="247"/>
        <w:spacing w:after="0"/>
        <w:tabs>
          <w:tab w:leader="none" w:pos="480" w:val="left"/>
        </w:tabs>
        <w:numPr>
          <w:ilvl w:val="1"/>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13d-1(d)</w:t>
      </w:r>
    </w:p>
    <w:p>
      <w:pPr>
        <w:spacing w:after="0" w:line="252" w:lineRule="exact"/>
        <w:rPr>
          <w:rFonts w:ascii="Wingdings" w:cs="Wingdings" w:eastAsia="Wingdings" w:hAnsi="Wingdings"/>
          <w:sz w:val="18"/>
          <w:szCs w:val="18"/>
          <w:b w:val="1"/>
          <w:bCs w:val="1"/>
          <w:color w:val="auto"/>
        </w:rPr>
      </w:pPr>
    </w:p>
    <w:p>
      <w:pPr>
        <w:spacing w:after="0" w:line="282" w:lineRule="auto"/>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9"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3" w:right="35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36"/>
          <w:szCs w:val="36"/>
          <w:color w:val="auto"/>
          <w:vertAlign w:val="superscript"/>
        </w:rPr>
        <w:t>CUSIP</w:t>
      </w:r>
      <w:r>
        <w:rPr>
          <w:sz w:val="20"/>
          <w:szCs w:val="20"/>
          <w:color w:val="auto"/>
        </w:rPr>
        <w:tab/>
      </w:r>
      <w:r>
        <w:rPr>
          <w:rFonts w:ascii="Times New Roman" w:cs="Times New Roman" w:eastAsia="Times New Roman" w:hAnsi="Times New Roman"/>
          <w:sz w:val="18"/>
          <w:szCs w:val="18"/>
          <w:color w:val="auto"/>
        </w:rPr>
        <w:t>98423F109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-71120</wp:posOffset>
            </wp:positionV>
            <wp:extent cx="723900" cy="278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900" cy="27813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2802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802890"/>
                    </a:xfrm>
                    <a:prstGeom prst="rect">
                      <a:avLst/>
                    </a:prstGeom>
                    <a:noFill/>
                  </pic:spPr>
                </pic:pic>
              </a:graphicData>
            </a:graphic>
          </wp:anchor>
        </w:drawing>
      </w:r>
    </w:p>
    <w:p>
      <w:pPr>
        <w:spacing w:after="0" w:line="2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p>
      <w:pPr>
        <w:ind w:left="760" w:right="4900" w:hanging="529"/>
        <w:spacing w:after="0" w:line="181" w:lineRule="auto"/>
        <w:tabs>
          <w:tab w:leader="none" w:pos="760" w:val="left"/>
        </w:tabs>
        <w:numPr>
          <w:ilvl w:val="0"/>
          <w:numId w:val="3"/>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I.R.S. IDENTIFICATION NOS. OF ABOVE PERSONS (ENTITIES ONLY) JPMORGAN CHASE &amp; CO.</w:t>
      </w:r>
    </w:p>
    <w:p>
      <w:pPr>
        <w:spacing w:after="0" w:line="198" w:lineRule="exact"/>
        <w:rPr>
          <w:rFonts w:ascii="Times New Roman" w:cs="Times New Roman" w:eastAsia="Times New Roman" w:hAnsi="Times New Roman"/>
          <w:sz w:val="40"/>
          <w:szCs w:val="40"/>
          <w:b w:val="1"/>
          <w:bCs w:val="1"/>
          <w:color w:val="auto"/>
          <w:vertAlign w:val="subscript"/>
        </w:rPr>
      </w:pPr>
    </w:p>
    <w:p>
      <w:pPr>
        <w:ind w:left="760"/>
        <w:spacing w:after="0"/>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8"/>
          <w:szCs w:val="18"/>
          <w:color w:val="auto"/>
        </w:rPr>
        <w:t>13-2624428</w:t>
      </w:r>
    </w:p>
    <w:p>
      <w:pPr>
        <w:spacing w:after="0" w:line="90" w:lineRule="exact"/>
        <w:rPr>
          <w:rFonts w:ascii="Times New Roman" w:cs="Times New Roman" w:eastAsia="Times New Roman" w:hAnsi="Times New Roman"/>
          <w:sz w:val="40"/>
          <w:szCs w:val="40"/>
          <w:b w:val="1"/>
          <w:bCs w:val="1"/>
          <w:color w:val="auto"/>
          <w:vertAlign w:val="subscript"/>
        </w:rPr>
      </w:pPr>
    </w:p>
    <w:p>
      <w:pPr>
        <w:ind w:left="760"/>
        <w:spacing w:after="0"/>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8"/>
          <w:szCs w:val="18"/>
          <w:color w:val="auto"/>
        </w:rPr>
        <w:t>CHECK THE APPROPRIATE BOX IF A MEMBER OF A GROUP (SEE INSTRUCTIONS)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80" w:hanging="330"/>
        <w:spacing w:after="0"/>
        <w:tabs>
          <w:tab w:leader="none" w:pos="1080" w:val="left"/>
        </w:tabs>
        <w:numPr>
          <w:ilvl w:val="0"/>
          <w:numId w:val="4"/>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18" w:lineRule="exact"/>
        <w:rPr>
          <w:rFonts w:ascii="Times New Roman" w:cs="Times New Roman" w:eastAsia="Times New Roman" w:hAnsi="Times New Roman"/>
          <w:sz w:val="18"/>
          <w:szCs w:val="18"/>
          <w:color w:val="auto"/>
        </w:rPr>
      </w:pPr>
    </w:p>
    <w:p>
      <w:pPr>
        <w:ind w:left="240"/>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30"/>
          <w:szCs w:val="30"/>
          <w:b w:val="1"/>
          <w:bCs w:val="1"/>
          <w:color w:val="auto"/>
        </w:rPr>
        <w:t xml:space="preserve">2  </w:t>
      </w:r>
      <w:r>
        <w:rPr>
          <w:rFonts w:ascii="Times New Roman" w:cs="Times New Roman" w:eastAsia="Times New Roman" w:hAnsi="Times New Roman"/>
          <w:sz w:val="16"/>
          <w:szCs w:val="16"/>
          <w:color w:val="auto"/>
        </w:rPr>
        <w:t>(b)</w:t>
      </w:r>
      <w:r>
        <w:rPr>
          <w:rFonts w:ascii="Times New Roman" w:cs="Times New Roman" w:eastAsia="Times New Roman" w:hAnsi="Times New Roman"/>
          <w:sz w:val="30"/>
          <w:szCs w:val="30"/>
          <w:b w:val="1"/>
          <w:bCs w:val="1"/>
          <w:color w:val="auto"/>
        </w:rPr>
        <w:t xml:space="preserve">  </w:t>
      </w:r>
      <w:r>
        <w:rPr>
          <w:rFonts w:ascii="Wingdings" w:cs="Wingdings" w:eastAsia="Wingdings" w:hAnsi="Wingdings"/>
          <w:sz w:val="16"/>
          <w:szCs w:val="16"/>
          <w:b w:val="1"/>
          <w:bCs w:val="1"/>
          <w:color w:val="auto"/>
        </w:rPr>
        <w:t>o</w:t>
      </w:r>
    </w:p>
    <w:p>
      <w:pPr>
        <w:spacing w:after="0" w:line="46"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32"/>
          <w:szCs w:val="32"/>
          <w:b w:val="1"/>
          <w:bCs w:val="1"/>
          <w:color w:val="auto"/>
        </w:rPr>
        <w:t>3</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145" w:lineRule="exact"/>
        <w:rPr>
          <w:sz w:val="20"/>
          <w:szCs w:val="20"/>
          <w:color w:val="auto"/>
        </w:rPr>
      </w:pPr>
    </w:p>
    <w:p>
      <w:pPr>
        <w:ind w:left="760" w:hanging="529"/>
        <w:spacing w:after="0"/>
        <w:tabs>
          <w:tab w:leader="none" w:pos="760" w:val="left"/>
        </w:tabs>
        <w:numPr>
          <w:ilvl w:val="0"/>
          <w:numId w:val="5"/>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Delaware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2,152,202</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right w:val="single" w:sz="8" w:color="auto"/>
            </w:tcBorders>
          </w:tcPr>
          <w:p>
            <w:pPr>
              <w:spacing w:after="0"/>
              <w:rPr>
                <w:sz w:val="18"/>
                <w:szCs w:val="18"/>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2,332,294</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bottom w:val="single" w:sz="8" w:color="auto"/>
              <w:right w:val="single" w:sz="8" w:color="auto"/>
            </w:tcBorders>
          </w:tcPr>
          <w:p>
            <w:pPr>
              <w:spacing w:after="0"/>
              <w:rPr>
                <w:sz w:val="5"/>
                <w:szCs w:val="5"/>
                <w:color w:val="auto"/>
              </w:rPr>
            </w:pPr>
          </w:p>
        </w:tc>
        <w:tc>
          <w:tcPr>
            <w:tcW w:w="9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997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145" w:lineRule="exact"/>
        <w:rPr>
          <w:sz w:val="20"/>
          <w:szCs w:val="20"/>
          <w:color w:val="auto"/>
        </w:rPr>
      </w:pPr>
    </w:p>
    <w:p>
      <w:pPr>
        <w:ind w:left="760" w:hanging="529"/>
        <w:spacing w:after="0"/>
        <w:tabs>
          <w:tab w:leader="none" w:pos="760" w:val="left"/>
        </w:tabs>
        <w:numPr>
          <w:ilvl w:val="0"/>
          <w:numId w:val="6"/>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2,332,750</w:t>
      </w:r>
    </w:p>
    <w:p>
      <w:pPr>
        <w:spacing w:after="0" w:line="62" w:lineRule="exact"/>
        <w:rPr>
          <w:rFonts w:ascii="Times New Roman" w:cs="Times New Roman" w:eastAsia="Times New Roman" w:hAnsi="Times New Roman"/>
          <w:sz w:val="32"/>
          <w:szCs w:val="32"/>
          <w:b w:val="1"/>
          <w:bCs w:val="1"/>
          <w:color w:val="auto"/>
        </w:rPr>
      </w:pPr>
    </w:p>
    <w:p>
      <w:pPr>
        <w:ind w:left="760"/>
        <w:spacing w:after="0"/>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78"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10</w:t>
      </w:r>
      <w:r>
        <w:rPr>
          <w:sz w:val="20"/>
          <w:szCs w:val="20"/>
          <w:color w:val="auto"/>
        </w:rPr>
        <w:tab/>
      </w:r>
      <w:r>
        <w:rPr>
          <w:rFonts w:ascii="Wingdings" w:cs="Wingdings" w:eastAsia="Wingdings" w:hAnsi="Wingdings"/>
          <w:sz w:val="23"/>
          <w:szCs w:val="23"/>
          <w:b w:val="1"/>
          <w:bCs w:val="1"/>
          <w:color w:val="auto"/>
          <w:vertAlign w:val="subscript"/>
        </w:rPr>
        <w:t>o</w:t>
      </w:r>
    </w:p>
    <w:p>
      <w:pPr>
        <w:spacing w:after="0" w:line="1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102" w:lineRule="exact"/>
        <w:rPr>
          <w:sz w:val="20"/>
          <w:szCs w:val="20"/>
          <w:color w:val="auto"/>
        </w:rPr>
      </w:pPr>
    </w:p>
    <w:p>
      <w:pPr>
        <w:ind w:left="16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11</w:t>
      </w:r>
      <w:r>
        <w:rPr>
          <w:sz w:val="20"/>
          <w:szCs w:val="20"/>
          <w:color w:val="auto"/>
        </w:rPr>
        <w:tab/>
      </w:r>
      <w:r>
        <w:rPr>
          <w:rFonts w:ascii="Times New Roman" w:cs="Times New Roman" w:eastAsia="Times New Roman" w:hAnsi="Times New Roman"/>
          <w:sz w:val="17"/>
          <w:szCs w:val="17"/>
          <w:color w:val="auto"/>
        </w:rPr>
        <w:t>5.2 %</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12</w:t>
      </w:r>
      <w:r>
        <w:rPr>
          <w:sz w:val="20"/>
          <w:szCs w:val="20"/>
          <w:color w:val="auto"/>
        </w:rPr>
        <w:tab/>
      </w:r>
      <w:r>
        <w:rPr>
          <w:rFonts w:ascii="Times New Roman" w:cs="Times New Roman" w:eastAsia="Times New Roman" w:hAnsi="Times New Roman"/>
          <w:sz w:val="17"/>
          <w:szCs w:val="17"/>
          <w:color w:val="auto"/>
        </w:rPr>
        <w:t>HC</w:t>
      </w:r>
    </w:p>
    <w:p>
      <w:pPr>
        <w:spacing w:after="0" w:line="200" w:lineRule="exact"/>
        <w:rPr>
          <w:sz w:val="20"/>
          <w:szCs w:val="20"/>
          <w:color w:val="auto"/>
        </w:rPr>
      </w:pPr>
    </w:p>
    <w:p>
      <w:pPr>
        <w:spacing w:after="0" w:line="2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XOMETRY, INC.</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6480" w:hanging="644"/>
        <w:spacing w:after="0" w:line="261"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 7529 Standish Place, Suite 200,</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Derwood, MD 20855</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JPMORGAN CHASE &amp; CO.</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5620" w:hanging="644"/>
        <w:spacing w:after="0" w:line="261"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 383 Madison Avenue</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NY 10179</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9080" w:hanging="644"/>
        <w:spacing w:after="0" w:line="312" w:lineRule="auto"/>
        <w:tabs>
          <w:tab w:leader="none" w:pos="1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Delaware</w:t>
      </w:r>
    </w:p>
    <w:p>
      <w:pPr>
        <w:spacing w:after="0" w:line="200" w:lineRule="exact"/>
        <w:rPr>
          <w:rFonts w:ascii="Times New Roman" w:cs="Times New Roman" w:eastAsia="Times New Roman" w:hAnsi="Times New Roman"/>
          <w:sz w:val="17"/>
          <w:szCs w:val="17"/>
          <w:color w:val="auto"/>
        </w:rPr>
      </w:pPr>
    </w:p>
    <w:p>
      <w:pPr>
        <w:spacing w:after="0" w:line="209"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 par value $0.000001 per share</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8760" w:hanging="644"/>
        <w:spacing w:after="0" w:line="312" w:lineRule="auto"/>
        <w:tabs>
          <w:tab w:leader="none" w:pos="1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98423F109</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Broker or dealer registered under section 15 of the Act (15 U.S.C. 78o).</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Bank as defined in section 3(a)(6) of the Act (15 U.S.C. 78c).</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Insurance company as defined in section 3(a)(19) of the Act (15 U.S.C. 78c).</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Investment company registered under section 8 of the Investment Company Act of 1940 (15 U.S.C 80a-8).</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investment adviser in accordance with §240.13d-1(b)(1)(ii)(E);</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employee benefit plan or endowment fund in accordance with §240.13d-1(b)(1)(ii)(F);</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A parent holding company or control person in accordance with § 240.13d-1(b)(1)(ii)(G);</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savings associations as defined in Section 3(b) of the Federal Deposit Insurance Act (12 U.S.C. 1813);</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1304"/>
        <w:spacing w:after="0" w:line="282" w:lineRule="auto"/>
        <w:tabs>
          <w:tab w:leader="none" w:pos="1312"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church plan that is excluded from the definition of an investment company under section 3(c)(14) of the Investment Company</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Act of 1940 (15 U.S.C. 80a-3);</w:t>
      </w:r>
    </w:p>
    <w:p>
      <w:pPr>
        <w:spacing w:after="0" w:line="200" w:lineRule="exact"/>
        <w:rPr>
          <w:rFonts w:ascii="Times New Roman" w:cs="Times New Roman" w:eastAsia="Times New Roman" w:hAnsi="Times New Roman"/>
          <w:sz w:val="18"/>
          <w:szCs w:val="18"/>
          <w:color w:val="auto"/>
        </w:rPr>
      </w:pPr>
    </w:p>
    <w:p>
      <w:pPr>
        <w:spacing w:after="0" w:line="23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non-U.S. institution in accordance with § 240.13d-1(b)(1)(ii)(J).</w:t>
      </w:r>
    </w:p>
    <w:p>
      <w:pPr>
        <w:sectPr>
          <w:pgSz w:w="11900" w:h="16838" w:orient="portrait"/>
          <w:cols w:equalWidth="0" w:num="1">
            <w:col w:w="11200"/>
          </w:cols>
          <w:pgMar w:left="320" w:top="509" w:right="379" w:bottom="0" w:gutter="0" w:footer="0" w:header="0"/>
        </w:sectPr>
      </w:pPr>
    </w:p>
    <w:bookmarkStart w:id="3" w:name="page4"/>
    <w:bookmarkEnd w:id="3"/>
    <w:p>
      <w:pPr>
        <w:ind w:left="1304" w:hanging="1304"/>
        <w:spacing w:after="0" w:line="282" w:lineRule="auto"/>
        <w:tabs>
          <w:tab w:leader="none" w:pos="656"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group, in accordance with § 240.13d-1(b)(1)(ii)(K). If filing as a non-U.S. institution in accordance with § 240.13d-1(b)(1)(ii)</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684530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4"/>
          </w:cols>
          <w:pgMar w:left="976" w:top="607"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95"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2,332,750</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5.2 %</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2,152,202</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2,332,294</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JPMorgan Chase Bank, National Association</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Investment Management Inc.</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09" w:right="539" w:bottom="1440" w:gutter="0" w:footer="0" w:header="0"/>
        </w:sectPr>
      </w:pPr>
    </w:p>
    <w:bookmarkStart w:id="5" w:name="page6"/>
    <w:bookmarkEnd w:id="5"/>
    <w:p>
      <w:pPr>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Item</w:t>
        <w:tab/>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07" w:lineRule="exact"/>
        <w:rPr>
          <w:sz w:val="20"/>
          <w:szCs w:val="20"/>
          <w:color w:val="auto"/>
        </w:rPr>
      </w:pPr>
    </w:p>
    <w:p>
      <w:pPr>
        <w:ind w:left="6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JPMORGAN CHASE &amp; CO.</w:t>
      </w:r>
    </w:p>
    <w:p>
      <w:pPr>
        <w:sectPr>
          <w:pgSz w:w="11900" w:h="16838" w:orient="portrait"/>
          <w:cols w:equalWidth="0" w:num="1">
            <w:col w:w="11180"/>
          </w:cols>
          <w:pgMar w:left="320" w:top="752" w:right="39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13,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Rachel Tsvaygoft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Name: Rachel Tsvaygoft</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ectPr>
          <w:pgSz w:w="11900" w:h="16838" w:orient="portrait"/>
          <w:cols w:equalWidth="0" w:num="2">
            <w:col w:w="4920" w:space="720"/>
            <w:col w:w="5540"/>
          </w:cols>
          <w:pgMar w:left="320" w:top="752" w:right="399"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Footnotes:</w:t>
      </w:r>
    </w:p>
    <w:p>
      <w:pPr>
        <w:sectPr>
          <w:pgSz w:w="11900" w:h="16838" w:orient="portrait"/>
          <w:cols w:equalWidth="0" w:num="1">
            <w:col w:w="11180"/>
          </w:cols>
          <w:pgMar w:left="320" w:top="752" w:right="399" w:bottom="1440" w:gutter="0" w:footer="0" w:header="0"/>
          <w:type w:val="continuous"/>
        </w:sect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367030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sectPr>
      <w:pgSz w:w="11900" w:h="16838" w:orient="portrait"/>
      <w:cols w:equalWidth="0" w:num="1">
        <w:col w:w="11180"/>
      </w:cols>
      <w:pgMar w:left="320" w:top="75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
      <w:numFmt w:val="bullet"/>
      <w:start w:val="1"/>
    </w:lvl>
    <w:lvl w:ilvl="1">
      <w:lvlJc w:val="left"/>
      <w:lvlText w:val="o"/>
      <w:numFmt w:val="bullet"/>
      <w:start w:val="1"/>
    </w:lvl>
  </w:abstractNum>
  <w:abstractNum w:abstractNumId="2">
    <w:nsid w:val="41B71EFB"/>
    <w:multiLevelType w:val="hybridMultilevel"/>
    <w:lvl w:ilvl="0">
      <w:lvlJc w:val="left"/>
      <w:lvlText w:val="1"/>
      <w:numFmt w:val="bullet"/>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9"/>
      <w:numFmt w:val="bullet"/>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1"/>
    </w:lvl>
  </w:abstractNum>
  <w:abstractNum w:abstractNumId="10">
    <w:nsid w:val="1F16E9E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2023-01-13T08:30:38Z</dcterms:created>
  <dcterms:modified xsi:type="dcterms:W3CDTF">2023-01-13T08:30:38Z</dcterms:modified>
</cp:coreProperties>
</file>