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83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32385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32-0415449</w:t>
      </w:r>
    </w:p>
    <w:p>
      <w:pPr>
        <w:jc w:val="center"/>
        <w:ind w:right="-19"/>
        <w:spacing w:after="0" w:line="236" w:lineRule="auto"/>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3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93980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109220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 w:lineRule="exact"/>
        <w:rPr>
          <w:sz w:val="24"/>
          <w:szCs w:val="24"/>
          <w:color w:val="auto"/>
        </w:rPr>
      </w:pPr>
    </w:p>
    <w:p>
      <w:pPr>
        <w:ind w:left="3840" w:right="1700" w:hanging="3821"/>
        <w:spacing w:after="0" w:line="323" w:lineRule="auto"/>
        <w:tabs>
          <w:tab w:leader="none" w:pos="47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ind w:left="480" w:hanging="461"/>
        <w:spacing w:after="0" w:line="216" w:lineRule="auto"/>
        <w:tabs>
          <w:tab w:leader="none" w:pos="480" w:val="left"/>
        </w:tabs>
        <w:numPr>
          <w:ilvl w:val="0"/>
          <w:numId w:val="2"/>
        </w:numPr>
        <w:rPr>
          <w:rFonts w:ascii="MS PGothic" w:cs="MS PGothic" w:eastAsia="MS PGothic" w:hAnsi="MS PGothic"/>
          <w:sz w:val="34"/>
          <w:szCs w:val="34"/>
          <w:color w:val="auto"/>
          <w:highlight w:val="black"/>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7"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109855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p>
      <w:pPr>
        <w:spacing w:after="0" w:line="244" w:lineRule="exact"/>
        <w:rPr>
          <w:sz w:val="24"/>
          <w:szCs w:val="24"/>
          <w:color w:val="auto"/>
        </w:rPr>
      </w:pPr>
    </w:p>
    <w:p>
      <w:pPr>
        <w:jc w:val="center"/>
        <w:ind w:left="3580"/>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87630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5"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3"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32-0415449</w:t>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04" w:lineRule="exact"/>
        <w:rPr>
          <w:sz w:val="24"/>
          <w:szCs w:val="24"/>
          <w:color w:val="auto"/>
        </w:rPr>
      </w:pPr>
    </w:p>
    <w:p>
      <w:pPr>
        <w:sectPr>
          <w:pgSz w:w="11900" w:h="16838" w:orient="portrait"/>
          <w:cols w:equalWidth="0" w:num="2">
            <w:col w:w="7660" w:space="280"/>
            <w:col w:w="3300"/>
          </w:cols>
          <w:pgMar w:left="320" w:top="867" w:right="339" w:bottom="1440" w:gutter="0" w:footer="0" w:header="0"/>
          <w:type w:val="continuous"/>
        </w:sectPr>
      </w:pPr>
    </w:p>
    <w:tbl>
      <w:tblPr>
        <w:tblLayout w:type="fixed"/>
        <w:tblInd w:w="1780" w:type="dxa"/>
        <w:tblCellMar>
          <w:top w:w="0" w:type="dxa"/>
          <w:left w:w="0" w:type="dxa"/>
          <w:bottom w:w="0" w:type="dxa"/>
          <w:right w:w="0" w:type="dxa"/>
        </w:tblCellMar>
      </w:tblPr>
      <w:tr>
        <w:trPr>
          <w:trHeight w:val="200"/>
        </w:trPr>
        <w:tc>
          <w:tcPr>
            <w:tcW w:w="4220" w:type="dxa"/>
            <w:vAlign w:val="bottom"/>
          </w:tcPr>
          <w:p>
            <w:pPr>
              <w:jc w:val="center"/>
              <w:ind w:right="2124"/>
              <w:spacing w:after="0"/>
              <w:rPr>
                <w:sz w:val="20"/>
                <w:szCs w:val="20"/>
                <w:color w:val="auto"/>
              </w:rPr>
            </w:pPr>
            <w:r>
              <w:rPr>
                <w:rFonts w:ascii="Times New Roman" w:cs="Times New Roman" w:eastAsia="Times New Roman" w:hAnsi="Times New Roman"/>
                <w:sz w:val="16"/>
                <w:szCs w:val="16"/>
                <w:b w:val="1"/>
                <w:bCs w:val="1"/>
                <w:color w:val="auto"/>
                <w:w w:val="99"/>
              </w:rPr>
              <w:t>6116 Executive Blvd</w:t>
            </w:r>
          </w:p>
        </w:tc>
        <w:tc>
          <w:tcPr>
            <w:tcW w:w="2720" w:type="dxa"/>
            <w:vAlign w:val="bottom"/>
          </w:tcPr>
          <w:p>
            <w:pPr>
              <w:spacing w:after="0"/>
              <w:rPr>
                <w:sz w:val="17"/>
                <w:szCs w:val="17"/>
                <w:color w:val="auto"/>
              </w:rPr>
            </w:pPr>
          </w:p>
        </w:tc>
      </w:tr>
      <w:tr>
        <w:trPr>
          <w:trHeight w:val="200"/>
        </w:trPr>
        <w:tc>
          <w:tcPr>
            <w:tcW w:w="4220" w:type="dxa"/>
            <w:vAlign w:val="bottom"/>
          </w:tcPr>
          <w:p>
            <w:pPr>
              <w:jc w:val="center"/>
              <w:ind w:right="2124"/>
              <w:spacing w:after="0"/>
              <w:rPr>
                <w:sz w:val="20"/>
                <w:szCs w:val="20"/>
                <w:color w:val="auto"/>
              </w:rPr>
            </w:pPr>
            <w:r>
              <w:rPr>
                <w:rFonts w:ascii="Times New Roman" w:cs="Times New Roman" w:eastAsia="Times New Roman" w:hAnsi="Times New Roman"/>
                <w:sz w:val="16"/>
                <w:szCs w:val="16"/>
                <w:b w:val="1"/>
                <w:bCs w:val="1"/>
                <w:color w:val="auto"/>
                <w:w w:val="98"/>
              </w:rPr>
              <w:t>Suite 800</w:t>
            </w:r>
          </w:p>
        </w:tc>
        <w:tc>
          <w:tcPr>
            <w:tcW w:w="2720" w:type="dxa"/>
            <w:vAlign w:val="bottom"/>
          </w:tcPr>
          <w:p>
            <w:pPr>
              <w:spacing w:after="0"/>
              <w:rPr>
                <w:sz w:val="17"/>
                <w:szCs w:val="17"/>
                <w:color w:val="auto"/>
              </w:rPr>
            </w:pPr>
          </w:p>
        </w:tc>
      </w:tr>
      <w:tr>
        <w:trPr>
          <w:trHeight w:val="196"/>
        </w:trPr>
        <w:tc>
          <w:tcPr>
            <w:tcW w:w="4220" w:type="dxa"/>
            <w:vAlign w:val="bottom"/>
          </w:tcPr>
          <w:p>
            <w:pPr>
              <w:jc w:val="center"/>
              <w:ind w:right="2124"/>
              <w:spacing w:after="0"/>
              <w:rPr>
                <w:sz w:val="20"/>
                <w:szCs w:val="20"/>
                <w:color w:val="auto"/>
              </w:rPr>
            </w:pPr>
            <w:r>
              <w:rPr>
                <w:rFonts w:ascii="Times New Roman" w:cs="Times New Roman" w:eastAsia="Times New Roman" w:hAnsi="Times New Roman"/>
                <w:sz w:val="16"/>
                <w:szCs w:val="16"/>
                <w:b w:val="1"/>
                <w:bCs w:val="1"/>
                <w:color w:val="auto"/>
              </w:rPr>
              <w:t>North Bethesda, MD</w:t>
            </w:r>
          </w:p>
        </w:tc>
        <w:tc>
          <w:tcPr>
            <w:tcW w:w="2720" w:type="dxa"/>
            <w:vAlign w:val="bottom"/>
          </w:tcPr>
          <w:p>
            <w:pPr>
              <w:jc w:val="right"/>
              <w:ind w:right="29"/>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165"/>
        </w:trPr>
        <w:tc>
          <w:tcPr>
            <w:tcW w:w="4220" w:type="dxa"/>
            <w:vAlign w:val="bottom"/>
          </w:tcPr>
          <w:p>
            <w:pPr>
              <w:jc w:val="center"/>
              <w:ind w:right="2084"/>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2720" w:type="dxa"/>
            <w:vAlign w:val="bottom"/>
          </w:tcPr>
          <w:p>
            <w:pPr>
              <w:jc w:val="center"/>
              <w:ind w:left="2069"/>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35"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335-7914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109855</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9"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par value $0.000001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XMTR</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137" w:lineRule="exact"/>
        <w:rPr>
          <w:sz w:val="24"/>
          <w:szCs w:val="24"/>
          <w:color w:val="auto"/>
        </w:rPr>
      </w:pPr>
    </w:p>
    <w:p>
      <w:pPr>
        <w:jc w:val="both"/>
        <w:ind w:right="14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ind w:right="540"/>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6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jc w:val="both"/>
        <w:ind w:right="100"/>
        <w:spacing w:after="0" w:line="21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7460" w:val="left"/>
          <w:tab w:leader="none" w:pos="80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30" w:lineRule="exact"/>
        <w:rPr>
          <w:sz w:val="24"/>
          <w:szCs w:val="24"/>
          <w:color w:val="auto"/>
        </w:rPr>
      </w:pPr>
    </w:p>
    <w:p>
      <w:pPr>
        <w:ind w:right="620"/>
        <w:spacing w:after="0" w:line="292" w:lineRule="auto"/>
        <w:rPr>
          <w:sz w:val="20"/>
          <w:szCs w:val="20"/>
          <w:color w:val="auto"/>
        </w:rPr>
      </w:pPr>
      <w:r>
        <w:rPr>
          <w:rFonts w:ascii="Times New Roman" w:cs="Times New Roman" w:eastAsia="Times New Roman" w:hAnsi="Times New Roman"/>
          <w:sz w:val="16"/>
          <w:szCs w:val="16"/>
          <w:color w:val="auto"/>
        </w:rPr>
        <w:t>As of April 28, 2025, the registrant had 49,201,345 shares of Class A common stock, $0.000001 par value per share, and 1,475,311 shares of Class B common stock, $0.000001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998220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62865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80010</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7"/>
        </w:trPr>
        <w:tc>
          <w:tcPr>
            <w:tcW w:w="1060" w:type="dxa"/>
            <w:vAlign w:val="bottom"/>
            <w:gridSpan w:val="2"/>
            <w:vMerge w:val="continue"/>
          </w:tcPr>
          <w:p>
            <w:pPr>
              <w:spacing w:after="0"/>
              <w:rPr>
                <w:sz w:val="14"/>
                <w:szCs w:val="14"/>
                <w:color w:val="auto"/>
              </w:rPr>
            </w:pPr>
          </w:p>
        </w:tc>
        <w:tc>
          <w:tcPr>
            <w:tcW w:w="9440" w:type="dxa"/>
            <w:vAlign w:val="bottom"/>
            <w:gridSpan w:val="19"/>
            <w:vMerge w:val="continue"/>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(Unaudited)</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2080" w:type="dxa"/>
            <w:vAlign w:val="bottom"/>
            <w:tcBorders>
              <w:left w:val="single" w:sz="8" w:color="0000FF"/>
            </w:tcBorders>
            <w:gridSpan w:val="5"/>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5140" w:type="dxa"/>
            <w:vAlign w:val="bottom"/>
            <w:tcBorders>
              <w:left w:val="single" w:sz="8" w:color="0000FF"/>
            </w:tcBorders>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60" w:type="dxa"/>
            <w:vAlign w:val="bottom"/>
            <w:gridSpan w:val="2"/>
            <w:vMerge w:val="continue"/>
          </w:tcPr>
          <w:p>
            <w:pPr>
              <w:spacing w:after="0"/>
              <w:rPr>
                <w:sz w:val="16"/>
                <w:szCs w:val="16"/>
                <w:color w:val="auto"/>
              </w:rPr>
            </w:pP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OTHER INFORMATION</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Risk Factors</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140" w:type="dxa"/>
            <w:vAlign w:val="bottom"/>
            <w:gridSpan w:val="1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Other Information</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40" w:type="dxa"/>
            <w:vAlign w:val="bottom"/>
            <w:gridSpan w:val="1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Exhibits</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3"/>
        </w:trPr>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6"/>
                <w:szCs w:val="16"/>
                <w:color w:val="auto"/>
              </w:rPr>
            </w:pPr>
          </w:p>
        </w:tc>
        <w:tc>
          <w:tcPr>
            <w:tcW w:w="58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35" w:lineRule="exact"/>
        <w:rPr>
          <w:sz w:val="20"/>
          <w:szCs w:val="20"/>
          <w:color w:val="auto"/>
        </w:rPr>
      </w:pPr>
    </w:p>
    <w:p>
      <w:pPr>
        <w:ind w:right="300" w:firstLine="644"/>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18" w:lineRule="exact"/>
        <w:rPr>
          <w:sz w:val="20"/>
          <w:szCs w:val="20"/>
          <w:color w:val="auto"/>
        </w:rPr>
      </w:pPr>
    </w:p>
    <w:p>
      <w:pPr>
        <w:ind w:left="780" w:hanging="227"/>
        <w:spacing w:after="0"/>
        <w:tabs>
          <w:tab w:leader="none" w:pos="7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52" w:lineRule="exact"/>
        <w:rPr>
          <w:rFonts w:ascii="Times New Roman" w:cs="Times New Roman" w:eastAsia="Times New Roman" w:hAnsi="Times New Roman"/>
          <w:sz w:val="18"/>
          <w:szCs w:val="18"/>
          <w:color w:val="auto"/>
        </w:rPr>
      </w:pPr>
    </w:p>
    <w:p>
      <w:pPr>
        <w:ind w:left="780" w:hanging="227"/>
        <w:spacing w:after="0"/>
        <w:tabs>
          <w:tab w:leader="none" w:pos="7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growth of our business, including our ability to effectively manage or sustain our growth and to achieve or sustain profitability;</w:t>
      </w:r>
    </w:p>
    <w:p>
      <w:pPr>
        <w:spacing w:after="0" w:line="152" w:lineRule="exact"/>
        <w:rPr>
          <w:rFonts w:ascii="Times New Roman" w:cs="Times New Roman" w:eastAsia="Times New Roman" w:hAnsi="Times New Roman"/>
          <w:sz w:val="18"/>
          <w:szCs w:val="18"/>
          <w:color w:val="auto"/>
        </w:rPr>
      </w:pPr>
    </w:p>
    <w:p>
      <w:pPr>
        <w:ind w:left="760" w:right="680" w:hanging="220"/>
        <w:spacing w:after="0" w:line="276" w:lineRule="auto"/>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public health crises or other macroeconomic factors and geopolitical tension, which may lead to periods of global economic uncertainty;</w:t>
      </w:r>
    </w:p>
    <w:p>
      <w:pPr>
        <w:spacing w:after="0" w:line="97" w:lineRule="exact"/>
        <w:rPr>
          <w:rFonts w:ascii="Times New Roman" w:cs="Times New Roman" w:eastAsia="Times New Roman" w:hAnsi="Times New Roman"/>
          <w:sz w:val="18"/>
          <w:szCs w:val="18"/>
          <w:color w:val="auto"/>
        </w:rPr>
      </w:pPr>
    </w:p>
    <w:p>
      <w:pPr>
        <w:ind w:left="760" w:hanging="220"/>
        <w:spacing w:after="0"/>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52" w:lineRule="exact"/>
        <w:rPr>
          <w:rFonts w:ascii="Times New Roman" w:cs="Times New Roman" w:eastAsia="Times New Roman" w:hAnsi="Times New Roman"/>
          <w:sz w:val="18"/>
          <w:szCs w:val="18"/>
          <w:color w:val="auto"/>
        </w:rPr>
      </w:pPr>
    </w:p>
    <w:p>
      <w:pPr>
        <w:ind w:left="740" w:hanging="21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buyers and suppliers and successfully engage new and existing buyers and suppliers;</w:t>
      </w:r>
    </w:p>
    <w:p>
      <w:pPr>
        <w:spacing w:after="0" w:line="152" w:lineRule="exact"/>
        <w:rPr>
          <w:rFonts w:ascii="Times New Roman" w:cs="Times New Roman" w:eastAsia="Times New Roman" w:hAnsi="Times New Roman"/>
          <w:sz w:val="18"/>
          <w:szCs w:val="18"/>
          <w:color w:val="auto"/>
        </w:rPr>
      </w:pPr>
    </w:p>
    <w:p>
      <w:pPr>
        <w:ind w:left="780" w:hanging="227"/>
        <w:spacing w:after="0"/>
        <w:tabs>
          <w:tab w:leader="none" w:pos="7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52" w:lineRule="exact"/>
        <w:rPr>
          <w:rFonts w:ascii="Times New Roman" w:cs="Times New Roman" w:eastAsia="Times New Roman" w:hAnsi="Times New Roman"/>
          <w:sz w:val="18"/>
          <w:szCs w:val="18"/>
          <w:color w:val="auto"/>
        </w:rPr>
      </w:pPr>
    </w:p>
    <w:p>
      <w:pPr>
        <w:ind w:left="760" w:hanging="23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52" w:lineRule="exact"/>
        <w:rPr>
          <w:rFonts w:ascii="Times New Roman" w:cs="Times New Roman" w:eastAsia="Times New Roman" w:hAnsi="Times New Roman"/>
          <w:sz w:val="18"/>
          <w:szCs w:val="18"/>
          <w:color w:val="auto"/>
        </w:rPr>
      </w:pPr>
    </w:p>
    <w:p>
      <w:pPr>
        <w:ind w:left="760" w:hanging="220"/>
        <w:spacing w:after="0"/>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52" w:lineRule="exact"/>
        <w:rPr>
          <w:rFonts w:ascii="Times New Roman" w:cs="Times New Roman" w:eastAsia="Times New Roman" w:hAnsi="Times New Roman"/>
          <w:sz w:val="18"/>
          <w:szCs w:val="18"/>
          <w:color w:val="auto"/>
        </w:rPr>
      </w:pPr>
    </w:p>
    <w:p>
      <w:pPr>
        <w:ind w:left="780" w:hanging="227"/>
        <w:spacing w:after="0"/>
        <w:tabs>
          <w:tab w:leader="none" w:pos="7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or other proprietary rights and any costs associated therewith;</w:t>
      </w:r>
    </w:p>
    <w:p>
      <w:pPr>
        <w:spacing w:after="0" w:line="152" w:lineRule="exact"/>
        <w:rPr>
          <w:rFonts w:ascii="Times New Roman" w:cs="Times New Roman" w:eastAsia="Times New Roman" w:hAnsi="Times New Roman"/>
          <w:sz w:val="18"/>
          <w:szCs w:val="18"/>
          <w:color w:val="auto"/>
        </w:rPr>
      </w:pPr>
    </w:p>
    <w:p>
      <w:pPr>
        <w:ind w:left="780" w:hanging="227"/>
        <w:spacing w:after="0"/>
        <w:tabs>
          <w:tab w:leader="none" w:pos="7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costs and expenses, which may be impacted by changes in tariff policy and inflationary pressures;</w:t>
      </w:r>
    </w:p>
    <w:p>
      <w:pPr>
        <w:spacing w:after="0" w:line="152" w:lineRule="exact"/>
        <w:rPr>
          <w:rFonts w:ascii="Times New Roman" w:cs="Times New Roman" w:eastAsia="Times New Roman" w:hAnsi="Times New Roman"/>
          <w:sz w:val="18"/>
          <w:szCs w:val="18"/>
          <w:color w:val="auto"/>
        </w:rPr>
      </w:pPr>
    </w:p>
    <w:p>
      <w:pPr>
        <w:ind w:left="740" w:hanging="21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52" w:lineRule="exact"/>
        <w:rPr>
          <w:rFonts w:ascii="Times New Roman" w:cs="Times New Roman" w:eastAsia="Times New Roman" w:hAnsi="Times New Roman"/>
          <w:sz w:val="18"/>
          <w:szCs w:val="18"/>
          <w:color w:val="auto"/>
        </w:rPr>
      </w:pPr>
    </w:p>
    <w:p>
      <w:pPr>
        <w:ind w:left="780" w:hanging="227"/>
        <w:spacing w:after="0"/>
        <w:tabs>
          <w:tab w:leader="none" w:pos="7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113" w:lineRule="exact"/>
        <w:rPr>
          <w:sz w:val="20"/>
          <w:szCs w:val="20"/>
          <w:color w:val="auto"/>
        </w:rPr>
      </w:pPr>
    </w:p>
    <w:p>
      <w:pPr>
        <w:ind w:firstLine="644"/>
        <w:spacing w:after="0" w:line="269" w:lineRule="auto"/>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spacing w:after="0" w:line="66" w:lineRule="exact"/>
        <w:rPr>
          <w:sz w:val="20"/>
          <w:szCs w:val="20"/>
          <w:color w:val="auto"/>
        </w:rPr>
      </w:pPr>
    </w:p>
    <w:p>
      <w:pPr>
        <w:jc w:val="both"/>
        <w:ind w:right="80" w:firstLine="644"/>
        <w:spacing w:after="0" w:line="257"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3" w:lineRule="exact"/>
        <w:rPr>
          <w:sz w:val="20"/>
          <w:szCs w:val="20"/>
          <w:color w:val="auto"/>
        </w:rPr>
      </w:pPr>
    </w:p>
    <w:p>
      <w:pPr>
        <w:ind w:right="20" w:firstLine="644"/>
        <w:spacing w:after="0" w:line="251" w:lineRule="auto"/>
        <w:rPr>
          <w:sz w:val="20"/>
          <w:szCs w:val="20"/>
          <w:color w:val="auto"/>
        </w:rPr>
      </w:pPr>
      <w:r>
        <w:rPr>
          <w:rFonts w:ascii="Times New Roman" w:cs="Times New Roman" w:eastAsia="Times New Roman" w:hAnsi="Times New Roman"/>
          <w:sz w:val="18"/>
          <w:szCs w:val="18"/>
          <w:color w:val="auto"/>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464820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49"/>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89"/>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8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85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shd w:val="clear" w:color="auto" w:fill="CFF0FC"/>
          </w:tcPr>
          <w:p>
            <w:pPr>
              <w:ind w:left="140"/>
              <w:spacing w:after="0" w:line="147" w:lineRule="exact"/>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15,507</w:t>
            </w:r>
          </w:p>
        </w:tc>
        <w:tc>
          <w:tcPr>
            <w:tcW w:w="24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22,232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215,874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217,603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shd w:val="clear" w:color="auto" w:fill="CFF0FC"/>
          </w:tcPr>
          <w:p>
            <w:pPr>
              <w:ind w:left="140"/>
              <w:spacing w:after="0" w:line="147" w:lineRule="exact"/>
              <w:rPr>
                <w:sz w:val="20"/>
                <w:szCs w:val="20"/>
                <w:color w:val="auto"/>
              </w:rPr>
            </w:pPr>
            <w:r>
              <w:rPr>
                <w:rFonts w:ascii="Times New Roman" w:cs="Times New Roman" w:eastAsia="Times New Roman" w:hAnsi="Times New Roman"/>
                <w:sz w:val="14"/>
                <w:szCs w:val="14"/>
                <w:color w:val="auto"/>
              </w:rPr>
              <w:t>Accounts receivable, less allowance for credit losses of $5.1 million and $4.9 million as of March 31, 2025 and December 31, 2024</w:t>
            </w: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85,529</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73,962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Inventory</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4,032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3,915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shd w:val="clear" w:color="auto" w:fill="CFF0FC"/>
          </w:tcPr>
          <w:p>
            <w:pPr>
              <w:ind w:left="140"/>
              <w:spacing w:after="0" w:line="147" w:lineRule="exact"/>
              <w:rPr>
                <w:sz w:val="20"/>
                <w:szCs w:val="20"/>
                <w:color w:val="auto"/>
              </w:rPr>
            </w:pPr>
            <w:r>
              <w:rPr>
                <w:rFonts w:ascii="Times New Roman" w:cs="Times New Roman" w:eastAsia="Times New Roman" w:hAnsi="Times New Roman"/>
                <w:sz w:val="14"/>
                <w:szCs w:val="14"/>
                <w:color w:val="auto"/>
              </w:rPr>
              <w:t>Prepaid expenses</w:t>
            </w: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6,487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4,954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Other current assets</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7,189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4,874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8560" w:type="dxa"/>
            <w:vAlign w:val="bottom"/>
            <w:shd w:val="clear" w:color="auto" w:fill="CFF0FC"/>
          </w:tcPr>
          <w:p>
            <w:pPr>
              <w:ind w:left="300"/>
              <w:spacing w:after="0" w:line="140"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0" w:lineRule="exact"/>
              <w:rPr>
                <w:sz w:val="20"/>
                <w:szCs w:val="20"/>
                <w:color w:val="auto"/>
              </w:rPr>
            </w:pPr>
            <w:r>
              <w:rPr>
                <w:rFonts w:ascii="Times New Roman" w:cs="Times New Roman" w:eastAsia="Times New Roman" w:hAnsi="Times New Roman"/>
                <w:sz w:val="14"/>
                <w:szCs w:val="14"/>
                <w:color w:val="auto"/>
              </w:rPr>
              <w:t>334,618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0" w:lineRule="exact"/>
              <w:rPr>
                <w:sz w:val="20"/>
                <w:szCs w:val="20"/>
                <w:color w:val="auto"/>
              </w:rPr>
            </w:pPr>
            <w:r>
              <w:rPr>
                <w:rFonts w:ascii="Times New Roman" w:cs="Times New Roman" w:eastAsia="Times New Roman" w:hAnsi="Times New Roman"/>
                <w:sz w:val="14"/>
                <w:szCs w:val="14"/>
                <w:color w:val="auto"/>
              </w:rPr>
              <w:t>327,540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47,244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44,825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shd w:val="clear" w:color="auto" w:fill="CFF0FC"/>
          </w:tcPr>
          <w:p>
            <w:pPr>
              <w:ind w:left="140"/>
              <w:spacing w:after="0" w:line="147"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7,231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8,462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Investment in unconsolidated joint venture</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4,071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4,065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shd w:val="clear" w:color="auto" w:fill="CFF0FC"/>
          </w:tcPr>
          <w:p>
            <w:pPr>
              <w:ind w:left="140"/>
              <w:spacing w:after="0" w:line="147" w:lineRule="exact"/>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31,244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32,139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263,009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262,686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shd w:val="clear" w:color="auto" w:fill="CFF0FC"/>
          </w:tcPr>
          <w:p>
            <w:pPr>
              <w:ind w:left="140"/>
              <w:spacing w:after="0" w:line="147" w:lineRule="exact"/>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2,693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8560" w:type="dxa"/>
            <w:vAlign w:val="bottom"/>
          </w:tcPr>
          <w:p>
            <w:pPr>
              <w:ind w:left="300"/>
              <w:spacing w:after="0" w:line="140"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line="140" w:lineRule="exact"/>
              <w:rPr>
                <w:sz w:val="20"/>
                <w:szCs w:val="20"/>
                <w:color w:val="auto"/>
              </w:rPr>
            </w:pPr>
            <w:r>
              <w:rPr>
                <w:rFonts w:ascii="Times New Roman" w:cs="Times New Roman" w:eastAsia="Times New Roman" w:hAnsi="Times New Roman"/>
                <w:sz w:val="14"/>
                <w:szCs w:val="14"/>
                <w:color w:val="auto"/>
              </w:rPr>
              <w:t>690,110</w:t>
            </w:r>
          </w:p>
        </w:tc>
        <w:tc>
          <w:tcPr>
            <w:tcW w:w="240" w:type="dxa"/>
            <w:vAlign w:val="bottom"/>
            <w:gridSpan w:val="2"/>
          </w:tcPr>
          <w:p>
            <w:pPr>
              <w:jc w:val="right"/>
              <w:ind w:right="6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line="140" w:lineRule="exact"/>
              <w:rPr>
                <w:sz w:val="20"/>
                <w:szCs w:val="20"/>
                <w:color w:val="auto"/>
              </w:rPr>
            </w:pPr>
            <w:r>
              <w:rPr>
                <w:rFonts w:ascii="Times New Roman" w:cs="Times New Roman" w:eastAsia="Times New Roman" w:hAnsi="Times New Roman"/>
                <w:sz w:val="14"/>
                <w:szCs w:val="14"/>
                <w:color w:val="auto"/>
              </w:rPr>
              <w:t>680,129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56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shd w:val="clear" w:color="auto" w:fill="CFF0FC"/>
          </w:tcPr>
          <w:p>
            <w:pPr>
              <w:ind w:left="140"/>
              <w:spacing w:after="0" w:line="147" w:lineRule="exact"/>
              <w:rPr>
                <w:sz w:val="20"/>
                <w:szCs w:val="20"/>
                <w:color w:val="auto"/>
              </w:rPr>
            </w:pPr>
            <w:r>
              <w:rPr>
                <w:rFonts w:ascii="Times New Roman" w:cs="Times New Roman" w:eastAsia="Times New Roman" w:hAnsi="Times New Roman"/>
                <w:sz w:val="14"/>
                <w:szCs w:val="14"/>
                <w:color w:val="auto"/>
              </w:rPr>
              <w:t>Accounts payable and accrued cost of revenue</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50,218</w:t>
            </w:r>
          </w:p>
        </w:tc>
        <w:tc>
          <w:tcPr>
            <w:tcW w:w="24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35,023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Other accrued expenses</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23,122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24,401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shd w:val="clear" w:color="auto" w:fill="CFF0FC"/>
          </w:tcPr>
          <w:p>
            <w:pPr>
              <w:ind w:left="140"/>
              <w:spacing w:after="0" w:line="147" w:lineRule="exact"/>
              <w:rPr>
                <w:sz w:val="20"/>
                <w:szCs w:val="20"/>
                <w:color w:val="auto"/>
              </w:rPr>
            </w:pPr>
            <w:r>
              <w:rPr>
                <w:rFonts w:ascii="Times New Roman" w:cs="Times New Roman" w:eastAsia="Times New Roman" w:hAnsi="Times New Roman"/>
                <w:sz w:val="14"/>
                <w:szCs w:val="14"/>
                <w:color w:val="auto"/>
              </w:rPr>
              <w:t>Contract liabilities</w:t>
            </w: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9,908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7,948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887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979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shd w:val="clear" w:color="auto" w:fill="CFF0FC"/>
          </w:tcPr>
          <w:p>
            <w:pPr>
              <w:ind w:left="140"/>
              <w:spacing w:after="0" w:line="147"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5,293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6,436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8560" w:type="dxa"/>
            <w:vAlign w:val="bottom"/>
          </w:tcPr>
          <w:p>
            <w:pPr>
              <w:ind w:left="300"/>
              <w:spacing w:after="0" w:line="140"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0" w:lineRule="exact"/>
              <w:rPr>
                <w:sz w:val="20"/>
                <w:szCs w:val="20"/>
                <w:color w:val="auto"/>
              </w:rPr>
            </w:pPr>
            <w:r>
              <w:rPr>
                <w:rFonts w:ascii="Times New Roman" w:cs="Times New Roman" w:eastAsia="Times New Roman" w:hAnsi="Times New Roman"/>
                <w:sz w:val="14"/>
                <w:szCs w:val="14"/>
                <w:color w:val="auto"/>
              </w:rPr>
              <w:t>89,428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100"/>
              <w:spacing w:after="0" w:line="140" w:lineRule="exact"/>
              <w:rPr>
                <w:sz w:val="20"/>
                <w:szCs w:val="20"/>
                <w:color w:val="auto"/>
              </w:rPr>
            </w:pPr>
            <w:r>
              <w:rPr>
                <w:rFonts w:ascii="Times New Roman" w:cs="Times New Roman" w:eastAsia="Times New Roman" w:hAnsi="Times New Roman"/>
                <w:sz w:val="14"/>
                <w:szCs w:val="14"/>
                <w:color w:val="auto"/>
              </w:rPr>
              <w:t>74,787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shd w:val="clear" w:color="auto" w:fill="CFF0FC"/>
          </w:tcPr>
          <w:p>
            <w:pPr>
              <w:ind w:left="140"/>
              <w:spacing w:after="0" w:line="147" w:lineRule="exact"/>
              <w:rPr>
                <w:sz w:val="20"/>
                <w:szCs w:val="20"/>
                <w:color w:val="auto"/>
              </w:rPr>
            </w:pPr>
            <w:r>
              <w:rPr>
                <w:rFonts w:ascii="Times New Roman" w:cs="Times New Roman" w:eastAsia="Times New Roman" w:hAnsi="Times New Roman"/>
                <w:sz w:val="14"/>
                <w:szCs w:val="14"/>
                <w:color w:val="auto"/>
              </w:rPr>
              <w:t>Convertible notes</w:t>
            </w: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284,093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283,628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4,523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5,072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shd w:val="clear" w:color="auto" w:fill="CFF0FC"/>
          </w:tcPr>
          <w:p>
            <w:pPr>
              <w:ind w:left="140"/>
              <w:spacing w:after="0" w:line="147" w:lineRule="exact"/>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804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8560" w:type="dxa"/>
            <w:vAlign w:val="bottom"/>
            <w:shd w:val="clear" w:color="auto" w:fill="CFF0FC"/>
          </w:tcPr>
          <w:p>
            <w:pPr>
              <w:ind w:left="300"/>
              <w:spacing w:after="0" w:line="140"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0" w:lineRule="exact"/>
              <w:rPr>
                <w:sz w:val="20"/>
                <w:szCs w:val="20"/>
                <w:color w:val="auto"/>
              </w:rPr>
            </w:pPr>
            <w:r>
              <w:rPr>
                <w:rFonts w:ascii="Times New Roman" w:cs="Times New Roman" w:eastAsia="Times New Roman" w:hAnsi="Times New Roman"/>
                <w:sz w:val="14"/>
                <w:szCs w:val="14"/>
                <w:color w:val="auto"/>
              </w:rPr>
              <w:t>379,077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0" w:lineRule="exact"/>
              <w:rPr>
                <w:sz w:val="20"/>
                <w:szCs w:val="20"/>
                <w:color w:val="auto"/>
              </w:rPr>
            </w:pPr>
            <w:r>
              <w:rPr>
                <w:rFonts w:ascii="Times New Roman" w:cs="Times New Roman" w:eastAsia="Times New Roman" w:hAnsi="Times New Roman"/>
                <w:sz w:val="14"/>
                <w:szCs w:val="14"/>
                <w:color w:val="auto"/>
              </w:rPr>
              <w:t>364,533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560" w:type="dxa"/>
            <w:vAlign w:val="bottom"/>
            <w:tcBorders>
              <w:top w:val="single" w:sz="8" w:color="CFF0FC"/>
            </w:tcBorders>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Commitments and contingencies (Note 9)</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560" w:type="dxa"/>
            <w:vAlign w:val="bottom"/>
          </w:tcPr>
          <w:p>
            <w:pPr>
              <w:ind w:left="140"/>
              <w:spacing w:after="0" w:line="124" w:lineRule="exact"/>
              <w:rPr>
                <w:sz w:val="20"/>
                <w:szCs w:val="20"/>
                <w:color w:val="auto"/>
              </w:rPr>
            </w:pPr>
            <w:r>
              <w:rPr>
                <w:rFonts w:ascii="Times New Roman" w:cs="Times New Roman" w:eastAsia="Times New Roman" w:hAnsi="Times New Roman"/>
                <w:sz w:val="14"/>
                <w:szCs w:val="14"/>
                <w:color w:val="auto"/>
              </w:rPr>
              <w:t>Preferred stock, $0.000001 par value. Authorized; 50,000,000 shares; zero shares issued and outstanding as of March 31, 2025 and December</w:t>
            </w:r>
          </w:p>
        </w:tc>
        <w:tc>
          <w:tcPr>
            <w:tcW w:w="160" w:type="dxa"/>
            <w:vAlign w:val="bottom"/>
          </w:tcPr>
          <w:p>
            <w:pPr>
              <w:spacing w:after="0"/>
              <w:rPr>
                <w:sz w:val="10"/>
                <w:szCs w:val="10"/>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31, 2024, respectively</w:t>
            </w: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560" w:type="dxa"/>
            <w:vAlign w:val="bottom"/>
            <w:shd w:val="clear" w:color="auto" w:fill="CFF0FC"/>
          </w:tcPr>
          <w:p>
            <w:pPr>
              <w:ind w:left="140"/>
              <w:spacing w:after="0" w:line="124" w:lineRule="exact"/>
              <w:rPr>
                <w:sz w:val="20"/>
                <w:szCs w:val="20"/>
                <w:color w:val="auto"/>
              </w:rPr>
            </w:pPr>
            <w:r>
              <w:rPr>
                <w:rFonts w:ascii="Times New Roman" w:cs="Times New Roman" w:eastAsia="Times New Roman" w:hAnsi="Times New Roman"/>
                <w:sz w:val="14"/>
                <w:szCs w:val="14"/>
                <w:color w:val="auto"/>
              </w:rPr>
              <w:t>Class A Common stock, $0.000001 par value. Authorized; 750,000,000 shares; 48,992,113 shares and 48,289,274 shares issued and outstanding</w:t>
            </w:r>
          </w:p>
        </w:tc>
        <w:tc>
          <w:tcPr>
            <w:tcW w:w="16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as of March 31, 2025 and December 31, 2024, respectively</w:t>
            </w:r>
          </w:p>
        </w:tc>
        <w:tc>
          <w:tcPr>
            <w:tcW w:w="16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560" w:type="dxa"/>
            <w:vAlign w:val="bottom"/>
          </w:tcPr>
          <w:p>
            <w:pPr>
              <w:ind w:left="140"/>
              <w:spacing w:after="0" w:line="124" w:lineRule="exact"/>
              <w:rPr>
                <w:sz w:val="20"/>
                <w:szCs w:val="20"/>
                <w:color w:val="auto"/>
              </w:rPr>
            </w:pPr>
            <w:r>
              <w:rPr>
                <w:rFonts w:ascii="Times New Roman" w:cs="Times New Roman" w:eastAsia="Times New Roman" w:hAnsi="Times New Roman"/>
                <w:sz w:val="14"/>
                <w:szCs w:val="14"/>
                <w:color w:val="auto"/>
              </w:rPr>
              <w:t>Class B Common stock, $0.000001 par value. Authorized; 5,000,000 shares; 1,475,311 shares issued and outstanding as of March 31, 2025 and</w:t>
            </w:r>
          </w:p>
        </w:tc>
        <w:tc>
          <w:tcPr>
            <w:tcW w:w="160" w:type="dxa"/>
            <w:vAlign w:val="bottom"/>
          </w:tcPr>
          <w:p>
            <w:pPr>
              <w:spacing w:after="0"/>
              <w:rPr>
                <w:sz w:val="10"/>
                <w:szCs w:val="10"/>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December 31, 2024</w:t>
            </w: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shd w:val="clear" w:color="auto" w:fill="CFF0FC"/>
          </w:tcPr>
          <w:p>
            <w:pPr>
              <w:ind w:left="140"/>
              <w:spacing w:after="0" w:line="147" w:lineRule="exact"/>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694,047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685,054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1,205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shd w:val="clear" w:color="auto" w:fill="CFF0FC"/>
          </w:tcPr>
          <w:p>
            <w:pPr>
              <w:ind w:left="140"/>
              <w:spacing w:after="0" w:line="147" w:lineRule="exact"/>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(385,351)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(370,273)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8560" w:type="dxa"/>
            <w:vAlign w:val="bottom"/>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0" w:lineRule="exact"/>
              <w:rPr>
                <w:sz w:val="20"/>
                <w:szCs w:val="20"/>
                <w:color w:val="auto"/>
              </w:rPr>
            </w:pPr>
            <w:r>
              <w:rPr>
                <w:rFonts w:ascii="Times New Roman" w:cs="Times New Roman" w:eastAsia="Times New Roman" w:hAnsi="Times New Roman"/>
                <w:sz w:val="14"/>
                <w:szCs w:val="14"/>
                <w:color w:val="auto"/>
              </w:rPr>
              <w:t>309,901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100"/>
              <w:spacing w:after="0" w:line="140" w:lineRule="exact"/>
              <w:rPr>
                <w:sz w:val="20"/>
                <w:szCs w:val="20"/>
                <w:color w:val="auto"/>
              </w:rPr>
            </w:pPr>
            <w:r>
              <w:rPr>
                <w:rFonts w:ascii="Times New Roman" w:cs="Times New Roman" w:eastAsia="Times New Roman" w:hAnsi="Times New Roman"/>
                <w:sz w:val="14"/>
                <w:szCs w:val="14"/>
                <w:color w:val="auto"/>
              </w:rPr>
              <w:t>314,453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560" w:type="dxa"/>
            <w:vAlign w:val="bottom"/>
            <w:shd w:val="clear" w:color="auto" w:fill="CFF0FC"/>
          </w:tcPr>
          <w:p>
            <w:pPr>
              <w:ind w:left="300"/>
              <w:spacing w:after="0" w:line="147" w:lineRule="exact"/>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1,132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8560" w:type="dxa"/>
            <w:vAlign w:val="bottom"/>
          </w:tcPr>
          <w:p>
            <w:pPr>
              <w:ind w:left="300"/>
              <w:spacing w:after="0" w:line="140"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0" w:lineRule="exact"/>
              <w:rPr>
                <w:sz w:val="20"/>
                <w:szCs w:val="20"/>
                <w:color w:val="auto"/>
              </w:rPr>
            </w:pPr>
            <w:r>
              <w:rPr>
                <w:rFonts w:ascii="Times New Roman" w:cs="Times New Roman" w:eastAsia="Times New Roman" w:hAnsi="Times New Roman"/>
                <w:sz w:val="14"/>
                <w:szCs w:val="14"/>
                <w:color w:val="auto"/>
              </w:rPr>
              <w:t>311,033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100"/>
              <w:spacing w:after="0" w:line="140" w:lineRule="exact"/>
              <w:rPr>
                <w:sz w:val="20"/>
                <w:szCs w:val="20"/>
                <w:color w:val="auto"/>
              </w:rPr>
            </w:pPr>
            <w:r>
              <w:rPr>
                <w:rFonts w:ascii="Times New Roman" w:cs="Times New Roman" w:eastAsia="Times New Roman" w:hAnsi="Times New Roman"/>
                <w:sz w:val="14"/>
                <w:szCs w:val="14"/>
                <w:color w:val="auto"/>
              </w:rPr>
              <w:t>315,596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856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FF0FC"/>
          </w:tcPr>
          <w:p>
            <w:pPr>
              <w:jc w:val="right"/>
              <w:ind w:right="120"/>
              <w:spacing w:after="0" w:line="140" w:lineRule="exact"/>
              <w:rPr>
                <w:sz w:val="20"/>
                <w:szCs w:val="20"/>
                <w:color w:val="auto"/>
              </w:rPr>
            </w:pPr>
            <w:r>
              <w:rPr>
                <w:rFonts w:ascii="Times New Roman" w:cs="Times New Roman" w:eastAsia="Times New Roman" w:hAnsi="Times New Roman"/>
                <w:sz w:val="14"/>
                <w:szCs w:val="14"/>
                <w:color w:val="auto"/>
              </w:rPr>
              <w:t>690,110</w:t>
            </w:r>
          </w:p>
        </w:tc>
        <w:tc>
          <w:tcPr>
            <w:tcW w:w="240" w:type="dxa"/>
            <w:vAlign w:val="bottom"/>
            <w:gridSpan w:val="2"/>
            <w:shd w:val="clear" w:color="auto" w:fill="CFF0FC"/>
          </w:tcPr>
          <w:p>
            <w:pPr>
              <w:jc w:val="right"/>
              <w:ind w:right="6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0" w:lineRule="exact"/>
              <w:rPr>
                <w:sz w:val="20"/>
                <w:szCs w:val="20"/>
                <w:color w:val="auto"/>
              </w:rPr>
            </w:pPr>
            <w:r>
              <w:rPr>
                <w:rFonts w:ascii="Times New Roman" w:cs="Times New Roman" w:eastAsia="Times New Roman" w:hAnsi="Times New Roman"/>
                <w:sz w:val="14"/>
                <w:szCs w:val="14"/>
                <w:color w:val="auto"/>
              </w:rPr>
              <w:t>680,129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6165215</wp:posOffset>
            </wp:positionH>
            <wp:positionV relativeFrom="paragraph">
              <wp:posOffset>-2809240</wp:posOffset>
            </wp:positionV>
            <wp:extent cx="679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-2809240</wp:posOffset>
            </wp:positionV>
            <wp:extent cx="679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6165215</wp:posOffset>
            </wp:positionH>
            <wp:positionV relativeFrom="paragraph">
              <wp:posOffset>-2030730</wp:posOffset>
            </wp:positionV>
            <wp:extent cx="679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-2030730</wp:posOffset>
            </wp:positionV>
            <wp:extent cx="679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6165215</wp:posOffset>
            </wp:positionH>
            <wp:positionV relativeFrom="paragraph">
              <wp:posOffset>-1454785</wp:posOffset>
            </wp:positionV>
            <wp:extent cx="679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-1454785</wp:posOffset>
            </wp:positionV>
            <wp:extent cx="67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6165215</wp:posOffset>
            </wp:positionH>
            <wp:positionV relativeFrom="paragraph">
              <wp:posOffset>-422275</wp:posOffset>
            </wp:positionV>
            <wp:extent cx="679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-422275</wp:posOffset>
            </wp:positionV>
            <wp:extent cx="679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6165215</wp:posOffset>
            </wp:positionH>
            <wp:positionV relativeFrom="paragraph">
              <wp:posOffset>-227965</wp:posOffset>
            </wp:positionV>
            <wp:extent cx="6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-227965</wp:posOffset>
            </wp:positionV>
            <wp:extent cx="679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6165215</wp:posOffset>
            </wp:positionH>
            <wp:positionV relativeFrom="paragraph">
              <wp:posOffset>-24765</wp:posOffset>
            </wp:positionV>
            <wp:extent cx="679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6165215</wp:posOffset>
            </wp:positionH>
            <wp:positionV relativeFrom="paragraph">
              <wp:posOffset>-7620</wp:posOffset>
            </wp:positionV>
            <wp:extent cx="679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9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9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80" w:type="dxa"/>
            <w:vAlign w:val="bottom"/>
            <w:gridSpan w:val="3"/>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29"/>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09"/>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1900" w:type="dxa"/>
            <w:vAlign w:val="bottom"/>
            <w:tcBorders>
              <w:bottom w:val="single" w:sz="8" w:color="CFF0FC"/>
            </w:tcBorders>
            <w:gridSpan w:val="2"/>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150,971</w:t>
            </w:r>
          </w:p>
        </w:tc>
        <w:tc>
          <w:tcPr>
            <w:tcW w:w="3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122,690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94,640</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74,788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vMerge w:val="continue"/>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6"/>
                <w:szCs w:val="16"/>
                <w:color w:val="auto"/>
              </w:rPr>
            </w:pPr>
          </w:p>
        </w:tc>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4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56,331</w:t>
            </w:r>
          </w:p>
        </w:tc>
        <w:tc>
          <w:tcPr>
            <w:tcW w:w="3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47,902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46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26,435</w:t>
            </w:r>
          </w:p>
        </w:tc>
        <w:tc>
          <w:tcPr>
            <w:tcW w:w="300" w:type="dxa"/>
            <w:vAlign w:val="bottom"/>
            <w:tcBorders>
              <w:top w:val="single" w:sz="8" w:color="CFF0FC"/>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27,200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Operations and support</w:t>
            </w:r>
          </w:p>
        </w:tc>
        <w:tc>
          <w:tcPr>
            <w:tcW w:w="14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17,090</w:t>
            </w:r>
          </w:p>
        </w:tc>
        <w:tc>
          <w:tcPr>
            <w:tcW w:w="3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14,047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Product development</w:t>
            </w:r>
          </w:p>
        </w:tc>
        <w:tc>
          <w:tcPr>
            <w:tcW w:w="1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11,171</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17,026</w:t>
            </w:r>
          </w:p>
        </w:tc>
        <w:tc>
          <w:tcPr>
            <w:tcW w:w="3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Total operating expenses</w:t>
            </w:r>
          </w:p>
        </w:tc>
        <w:tc>
          <w:tcPr>
            <w:tcW w:w="146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71,722</w:t>
            </w:r>
          </w:p>
        </w:tc>
        <w:tc>
          <w:tcPr>
            <w:tcW w:w="3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65,759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vMerge w:val="continue"/>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14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17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(15,391)</w:t>
            </w:r>
          </w:p>
        </w:tc>
        <w:tc>
          <w:tcPr>
            <w:tcW w:w="52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(17,857)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 (expenses)</w:t>
            </w:r>
          </w:p>
        </w:tc>
        <w:tc>
          <w:tcPr>
            <w:tcW w:w="1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4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17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(1,188)</w:t>
            </w:r>
          </w:p>
        </w:tc>
        <w:tc>
          <w:tcPr>
            <w:tcW w:w="52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(1,189)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dividend income</w:t>
            </w:r>
          </w:p>
        </w:tc>
        <w:tc>
          <w:tcPr>
            <w:tcW w:w="1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14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17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(880)</w:t>
            </w:r>
          </w:p>
        </w:tc>
        <w:tc>
          <w:tcPr>
            <w:tcW w:w="52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Income from unconsolidated joint venture</w:t>
            </w: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vMerge w:val="continue"/>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income</w:t>
            </w:r>
          </w:p>
        </w:tc>
        <w:tc>
          <w:tcPr>
            <w:tcW w:w="146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3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(15,076)</w:t>
            </w:r>
          </w:p>
        </w:tc>
        <w:tc>
          <w:tcPr>
            <w:tcW w:w="520" w:type="dxa"/>
            <w:vAlign w:val="bottom"/>
          </w:tcPr>
          <w:p>
            <w:pPr>
              <w:spacing w:after="0"/>
              <w:rPr>
                <w:sz w:val="15"/>
                <w:szCs w:val="15"/>
                <w:color w:val="auto"/>
              </w:rPr>
            </w:pP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146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760" w:type="dxa"/>
            <w:vAlign w:val="bottom"/>
            <w:tcBorders>
              <w:bottom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(15,076)</w:t>
            </w:r>
          </w:p>
        </w:tc>
        <w:tc>
          <w:tcPr>
            <w:tcW w:w="520" w:type="dxa"/>
            <w:vAlign w:val="bottom"/>
          </w:tcPr>
          <w:p>
            <w:pPr>
              <w:spacing w:after="0"/>
              <w:rPr>
                <w:sz w:val="15"/>
                <w:szCs w:val="15"/>
                <w:color w:val="auto"/>
              </w:rPr>
            </w:pP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46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Net loss attributable to common stockholders</w:t>
            </w:r>
          </w:p>
        </w:tc>
        <w:tc>
          <w:tcPr>
            <w:tcW w:w="1460" w:type="dxa"/>
            <w:vAlign w:val="bottom"/>
          </w:tcPr>
          <w:p>
            <w:pPr>
              <w:spacing w:after="0"/>
              <w:rPr>
                <w:sz w:val="14"/>
                <w:szCs w:val="14"/>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(15,078)</w:t>
            </w: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Net loss per share, basic and diluted, of Class A and Class B common stock</w:t>
            </w:r>
          </w:p>
        </w:tc>
        <w:tc>
          <w:tcPr>
            <w:tcW w:w="1900" w:type="dxa"/>
            <w:vAlign w:val="bottom"/>
            <w:gridSpan w:val="2"/>
            <w:shd w:val="clear" w:color="auto" w:fill="CFF0FC"/>
          </w:tcPr>
          <w:p>
            <w:pPr>
              <w:jc w:val="right"/>
              <w:ind w:right="289"/>
              <w:spacing w:after="0" w:line="153"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shd w:val="clear" w:color="auto" w:fill="CFF0FC"/>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(0.30)</w:t>
            </w:r>
          </w:p>
        </w:tc>
        <w:tc>
          <w:tcPr>
            <w:tcW w:w="520" w:type="dxa"/>
            <w:vAlign w:val="bottom"/>
            <w:shd w:val="clear" w:color="auto" w:fill="CFF0FC"/>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820" w:type="dxa"/>
            <w:vAlign w:val="bottom"/>
            <w:tcBorders>
              <w:top w:val="single" w:sz="8" w:color="CFF0FC"/>
            </w:tcBorders>
          </w:tcPr>
          <w:p>
            <w:pPr>
              <w:spacing w:after="0" w:line="104" w:lineRule="exact"/>
              <w:rPr>
                <w:sz w:val="20"/>
                <w:szCs w:val="20"/>
                <w:color w:val="auto"/>
              </w:rPr>
            </w:pPr>
            <w:r>
              <w:rPr>
                <w:rFonts w:ascii="Times New Roman" w:cs="Times New Roman" w:eastAsia="Times New Roman" w:hAnsi="Times New Roman"/>
                <w:sz w:val="12"/>
                <w:szCs w:val="12"/>
                <w:color w:val="auto"/>
              </w:rPr>
              <w:t>Weighted-average number of shares outstanding used to compute</w:t>
            </w:r>
          </w:p>
        </w:tc>
        <w:tc>
          <w:tcPr>
            <w:tcW w:w="1460" w:type="dxa"/>
            <w:vAlign w:val="bottom"/>
            <w:tcBorders>
              <w:top w:val="single" w:sz="8" w:color="CFF0FC"/>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50,335,053</w:t>
            </w:r>
          </w:p>
        </w:tc>
        <w:tc>
          <w:tcPr>
            <w:tcW w:w="300" w:type="dxa"/>
            <w:vAlign w:val="bottom"/>
            <w:tcBorders>
              <w:top w:val="single" w:sz="8" w:color="CFF0FC"/>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48,577,980</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20" w:type="dxa"/>
            <w:vAlign w:val="bottom"/>
          </w:tcPr>
          <w:p>
            <w:pPr>
              <w:ind w:left="100"/>
              <w:spacing w:after="0" w:line="123" w:lineRule="exact"/>
              <w:rPr>
                <w:sz w:val="20"/>
                <w:szCs w:val="20"/>
                <w:color w:val="auto"/>
              </w:rPr>
            </w:pPr>
            <w:r>
              <w:rPr>
                <w:rFonts w:ascii="Times New Roman" w:cs="Times New Roman" w:eastAsia="Times New Roman" w:hAnsi="Times New Roman"/>
                <w:sz w:val="14"/>
                <w:szCs w:val="14"/>
                <w:color w:val="auto"/>
              </w:rPr>
              <w:t>net loss per share, basic and diluted, of Class A and Class B common stock</w:t>
            </w:r>
          </w:p>
        </w:tc>
        <w:tc>
          <w:tcPr>
            <w:tcW w:w="14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vMerge w:val="restart"/>
          </w:tcPr>
          <w:p>
            <w:pPr>
              <w:spacing w:after="0"/>
              <w:rPr>
                <w:sz w:val="24"/>
                <w:szCs w:val="24"/>
                <w:color w:val="auto"/>
              </w:rPr>
            </w:pPr>
          </w:p>
        </w:tc>
        <w:tc>
          <w:tcPr>
            <w:tcW w:w="5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900" w:type="dxa"/>
            <w:vAlign w:val="bottom"/>
            <w:tcBorders>
              <w:bottom w:val="single" w:sz="8" w:color="CFF0FC"/>
            </w:tcBorders>
            <w:gridSpan w:val="2"/>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(15,076)</w:t>
            </w:r>
          </w:p>
        </w:tc>
        <w:tc>
          <w:tcPr>
            <w:tcW w:w="520" w:type="dxa"/>
            <w:vAlign w:val="bottom"/>
            <w:tcBorders>
              <w:bottom w:val="single" w:sz="8" w:color="CFF0FC"/>
            </w:tcBorders>
            <w:shd w:val="clear" w:color="auto" w:fill="CFF0FC"/>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(16,604)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1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46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3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5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17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(13,556)</w:t>
            </w:r>
          </w:p>
        </w:tc>
        <w:tc>
          <w:tcPr>
            <w:tcW w:w="52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(17,061)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income attributable to noncontrolling interest</w:t>
            </w: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(11)</w:t>
            </w:r>
          </w:p>
        </w:tc>
        <w:tc>
          <w:tcPr>
            <w:tcW w:w="5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comprehensive loss attributable to common stockholders</w:t>
            </w:r>
          </w:p>
        </w:tc>
        <w:tc>
          <w:tcPr>
            <w:tcW w:w="146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(13,545)</w:t>
            </w:r>
          </w:p>
        </w:tc>
        <w:tc>
          <w:tcPr>
            <w:tcW w:w="520" w:type="dxa"/>
            <w:vAlign w:val="bottom"/>
            <w:shd w:val="clear" w:color="auto" w:fill="CFF0FC"/>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-3850005</wp:posOffset>
            </wp:positionV>
            <wp:extent cx="762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-3850005</wp:posOffset>
            </wp:positionV>
            <wp:extent cx="679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5830570</wp:posOffset>
            </wp:positionH>
            <wp:positionV relativeFrom="paragraph">
              <wp:posOffset>-3312795</wp:posOffset>
            </wp:positionV>
            <wp:extent cx="101600" cy="160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1600" cy="160655"/>
                    </a:xfrm>
                    <a:prstGeom prst="rect">
                      <a:avLst/>
                    </a:prstGeom>
                    <a:noFill/>
                  </pic:spPr>
                </pic:pic>
              </a:graphicData>
            </a:graphic>
          </wp:anchor>
        </w:drawing>
        <w:drawing>
          <wp:anchor simplePos="0" relativeHeight="251657728" behindDoc="1" locked="0" layoutInCell="0" allowOverlap="1">
            <wp:simplePos x="0" y="0"/>
            <wp:positionH relativeFrom="column">
              <wp:posOffset>7058025</wp:posOffset>
            </wp:positionH>
            <wp:positionV relativeFrom="paragraph">
              <wp:posOffset>-3312795</wp:posOffset>
            </wp:positionV>
            <wp:extent cx="93345" cy="160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345" cy="16065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-2225040</wp:posOffset>
            </wp:positionV>
            <wp:extent cx="762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-2225040</wp:posOffset>
            </wp:positionV>
            <wp:extent cx="679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-1954530</wp:posOffset>
            </wp:positionV>
            <wp:extent cx="762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-1954530</wp:posOffset>
            </wp:positionV>
            <wp:extent cx="679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-1683385</wp:posOffset>
            </wp:positionV>
            <wp:extent cx="76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-1683385</wp:posOffset>
            </wp:positionV>
            <wp:extent cx="679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-1429385</wp:posOffset>
            </wp:positionV>
            <wp:extent cx="762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-1412875</wp:posOffset>
            </wp:positionV>
            <wp:extent cx="762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-1429385</wp:posOffset>
            </wp:positionV>
            <wp:extent cx="679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-1412875</wp:posOffset>
            </wp:positionV>
            <wp:extent cx="679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-549275</wp:posOffset>
            </wp:positionV>
            <wp:extent cx="762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-549275</wp:posOffset>
            </wp:positionV>
            <wp:extent cx="679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-24765</wp:posOffset>
            </wp:positionV>
            <wp:extent cx="762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-7620</wp:posOffset>
            </wp:positionV>
            <wp:extent cx="762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9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9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Three months ended March 31, 2025 and 2024</w:t>
      </w:r>
    </w:p>
    <w:p>
      <w:pPr>
        <w:spacing w:after="0" w:line="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160" w:type="dxa"/>
            <w:vAlign w:val="bottom"/>
            <w:gridSpan w:val="3"/>
          </w:tcPr>
          <w:p>
            <w:pPr>
              <w:jc w:val="center"/>
              <w:ind w:left="50"/>
              <w:spacing w:after="0" w:line="133" w:lineRule="exact"/>
              <w:rPr>
                <w:sz w:val="20"/>
                <w:szCs w:val="20"/>
                <w:color w:val="auto"/>
              </w:rPr>
            </w:pPr>
            <w:r>
              <w:rPr>
                <w:rFonts w:ascii="Times New Roman" w:cs="Times New Roman" w:eastAsia="Times New Roman" w:hAnsi="Times New Roman"/>
                <w:sz w:val="12"/>
                <w:szCs w:val="12"/>
                <w:b w:val="1"/>
                <w:bCs w:val="1"/>
                <w:color w:val="auto"/>
              </w:rPr>
              <w:t>Class A - Common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Class B - Common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10"/>
              <w:spacing w:after="0" w:line="133"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0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Noncontrolli</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860" w:type="dxa"/>
            <w:vAlign w:val="bottom"/>
            <w:gridSpan w:val="2"/>
          </w:tcPr>
          <w:p>
            <w:pPr>
              <w:jc w:val="center"/>
              <w:ind w:left="370"/>
              <w:spacing w:after="0" w:line="133" w:lineRule="exact"/>
              <w:rPr>
                <w:sz w:val="20"/>
                <w:szCs w:val="20"/>
                <w:color w:val="auto"/>
              </w:rPr>
            </w:pPr>
            <w:r>
              <w:rPr>
                <w:rFonts w:ascii="Times New Roman" w:cs="Times New Roman" w:eastAsia="Times New Roman" w:hAnsi="Times New Roman"/>
                <w:sz w:val="12"/>
                <w:szCs w:val="12"/>
                <w:b w:val="1"/>
                <w:bCs w:val="1"/>
                <w:color w:val="auto"/>
              </w:rPr>
              <w:t>Stock</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left="171"/>
              <w:spacing w:after="0" w:line="133" w:lineRule="exact"/>
              <w:rPr>
                <w:sz w:val="20"/>
                <w:szCs w:val="20"/>
                <w:color w:val="auto"/>
              </w:rPr>
            </w:pPr>
            <w:r>
              <w:rPr>
                <w:rFonts w:ascii="Times New Roman" w:cs="Times New Roman" w:eastAsia="Times New Roman" w:hAnsi="Times New Roman"/>
                <w:sz w:val="12"/>
                <w:szCs w:val="12"/>
                <w:b w:val="1"/>
                <w:bCs w:val="1"/>
                <w:color w:val="auto"/>
              </w:rPr>
              <w:t>Stock</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90"/>
              <w:spacing w:after="0" w:line="133"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2"/>
                <w:szCs w:val="12"/>
                <w:b w:val="1"/>
                <w:bCs w:val="1"/>
                <w:color w:val="auto"/>
              </w:rPr>
              <w:t>e</w:t>
            </w:r>
          </w:p>
        </w:tc>
        <w:tc>
          <w:tcPr>
            <w:tcW w:w="980" w:type="dxa"/>
            <w:vAlign w:val="bottom"/>
            <w:gridSpan w:val="4"/>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600" w:type="dxa"/>
            <w:vAlign w:val="bottom"/>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w w:val="70"/>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ng</w:t>
            </w:r>
          </w:p>
        </w:tc>
        <w:tc>
          <w:tcPr>
            <w:tcW w:w="180" w:type="dxa"/>
            <w:vAlign w:val="bottom"/>
          </w:tcPr>
          <w:p>
            <w:pPr>
              <w:spacing w:after="0"/>
              <w:rPr>
                <w:sz w:val="11"/>
                <w:szCs w:val="11"/>
                <w:color w:val="auto"/>
              </w:rPr>
            </w:pPr>
          </w:p>
        </w:tc>
        <w:tc>
          <w:tcPr>
            <w:tcW w:w="880" w:type="dxa"/>
            <w:vAlign w:val="bottom"/>
            <w:gridSpan w:val="2"/>
          </w:tcPr>
          <w:p>
            <w:pPr>
              <w:jc w:val="right"/>
              <w:ind w:right="44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3"/>
                <w:szCs w:val="13"/>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(Loss) Income</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48,289,274</w:t>
            </w:r>
          </w:p>
        </w:tc>
        <w:tc>
          <w:tcPr>
            <w:tcW w:w="10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1,475,31</w:t>
            </w:r>
          </w:p>
        </w:tc>
        <w:tc>
          <w:tcPr>
            <w:tcW w:w="30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685,054</w:t>
            </w:r>
          </w:p>
        </w:tc>
        <w:tc>
          <w:tcPr>
            <w:tcW w:w="26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(370,273)</w:t>
            </w:r>
          </w:p>
        </w:tc>
        <w:tc>
          <w:tcPr>
            <w:tcW w:w="14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314,453</w:t>
            </w:r>
          </w:p>
        </w:tc>
        <w:tc>
          <w:tcPr>
            <w:tcW w:w="1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10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315,596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gridSpan w:val="2"/>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54,679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3"/>
          </w:tcPr>
          <w:p>
            <w:pPr>
              <w:jc w:val="right"/>
              <w:ind w:right="172"/>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7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611,311</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172"/>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Shares issued in business combination</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16,716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3"/>
          </w:tcPr>
          <w:p>
            <w:pPr>
              <w:jc w:val="right"/>
              <w:ind w:right="172"/>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color w:val="auto"/>
              </w:rPr>
              <w:t>Donated common stock</w:t>
            </w:r>
          </w:p>
        </w:tc>
        <w:tc>
          <w:tcPr>
            <w:tcW w:w="7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20,133</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516</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172"/>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516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516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Stock based compensation</w:t>
            </w:r>
          </w:p>
        </w:tc>
        <w:tc>
          <w:tcPr>
            <w:tcW w:w="86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7,342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3"/>
          </w:tcPr>
          <w:p>
            <w:pPr>
              <w:jc w:val="right"/>
              <w:ind w:right="172"/>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7,342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7,342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color w:val="auto"/>
              </w:rPr>
              <w:t>Comprehensive (loss) income</w:t>
            </w: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6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172"/>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shd w:val="clear" w:color="auto" w:fill="CFF0FC"/>
          </w:tcPr>
          <w:p>
            <w:pPr>
              <w:ind w:left="40"/>
              <w:spacing w:after="0" w:line="147" w:lineRule="exact"/>
              <w:rPr>
                <w:sz w:val="20"/>
                <w:szCs w:val="20"/>
                <w:color w:val="auto"/>
              </w:rPr>
            </w:pPr>
            <w:r>
              <w:rPr>
                <w:rFonts w:ascii="Times New Roman" w:cs="Times New Roman" w:eastAsia="Times New Roman" w:hAnsi="Times New Roman"/>
                <w:sz w:val="14"/>
                <w:szCs w:val="14"/>
                <w:color w:val="auto"/>
              </w:rPr>
              <w:t>Net (loss) income</w:t>
            </w:r>
          </w:p>
        </w:tc>
        <w:tc>
          <w:tcPr>
            <w:tcW w:w="86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(15,078)</w:t>
            </w: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(15,078)</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(15,076)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29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Total comprehensive loss</w:t>
            </w:r>
          </w:p>
        </w:tc>
        <w:tc>
          <w:tcPr>
            <w:tcW w:w="76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ind w:left="120"/>
              <w:spacing w:after="0" w:line="140"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4"/>
                <w:szCs w:val="14"/>
                <w:color w:val="auto"/>
              </w:rPr>
              <w:t>(15,078)</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0" w:lineRule="exact"/>
              <w:rPr>
                <w:sz w:val="20"/>
                <w:szCs w:val="20"/>
                <w:color w:val="auto"/>
              </w:rPr>
            </w:pPr>
            <w:r>
              <w:rPr>
                <w:rFonts w:ascii="Times New Roman" w:cs="Times New Roman" w:eastAsia="Times New Roman" w:hAnsi="Times New Roman"/>
                <w:sz w:val="14"/>
                <w:szCs w:val="14"/>
                <w:color w:val="auto"/>
              </w:rPr>
              <w:t>(13,545)</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0" w:lineRule="exact"/>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2"/>
                <w:szCs w:val="12"/>
                <w:color w:val="auto"/>
              </w:rPr>
            </w:pPr>
          </w:p>
        </w:tc>
        <w:tc>
          <w:tcPr>
            <w:tcW w:w="880" w:type="dxa"/>
            <w:vAlign w:val="bottom"/>
            <w:gridSpan w:val="2"/>
          </w:tcPr>
          <w:p>
            <w:pPr>
              <w:jc w:val="right"/>
              <w:ind w:right="80"/>
              <w:spacing w:after="0" w:line="140" w:lineRule="exact"/>
              <w:rPr>
                <w:sz w:val="20"/>
                <w:szCs w:val="20"/>
                <w:color w:val="auto"/>
              </w:rPr>
            </w:pPr>
            <w:r>
              <w:rPr>
                <w:rFonts w:ascii="Times New Roman" w:cs="Times New Roman" w:eastAsia="Times New Roman" w:hAnsi="Times New Roman"/>
                <w:sz w:val="14"/>
                <w:szCs w:val="14"/>
                <w:color w:val="auto"/>
              </w:rPr>
              <w:t>(13,556)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80" w:type="dxa"/>
            <w:vAlign w:val="bottom"/>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1,475,31</w:t>
            </w:r>
          </w:p>
        </w:tc>
        <w:tc>
          <w:tcPr>
            <w:tcW w:w="100" w:type="dxa"/>
            <w:vAlign w:val="bottom"/>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March 31, 2025</w:t>
            </w: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48,992,113</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694,047</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(385,351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309,901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311,033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45,489,379</w:t>
            </w:r>
          </w:p>
        </w:tc>
        <w:tc>
          <w:tcPr>
            <w:tcW w:w="10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2,676,15</w:t>
            </w:r>
          </w:p>
        </w:tc>
        <w:tc>
          <w:tcPr>
            <w:tcW w:w="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648,317</w:t>
            </w:r>
          </w:p>
        </w:tc>
        <w:tc>
          <w:tcPr>
            <w:tcW w:w="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20" w:type="dxa"/>
            <w:vAlign w:val="bottom"/>
          </w:tcPr>
          <w:p>
            <w:pPr>
              <w:spacing w:after="0"/>
              <w:rPr>
                <w:sz w:val="21"/>
                <w:szCs w:val="2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(319,872)</w:t>
            </w:r>
          </w:p>
        </w:tc>
        <w:tc>
          <w:tcPr>
            <w:tcW w:w="140" w:type="dxa"/>
            <w:vAlign w:val="bottom"/>
          </w:tcPr>
          <w:p>
            <w:pPr>
              <w:spacing w:after="0"/>
              <w:rPr>
                <w:sz w:val="21"/>
                <w:szCs w:val="2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329,300</w:t>
            </w:r>
          </w:p>
        </w:tc>
        <w:tc>
          <w:tcPr>
            <w:tcW w:w="100" w:type="dxa"/>
            <w:vAlign w:val="bottom"/>
          </w:tcPr>
          <w:p>
            <w:pPr>
              <w:spacing w:after="0"/>
              <w:rPr>
                <w:sz w:val="21"/>
                <w:szCs w:val="2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tcPr>
          <w:p>
            <w:pPr>
              <w:spacing w:after="0"/>
              <w:rPr>
                <w:sz w:val="21"/>
                <w:szCs w:val="21"/>
                <w:color w:val="auto"/>
              </w:rPr>
            </w:pPr>
          </w:p>
        </w:tc>
        <w:tc>
          <w:tcPr>
            <w:tcW w:w="1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330,419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0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7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120,481</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1,233</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172"/>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1,233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1,233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359,911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3"/>
          </w:tcPr>
          <w:p>
            <w:pPr>
              <w:jc w:val="right"/>
              <w:ind w:right="172"/>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color w:val="auto"/>
              </w:rPr>
              <w:t>Shares issued in business combination</w:t>
            </w:r>
          </w:p>
        </w:tc>
        <w:tc>
          <w:tcPr>
            <w:tcW w:w="7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21,083</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172"/>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625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Donated common stock</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20,133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3"/>
          </w:tcPr>
          <w:p>
            <w:pPr>
              <w:jc w:val="right"/>
              <w:ind w:right="172"/>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color w:val="auto"/>
              </w:rPr>
              <w:t>Stock based compensation</w:t>
            </w:r>
          </w:p>
        </w:tc>
        <w:tc>
          <w:tcPr>
            <w:tcW w:w="86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6,036</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172"/>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6,036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6,036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Comprehensive (loss) income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shd w:val="clear" w:color="auto" w:fill="CFF0FC"/>
          </w:tcPr>
          <w:p>
            <w:pPr>
              <w:ind w:left="40"/>
              <w:spacing w:after="0" w:line="147"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6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(474)</w:t>
            </w:r>
          </w:p>
        </w:tc>
        <w:tc>
          <w:tcPr>
            <w:tcW w:w="12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172"/>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(474)</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Net (loss) income</w:t>
            </w:r>
          </w:p>
        </w:tc>
        <w:tc>
          <w:tcPr>
            <w:tcW w:w="86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(16,616)</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(16,616)</w:t>
            </w:r>
          </w:p>
        </w:tc>
        <w:tc>
          <w:tcPr>
            <w:tcW w:w="12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(16,604)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298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4"/>
                <w:szCs w:val="14"/>
                <w:color w:val="auto"/>
              </w:rPr>
              <w:t>Total comprehensive (loss) income</w:t>
            </w:r>
          </w:p>
        </w:tc>
        <w:tc>
          <w:tcPr>
            <w:tcW w:w="760" w:type="dxa"/>
            <w:vAlign w:val="bottom"/>
            <w:shd w:val="clear" w:color="auto" w:fill="CFF0FC"/>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0"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0" w:lineRule="exact"/>
              <w:rPr>
                <w:sz w:val="20"/>
                <w:szCs w:val="20"/>
                <w:color w:val="auto"/>
              </w:rPr>
            </w:pPr>
            <w:r>
              <w:rPr>
                <w:rFonts w:ascii="Times New Roman" w:cs="Times New Roman" w:eastAsia="Times New Roman" w:hAnsi="Times New Roman"/>
                <w:sz w:val="14"/>
                <w:szCs w:val="14"/>
                <w:color w:val="auto"/>
              </w:rPr>
              <w:t>(16,616)</w:t>
            </w: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0" w:lineRule="exact"/>
              <w:rPr>
                <w:sz w:val="20"/>
                <w:szCs w:val="20"/>
                <w:color w:val="auto"/>
              </w:rPr>
            </w:pPr>
            <w:r>
              <w:rPr>
                <w:rFonts w:ascii="Times New Roman" w:cs="Times New Roman" w:eastAsia="Times New Roman" w:hAnsi="Times New Roman"/>
                <w:sz w:val="14"/>
                <w:szCs w:val="14"/>
                <w:color w:val="auto"/>
              </w:rPr>
              <w:t>(17,090)</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0"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0" w:lineRule="exact"/>
              <w:rPr>
                <w:sz w:val="20"/>
                <w:szCs w:val="20"/>
                <w:color w:val="auto"/>
              </w:rPr>
            </w:pPr>
            <w:r>
              <w:rPr>
                <w:rFonts w:ascii="Times New Roman" w:cs="Times New Roman" w:eastAsia="Times New Roman" w:hAnsi="Times New Roman"/>
                <w:sz w:val="14"/>
                <w:szCs w:val="14"/>
                <w:color w:val="auto"/>
              </w:rPr>
              <w:t>(17,061)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80" w:type="dxa"/>
            <w:vAlign w:val="bottom"/>
            <w:tcBorders>
              <w:top w:val="single" w:sz="8" w:color="CFF0F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2,676,15</w:t>
            </w:r>
          </w:p>
        </w:tc>
        <w:tc>
          <w:tcPr>
            <w:tcW w:w="10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March 31, 2024</w:t>
            </w: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46,010,987</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656,554</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(336,488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320,447</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1,148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321,595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5361305</wp:posOffset>
            </wp:positionH>
            <wp:positionV relativeFrom="paragraph">
              <wp:posOffset>-1666240</wp:posOffset>
            </wp:positionV>
            <wp:extent cx="679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-1666240</wp:posOffset>
            </wp:positionV>
            <wp:extent cx="679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6402070</wp:posOffset>
            </wp:positionH>
            <wp:positionV relativeFrom="paragraph">
              <wp:posOffset>-1666240</wp:posOffset>
            </wp:positionV>
            <wp:extent cx="679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-1666240</wp:posOffset>
            </wp:positionV>
            <wp:extent cx="762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-1370330</wp:posOffset>
            </wp:positionV>
            <wp:extent cx="679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-1353185</wp:posOffset>
            </wp:positionV>
            <wp:extent cx="679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-1370330</wp:posOffset>
            </wp:positionV>
            <wp:extent cx="679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-1353185</wp:posOffset>
            </wp:positionV>
            <wp:extent cx="679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-1370330</wp:posOffset>
            </wp:positionV>
            <wp:extent cx="679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-1353185</wp:posOffset>
            </wp:positionV>
            <wp:extent cx="679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-1370330</wp:posOffset>
            </wp:positionV>
            <wp:extent cx="679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-1353185</wp:posOffset>
            </wp:positionV>
            <wp:extent cx="679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-1370330</wp:posOffset>
            </wp:positionV>
            <wp:extent cx="679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-1353185</wp:posOffset>
            </wp:positionV>
            <wp:extent cx="679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-1370330</wp:posOffset>
            </wp:positionV>
            <wp:extent cx="679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-1353185</wp:posOffset>
            </wp:positionV>
            <wp:extent cx="679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-1370330</wp:posOffset>
            </wp:positionV>
            <wp:extent cx="679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-1353185</wp:posOffset>
            </wp:positionV>
            <wp:extent cx="679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-1370330</wp:posOffset>
            </wp:positionV>
            <wp:extent cx="679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-1353185</wp:posOffset>
            </wp:positionV>
            <wp:extent cx="679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6402070</wp:posOffset>
            </wp:positionH>
            <wp:positionV relativeFrom="paragraph">
              <wp:posOffset>-1370330</wp:posOffset>
            </wp:positionV>
            <wp:extent cx="679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6402070</wp:posOffset>
            </wp:positionH>
            <wp:positionV relativeFrom="paragraph">
              <wp:posOffset>-1353185</wp:posOffset>
            </wp:positionV>
            <wp:extent cx="679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-1370330</wp:posOffset>
            </wp:positionV>
            <wp:extent cx="762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-1353185</wp:posOffset>
            </wp:positionV>
            <wp:extent cx="762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-219710</wp:posOffset>
            </wp:positionV>
            <wp:extent cx="679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-219710</wp:posOffset>
            </wp:positionV>
            <wp:extent cx="679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-219710</wp:posOffset>
            </wp:positionV>
            <wp:extent cx="679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-219710</wp:posOffset>
            </wp:positionV>
            <wp:extent cx="679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-219710</wp:posOffset>
            </wp:positionV>
            <wp:extent cx="679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-219710</wp:posOffset>
            </wp:positionV>
            <wp:extent cx="679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-219710</wp:posOffset>
            </wp:positionV>
            <wp:extent cx="679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-219710</wp:posOffset>
            </wp:positionV>
            <wp:extent cx="679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6402070</wp:posOffset>
            </wp:positionH>
            <wp:positionV relativeFrom="paragraph">
              <wp:posOffset>-219710</wp:posOffset>
            </wp:positionV>
            <wp:extent cx="679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-219710</wp:posOffset>
            </wp:positionV>
            <wp:extent cx="762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80" w:type="dxa"/>
            <w:vAlign w:val="bottom"/>
            <w:tcBorders>
              <w:bottom w:val="single" w:sz="8" w:color="auto"/>
            </w:tcBorders>
            <w:gridSpan w:val="5"/>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60" w:type="dxa"/>
            <w:vAlign w:val="bottom"/>
            <w:tcBorders>
              <w:bottom w:val="single" w:sz="8" w:color="auto"/>
            </w:tcBorders>
          </w:tcPr>
          <w:p>
            <w:pPr>
              <w:jc w:val="right"/>
              <w:ind w:right="73"/>
              <w:spacing w:after="0" w:line="140" w:lineRule="exact"/>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bottom w:val="single" w:sz="8" w:color="auto"/>
            </w:tcBorders>
          </w:tcPr>
          <w:p>
            <w:pPr>
              <w:jc w:val="right"/>
              <w:ind w:right="62"/>
              <w:spacing w:after="0" w:line="140" w:lineRule="exact"/>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586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8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586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color w:val="auto"/>
              </w:rPr>
              <w:t>Net loss</w:t>
            </w:r>
          </w:p>
        </w:tc>
        <w:tc>
          <w:tcPr>
            <w:tcW w:w="2900" w:type="dxa"/>
            <w:vAlign w:val="bottom"/>
            <w:gridSpan w:val="2"/>
          </w:tcPr>
          <w:p>
            <w:pPr>
              <w:jc w:val="right"/>
              <w:ind w:right="933"/>
              <w:spacing w:after="0" w:line="147"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(15,076)</w:t>
            </w:r>
          </w:p>
        </w:tc>
        <w:tc>
          <w:tcPr>
            <w:tcW w:w="140" w:type="dxa"/>
            <w:vAlign w:val="bottom"/>
          </w:tcPr>
          <w:p>
            <w:pPr>
              <w:spacing w:after="0"/>
              <w:rPr>
                <w:sz w:val="12"/>
                <w:szCs w:val="12"/>
                <w:color w:val="auto"/>
              </w:rPr>
            </w:pPr>
          </w:p>
        </w:tc>
        <w:tc>
          <w:tcPr>
            <w:tcW w:w="1040" w:type="dxa"/>
            <w:vAlign w:val="bottom"/>
          </w:tcPr>
          <w:p>
            <w:pPr>
              <w:jc w:val="right"/>
              <w:ind w:right="92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(16,604)</w:t>
            </w:r>
          </w:p>
        </w:tc>
      </w:tr>
      <w:tr>
        <w:trPr>
          <w:trHeight w:val="147"/>
        </w:trPr>
        <w:tc>
          <w:tcPr>
            <w:tcW w:w="20" w:type="dxa"/>
            <w:vAlign w:val="bottom"/>
          </w:tcPr>
          <w:p>
            <w:pPr>
              <w:spacing w:after="0"/>
              <w:rPr>
                <w:sz w:val="12"/>
                <w:szCs w:val="12"/>
                <w:color w:val="auto"/>
              </w:rPr>
            </w:pPr>
          </w:p>
        </w:tc>
        <w:tc>
          <w:tcPr>
            <w:tcW w:w="586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8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58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4,246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3,153</w:t>
            </w:r>
          </w:p>
        </w:tc>
        <w:tc>
          <w:tcPr>
            <w:tcW w:w="1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5860" w:type="dxa"/>
            <w:vAlign w:val="bottom"/>
            <w:shd w:val="clear" w:color="auto" w:fill="CFF0FC"/>
          </w:tcPr>
          <w:p>
            <w:pPr>
              <w:ind w:left="260"/>
              <w:spacing w:after="0" w:line="147" w:lineRule="exact"/>
              <w:rPr>
                <w:sz w:val="20"/>
                <w:szCs w:val="20"/>
                <w:color w:val="auto"/>
              </w:rPr>
            </w:pPr>
            <w:r>
              <w:rPr>
                <w:rFonts w:ascii="Times New Roman" w:cs="Times New Roman" w:eastAsia="Times New Roman" w:hAnsi="Times New Roman"/>
                <w:sz w:val="13"/>
                <w:szCs w:val="13"/>
                <w:color w:val="auto"/>
              </w:rPr>
              <w:t>Reduction in carrying amount of right-of-use asset</w:t>
            </w:r>
          </w:p>
        </w:tc>
        <w:tc>
          <w:tcPr>
            <w:tcW w:w="18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1,100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1,096</w:t>
            </w:r>
          </w:p>
        </w:tc>
        <w:tc>
          <w:tcPr>
            <w:tcW w:w="100" w:type="dxa"/>
            <w:vAlign w:val="bottom"/>
            <w:shd w:val="clear" w:color="auto" w:fill="CFF0FC"/>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58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Lease termination</w:t>
            </w:r>
          </w:p>
        </w:tc>
        <w:tc>
          <w:tcPr>
            <w:tcW w:w="1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w:t>
            </w:r>
          </w:p>
        </w:tc>
      </w:tr>
      <w:tr>
        <w:trPr>
          <w:trHeight w:val="147"/>
        </w:trPr>
        <w:tc>
          <w:tcPr>
            <w:tcW w:w="20" w:type="dxa"/>
            <w:vAlign w:val="bottom"/>
          </w:tcPr>
          <w:p>
            <w:pPr>
              <w:spacing w:after="0"/>
              <w:rPr>
                <w:sz w:val="12"/>
                <w:szCs w:val="12"/>
                <w:color w:val="auto"/>
              </w:rPr>
            </w:pPr>
          </w:p>
        </w:tc>
        <w:tc>
          <w:tcPr>
            <w:tcW w:w="5860" w:type="dxa"/>
            <w:vAlign w:val="bottom"/>
            <w:shd w:val="clear" w:color="auto" w:fill="CFF0FC"/>
          </w:tcPr>
          <w:p>
            <w:pPr>
              <w:ind w:left="260"/>
              <w:spacing w:after="0" w:line="147" w:lineRule="exact"/>
              <w:rPr>
                <w:sz w:val="20"/>
                <w:szCs w:val="20"/>
                <w:color w:val="auto"/>
              </w:rPr>
            </w:pPr>
            <w:r>
              <w:rPr>
                <w:rFonts w:ascii="Times New Roman" w:cs="Times New Roman" w:eastAsia="Times New Roman" w:hAnsi="Times New Roman"/>
                <w:sz w:val="13"/>
                <w:szCs w:val="13"/>
                <w:color w:val="auto"/>
              </w:rPr>
              <w:t>Stock-based compensation</w:t>
            </w:r>
          </w:p>
        </w:tc>
        <w:tc>
          <w:tcPr>
            <w:tcW w:w="18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7,342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6,036</w:t>
            </w:r>
          </w:p>
        </w:tc>
        <w:tc>
          <w:tcPr>
            <w:tcW w:w="100" w:type="dxa"/>
            <w:vAlign w:val="bottom"/>
            <w:shd w:val="clear" w:color="auto" w:fill="CFF0FC"/>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58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Revaluation of contingent consideration</w:t>
            </w:r>
          </w:p>
        </w:tc>
        <w:tc>
          <w:tcPr>
            <w:tcW w:w="1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gridSpan w:val="3"/>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5860" w:type="dxa"/>
            <w:vAlign w:val="bottom"/>
            <w:shd w:val="clear" w:color="auto" w:fill="CFF0FC"/>
          </w:tcPr>
          <w:p>
            <w:pPr>
              <w:ind w:left="260"/>
              <w:spacing w:after="0" w:line="147" w:lineRule="exact"/>
              <w:rPr>
                <w:sz w:val="20"/>
                <w:szCs w:val="20"/>
                <w:color w:val="auto"/>
              </w:rPr>
            </w:pPr>
            <w:r>
              <w:rPr>
                <w:rFonts w:ascii="Times New Roman" w:cs="Times New Roman" w:eastAsia="Times New Roman" w:hAnsi="Times New Roman"/>
                <w:sz w:val="13"/>
                <w:szCs w:val="13"/>
                <w:color w:val="auto"/>
              </w:rPr>
              <w:t>Income from unconsolidated joint venture</w:t>
            </w:r>
          </w:p>
        </w:tc>
        <w:tc>
          <w:tcPr>
            <w:tcW w:w="18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(90)</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(97)</w:t>
            </w:r>
          </w:p>
        </w:tc>
      </w:tr>
      <w:tr>
        <w:trPr>
          <w:trHeight w:val="147"/>
        </w:trPr>
        <w:tc>
          <w:tcPr>
            <w:tcW w:w="20" w:type="dxa"/>
            <w:vAlign w:val="bottom"/>
          </w:tcPr>
          <w:p>
            <w:pPr>
              <w:spacing w:after="0"/>
              <w:rPr>
                <w:sz w:val="12"/>
                <w:szCs w:val="12"/>
                <w:color w:val="auto"/>
              </w:rPr>
            </w:pPr>
          </w:p>
        </w:tc>
        <w:tc>
          <w:tcPr>
            <w:tcW w:w="58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Donation of common stock</w:t>
            </w:r>
          </w:p>
        </w:tc>
        <w:tc>
          <w:tcPr>
            <w:tcW w:w="1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343</w:t>
            </w:r>
          </w:p>
        </w:tc>
        <w:tc>
          <w:tcPr>
            <w:tcW w:w="1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5860" w:type="dxa"/>
            <w:vAlign w:val="bottom"/>
            <w:shd w:val="clear" w:color="auto" w:fill="CFF0FC"/>
          </w:tcPr>
          <w:p>
            <w:pPr>
              <w:ind w:left="260"/>
              <w:spacing w:after="0" w:line="147" w:lineRule="exact"/>
              <w:rPr>
                <w:sz w:val="20"/>
                <w:szCs w:val="20"/>
                <w:color w:val="auto"/>
              </w:rPr>
            </w:pPr>
            <w:r>
              <w:rPr>
                <w:rFonts w:ascii="Times New Roman" w:cs="Times New Roman" w:eastAsia="Times New Roman" w:hAnsi="Times New Roman"/>
                <w:sz w:val="13"/>
                <w:szCs w:val="13"/>
                <w:color w:val="auto"/>
              </w:rPr>
              <w:t>Amortization of deferred costs on convertible notes</w:t>
            </w:r>
          </w:p>
        </w:tc>
        <w:tc>
          <w:tcPr>
            <w:tcW w:w="18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465</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464</w:t>
            </w:r>
          </w:p>
        </w:tc>
        <w:tc>
          <w:tcPr>
            <w:tcW w:w="100" w:type="dxa"/>
            <w:vAlign w:val="bottom"/>
            <w:shd w:val="clear" w:color="auto" w:fill="CFF0FC"/>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58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Changes in other assets and liabilities:</w:t>
            </w:r>
          </w:p>
        </w:tc>
        <w:tc>
          <w:tcPr>
            <w:tcW w:w="1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5860" w:type="dxa"/>
            <w:vAlign w:val="bottom"/>
            <w:shd w:val="clear" w:color="auto" w:fill="CFF0FC"/>
          </w:tcPr>
          <w:p>
            <w:pPr>
              <w:ind w:left="400"/>
              <w:spacing w:after="0" w:line="147" w:lineRule="exact"/>
              <w:rPr>
                <w:sz w:val="20"/>
                <w:szCs w:val="20"/>
                <w:color w:val="auto"/>
              </w:rPr>
            </w:pPr>
            <w:r>
              <w:rPr>
                <w:rFonts w:ascii="Times New Roman" w:cs="Times New Roman" w:eastAsia="Times New Roman" w:hAnsi="Times New Roman"/>
                <w:sz w:val="13"/>
                <w:szCs w:val="13"/>
                <w:color w:val="auto"/>
              </w:rPr>
              <w:t>Accounts receivable, net</w:t>
            </w:r>
          </w:p>
        </w:tc>
        <w:tc>
          <w:tcPr>
            <w:tcW w:w="18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(13,358)</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532</w:t>
            </w:r>
          </w:p>
        </w:tc>
        <w:tc>
          <w:tcPr>
            <w:tcW w:w="100" w:type="dxa"/>
            <w:vAlign w:val="bottom"/>
            <w:shd w:val="clear" w:color="auto" w:fill="CFF0FC"/>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5860" w:type="dxa"/>
            <w:vAlign w:val="bottom"/>
          </w:tcPr>
          <w:p>
            <w:pPr>
              <w:ind w:left="400"/>
              <w:spacing w:after="0" w:line="147" w:lineRule="exact"/>
              <w:rPr>
                <w:sz w:val="20"/>
                <w:szCs w:val="20"/>
                <w:color w:val="auto"/>
              </w:rPr>
            </w:pPr>
            <w:r>
              <w:rPr>
                <w:rFonts w:ascii="Times New Roman" w:cs="Times New Roman" w:eastAsia="Times New Roman" w:hAnsi="Times New Roman"/>
                <w:sz w:val="13"/>
                <w:szCs w:val="13"/>
                <w:color w:val="auto"/>
              </w:rPr>
              <w:t>Inventory</w:t>
            </w:r>
          </w:p>
        </w:tc>
        <w:tc>
          <w:tcPr>
            <w:tcW w:w="1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(41)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(40)</w:t>
            </w:r>
          </w:p>
        </w:tc>
      </w:tr>
      <w:tr>
        <w:trPr>
          <w:trHeight w:val="147"/>
        </w:trPr>
        <w:tc>
          <w:tcPr>
            <w:tcW w:w="20" w:type="dxa"/>
            <w:vAlign w:val="bottom"/>
          </w:tcPr>
          <w:p>
            <w:pPr>
              <w:spacing w:after="0"/>
              <w:rPr>
                <w:sz w:val="12"/>
                <w:szCs w:val="12"/>
                <w:color w:val="auto"/>
              </w:rPr>
            </w:pPr>
          </w:p>
        </w:tc>
        <w:tc>
          <w:tcPr>
            <w:tcW w:w="5860" w:type="dxa"/>
            <w:vAlign w:val="bottom"/>
            <w:shd w:val="clear" w:color="auto" w:fill="CFF0FC"/>
          </w:tcPr>
          <w:p>
            <w:pPr>
              <w:ind w:left="400"/>
              <w:spacing w:after="0" w:line="147" w:lineRule="exact"/>
              <w:rPr>
                <w:sz w:val="20"/>
                <w:szCs w:val="20"/>
                <w:color w:val="auto"/>
              </w:rPr>
            </w:pPr>
            <w:r>
              <w:rPr>
                <w:rFonts w:ascii="Times New Roman" w:cs="Times New Roman" w:eastAsia="Times New Roman" w:hAnsi="Times New Roman"/>
                <w:sz w:val="13"/>
                <w:szCs w:val="13"/>
                <w:color w:val="auto"/>
              </w:rPr>
              <w:t>Prepaid expenses</w:t>
            </w:r>
          </w:p>
        </w:tc>
        <w:tc>
          <w:tcPr>
            <w:tcW w:w="18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(1,519)</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(433)</w:t>
            </w:r>
          </w:p>
        </w:tc>
      </w:tr>
      <w:tr>
        <w:trPr>
          <w:trHeight w:val="147"/>
        </w:trPr>
        <w:tc>
          <w:tcPr>
            <w:tcW w:w="20" w:type="dxa"/>
            <w:vAlign w:val="bottom"/>
          </w:tcPr>
          <w:p>
            <w:pPr>
              <w:spacing w:after="0"/>
              <w:rPr>
                <w:sz w:val="12"/>
                <w:szCs w:val="12"/>
                <w:color w:val="auto"/>
              </w:rPr>
            </w:pPr>
          </w:p>
        </w:tc>
        <w:tc>
          <w:tcPr>
            <w:tcW w:w="5860" w:type="dxa"/>
            <w:vAlign w:val="bottom"/>
          </w:tcPr>
          <w:p>
            <w:pPr>
              <w:ind w:left="400"/>
              <w:spacing w:after="0" w:line="147" w:lineRule="exact"/>
              <w:rPr>
                <w:sz w:val="20"/>
                <w:szCs w:val="20"/>
                <w:color w:val="auto"/>
              </w:rPr>
            </w:pPr>
            <w:r>
              <w:rPr>
                <w:rFonts w:ascii="Times New Roman" w:cs="Times New Roman" w:eastAsia="Times New Roman" w:hAnsi="Times New Roman"/>
                <w:sz w:val="13"/>
                <w:szCs w:val="13"/>
                <w:color w:val="auto"/>
              </w:rPr>
              <w:t>Other assets</w:t>
            </w:r>
          </w:p>
        </w:tc>
        <w:tc>
          <w:tcPr>
            <w:tcW w:w="1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(1,995)</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(442)</w:t>
            </w:r>
          </w:p>
        </w:tc>
      </w:tr>
      <w:tr>
        <w:trPr>
          <w:trHeight w:val="147"/>
        </w:trPr>
        <w:tc>
          <w:tcPr>
            <w:tcW w:w="20" w:type="dxa"/>
            <w:vAlign w:val="bottom"/>
          </w:tcPr>
          <w:p>
            <w:pPr>
              <w:spacing w:after="0"/>
              <w:rPr>
                <w:sz w:val="12"/>
                <w:szCs w:val="12"/>
                <w:color w:val="auto"/>
              </w:rPr>
            </w:pPr>
          </w:p>
        </w:tc>
        <w:tc>
          <w:tcPr>
            <w:tcW w:w="5860" w:type="dxa"/>
            <w:vAlign w:val="bottom"/>
            <w:shd w:val="clear" w:color="auto" w:fill="CFF0FC"/>
          </w:tcPr>
          <w:p>
            <w:pPr>
              <w:ind w:left="400"/>
              <w:spacing w:after="0" w:line="147" w:lineRule="exact"/>
              <w:rPr>
                <w:sz w:val="20"/>
                <w:szCs w:val="20"/>
                <w:color w:val="auto"/>
              </w:rPr>
            </w:pPr>
            <w:r>
              <w:rPr>
                <w:rFonts w:ascii="Times New Roman" w:cs="Times New Roman" w:eastAsia="Times New Roman" w:hAnsi="Times New Roman"/>
                <w:sz w:val="13"/>
                <w:szCs w:val="13"/>
                <w:color w:val="auto"/>
              </w:rPr>
              <w:t>Accounts payable and accrued cost of revenue</w:t>
            </w:r>
          </w:p>
        </w:tc>
        <w:tc>
          <w:tcPr>
            <w:tcW w:w="18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15,048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(10,649)</w:t>
            </w:r>
          </w:p>
        </w:tc>
      </w:tr>
      <w:tr>
        <w:trPr>
          <w:trHeight w:val="147"/>
        </w:trPr>
        <w:tc>
          <w:tcPr>
            <w:tcW w:w="20" w:type="dxa"/>
            <w:vAlign w:val="bottom"/>
          </w:tcPr>
          <w:p>
            <w:pPr>
              <w:spacing w:after="0"/>
              <w:rPr>
                <w:sz w:val="12"/>
                <w:szCs w:val="12"/>
                <w:color w:val="auto"/>
              </w:rPr>
            </w:pPr>
          </w:p>
        </w:tc>
        <w:tc>
          <w:tcPr>
            <w:tcW w:w="5860" w:type="dxa"/>
            <w:vAlign w:val="bottom"/>
          </w:tcPr>
          <w:p>
            <w:pPr>
              <w:ind w:left="400"/>
              <w:spacing w:after="0" w:line="147" w:lineRule="exact"/>
              <w:rPr>
                <w:sz w:val="20"/>
                <w:szCs w:val="20"/>
                <w:color w:val="auto"/>
              </w:rPr>
            </w:pPr>
            <w:r>
              <w:rPr>
                <w:rFonts w:ascii="Times New Roman" w:cs="Times New Roman" w:eastAsia="Times New Roman" w:hAnsi="Times New Roman"/>
                <w:sz w:val="13"/>
                <w:szCs w:val="13"/>
                <w:color w:val="auto"/>
              </w:rPr>
              <w:t>Other accrued expenses</w:t>
            </w:r>
          </w:p>
        </w:tc>
        <w:tc>
          <w:tcPr>
            <w:tcW w:w="1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(540)</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4,440</w:t>
            </w:r>
          </w:p>
        </w:tc>
        <w:tc>
          <w:tcPr>
            <w:tcW w:w="1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5860" w:type="dxa"/>
            <w:vAlign w:val="bottom"/>
            <w:shd w:val="clear" w:color="auto" w:fill="CFF0FC"/>
          </w:tcPr>
          <w:p>
            <w:pPr>
              <w:ind w:left="400"/>
              <w:spacing w:after="0" w:line="147" w:lineRule="exact"/>
              <w:rPr>
                <w:sz w:val="20"/>
                <w:szCs w:val="20"/>
                <w:color w:val="auto"/>
              </w:rPr>
            </w:pPr>
            <w:r>
              <w:rPr>
                <w:rFonts w:ascii="Times New Roman" w:cs="Times New Roman" w:eastAsia="Times New Roman" w:hAnsi="Times New Roman"/>
                <w:sz w:val="13"/>
                <w:szCs w:val="13"/>
                <w:color w:val="auto"/>
              </w:rPr>
              <w:t>Contract liabilities</w:t>
            </w:r>
          </w:p>
        </w:tc>
        <w:tc>
          <w:tcPr>
            <w:tcW w:w="18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1,877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2,277</w:t>
            </w:r>
          </w:p>
        </w:tc>
        <w:tc>
          <w:tcPr>
            <w:tcW w:w="100" w:type="dxa"/>
            <w:vAlign w:val="bottom"/>
            <w:shd w:val="clear" w:color="auto" w:fill="CFF0FC"/>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5860" w:type="dxa"/>
            <w:vAlign w:val="bottom"/>
          </w:tcPr>
          <w:p>
            <w:pPr>
              <w:ind w:left="400"/>
              <w:spacing w:after="0" w:line="147" w:lineRule="exact"/>
              <w:rPr>
                <w:sz w:val="20"/>
                <w:szCs w:val="20"/>
                <w:color w:val="auto"/>
              </w:rPr>
            </w:pPr>
            <w:r>
              <w:rPr>
                <w:rFonts w:ascii="Times New Roman" w:cs="Times New Roman" w:eastAsia="Times New Roman" w:hAnsi="Times New Roman"/>
                <w:sz w:val="13"/>
                <w:szCs w:val="13"/>
                <w:color w:val="auto"/>
              </w:rPr>
              <w:t>Lease liabilities</w:t>
            </w:r>
          </w:p>
        </w:tc>
        <w:tc>
          <w:tcPr>
            <w:tcW w:w="1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(1,531)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(1,671)</w:t>
            </w:r>
          </w:p>
        </w:tc>
      </w:tr>
      <w:tr>
        <w:trPr>
          <w:trHeight w:val="147"/>
        </w:trPr>
        <w:tc>
          <w:tcPr>
            <w:tcW w:w="20" w:type="dxa"/>
            <w:vAlign w:val="bottom"/>
          </w:tcPr>
          <w:p>
            <w:pPr>
              <w:spacing w:after="0"/>
              <w:rPr>
                <w:sz w:val="12"/>
                <w:szCs w:val="12"/>
                <w:color w:val="auto"/>
              </w:rPr>
            </w:pPr>
          </w:p>
        </w:tc>
        <w:tc>
          <w:tcPr>
            <w:tcW w:w="5860" w:type="dxa"/>
            <w:vAlign w:val="bottom"/>
            <w:shd w:val="clear" w:color="auto" w:fill="CFF0FC"/>
          </w:tcPr>
          <w:p>
            <w:pPr>
              <w:ind w:left="400"/>
              <w:spacing w:after="0" w:line="147" w:lineRule="exact"/>
              <w:rPr>
                <w:sz w:val="20"/>
                <w:szCs w:val="20"/>
                <w:color w:val="auto"/>
              </w:rPr>
            </w:pPr>
            <w:r>
              <w:rPr>
                <w:rFonts w:ascii="Times New Roman" w:cs="Times New Roman" w:eastAsia="Times New Roman" w:hAnsi="Times New Roman"/>
                <w:sz w:val="13"/>
                <w:szCs w:val="13"/>
                <w:color w:val="auto"/>
              </w:rPr>
              <w:t>Other liabilities</w:t>
            </w:r>
          </w:p>
        </w:tc>
        <w:tc>
          <w:tcPr>
            <w:tcW w:w="18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w:t>
            </w:r>
          </w:p>
        </w:tc>
      </w:tr>
      <w:tr>
        <w:trPr>
          <w:trHeight w:val="147"/>
        </w:trPr>
        <w:tc>
          <w:tcPr>
            <w:tcW w:w="20" w:type="dxa"/>
            <w:vAlign w:val="bottom"/>
          </w:tcPr>
          <w:p>
            <w:pPr>
              <w:spacing w:after="0"/>
              <w:rPr>
                <w:sz w:val="12"/>
                <w:szCs w:val="12"/>
                <w:color w:val="auto"/>
              </w:rPr>
            </w:pPr>
          </w:p>
        </w:tc>
        <w:tc>
          <w:tcPr>
            <w:tcW w:w="5860" w:type="dxa"/>
            <w:vAlign w:val="bottom"/>
          </w:tcPr>
          <w:p>
            <w:pPr>
              <w:ind w:left="400"/>
              <w:spacing w:after="0" w:line="147" w:lineRule="exact"/>
              <w:rPr>
                <w:sz w:val="20"/>
                <w:szCs w:val="20"/>
                <w:color w:val="auto"/>
              </w:rPr>
            </w:pPr>
            <w:r>
              <w:rPr>
                <w:rFonts w:ascii="Times New Roman" w:cs="Times New Roman" w:eastAsia="Times New Roman" w:hAnsi="Times New Roman"/>
                <w:sz w:val="13"/>
                <w:szCs w:val="13"/>
                <w:color w:val="auto"/>
              </w:rPr>
              <w:t>Income taxes payable</w:t>
            </w:r>
          </w:p>
        </w:tc>
        <w:tc>
          <w:tcPr>
            <w:tcW w:w="1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(92)</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(276)</w:t>
            </w: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860" w:type="dxa"/>
            <w:vAlign w:val="bottom"/>
            <w:shd w:val="clear" w:color="auto" w:fill="CFF0FC"/>
          </w:tcPr>
          <w:p>
            <w:pPr>
              <w:ind w:left="260"/>
              <w:spacing w:after="0" w:line="140"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18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0" w:lineRule="exact"/>
              <w:rPr>
                <w:sz w:val="20"/>
                <w:szCs w:val="20"/>
                <w:color w:val="auto"/>
              </w:rPr>
            </w:pPr>
            <w:r>
              <w:rPr>
                <w:rFonts w:ascii="Times New Roman" w:cs="Times New Roman" w:eastAsia="Times New Roman" w:hAnsi="Times New Roman"/>
                <w:sz w:val="13"/>
                <w:szCs w:val="13"/>
                <w:color w:val="auto"/>
              </w:rPr>
              <w:t>(3,691)</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0" w:lineRule="exact"/>
              <w:rPr>
                <w:sz w:val="20"/>
                <w:szCs w:val="20"/>
                <w:color w:val="auto"/>
              </w:rPr>
            </w:pPr>
            <w:r>
              <w:rPr>
                <w:rFonts w:ascii="Times New Roman" w:cs="Times New Roman" w:eastAsia="Times New Roman" w:hAnsi="Times New Roman"/>
                <w:sz w:val="13"/>
                <w:szCs w:val="13"/>
                <w:color w:val="auto"/>
              </w:rPr>
              <w:t>(11,734)</w:t>
            </w:r>
          </w:p>
        </w:tc>
      </w:tr>
      <w:tr>
        <w:trPr>
          <w:trHeight w:val="140"/>
        </w:trPr>
        <w:tc>
          <w:tcPr>
            <w:tcW w:w="20" w:type="dxa"/>
            <w:vAlign w:val="bottom"/>
          </w:tcPr>
          <w:p>
            <w:pPr>
              <w:spacing w:after="0"/>
              <w:rPr>
                <w:sz w:val="12"/>
                <w:szCs w:val="12"/>
                <w:color w:val="auto"/>
              </w:rPr>
            </w:pPr>
          </w:p>
        </w:tc>
        <w:tc>
          <w:tcPr>
            <w:tcW w:w="5860" w:type="dxa"/>
            <w:vAlign w:val="bottom"/>
            <w:tcBorders>
              <w:top w:val="single" w:sz="8" w:color="CFF0FC"/>
            </w:tcBorders>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840" w:type="dxa"/>
            <w:vAlign w:val="bottom"/>
            <w:tcBorders>
              <w:top w:val="single" w:sz="8" w:color="CFF0F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586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3"/>
                <w:szCs w:val="13"/>
                <w:color w:val="auto"/>
              </w:rPr>
              <w:t>Purchases of marketable securities</w:t>
            </w:r>
          </w:p>
        </w:tc>
        <w:tc>
          <w:tcPr>
            <w:tcW w:w="18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(2,271)</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(2,726)</w:t>
            </w:r>
          </w:p>
        </w:tc>
      </w:tr>
      <w:tr>
        <w:trPr>
          <w:trHeight w:val="147"/>
        </w:trPr>
        <w:tc>
          <w:tcPr>
            <w:tcW w:w="20" w:type="dxa"/>
            <w:vAlign w:val="bottom"/>
          </w:tcPr>
          <w:p>
            <w:pPr>
              <w:spacing w:after="0"/>
              <w:rPr>
                <w:sz w:val="12"/>
                <w:szCs w:val="12"/>
                <w:color w:val="auto"/>
              </w:rPr>
            </w:pPr>
          </w:p>
        </w:tc>
        <w:tc>
          <w:tcPr>
            <w:tcW w:w="586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1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10,000</w:t>
            </w:r>
          </w:p>
        </w:tc>
        <w:tc>
          <w:tcPr>
            <w:tcW w:w="1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586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8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(5,499)</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(4,347)</w:t>
            </w:r>
          </w:p>
        </w:tc>
      </w:tr>
      <w:tr>
        <w:trPr>
          <w:trHeight w:val="147"/>
        </w:trPr>
        <w:tc>
          <w:tcPr>
            <w:tcW w:w="20" w:type="dxa"/>
            <w:vAlign w:val="bottom"/>
          </w:tcPr>
          <w:p>
            <w:pPr>
              <w:spacing w:after="0"/>
              <w:rPr>
                <w:sz w:val="12"/>
                <w:szCs w:val="12"/>
                <w:color w:val="auto"/>
              </w:rPr>
            </w:pPr>
          </w:p>
        </w:tc>
        <w:tc>
          <w:tcPr>
            <w:tcW w:w="586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color w:val="auto"/>
              </w:rPr>
              <w:t>Distributions in excess of earnings</w:t>
            </w:r>
          </w:p>
        </w:tc>
        <w:tc>
          <w:tcPr>
            <w:tcW w:w="1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w:t>
            </w:r>
          </w:p>
        </w:tc>
      </w:tr>
      <w:tr>
        <w:trPr>
          <w:trHeight w:val="140"/>
        </w:trPr>
        <w:tc>
          <w:tcPr>
            <w:tcW w:w="20" w:type="dxa"/>
            <w:vAlign w:val="bottom"/>
          </w:tcPr>
          <w:p>
            <w:pPr>
              <w:spacing w:after="0"/>
              <w:rPr>
                <w:sz w:val="12"/>
                <w:szCs w:val="12"/>
                <w:color w:val="auto"/>
              </w:rPr>
            </w:pPr>
          </w:p>
        </w:tc>
        <w:tc>
          <w:tcPr>
            <w:tcW w:w="5860" w:type="dxa"/>
            <w:vAlign w:val="bottom"/>
            <w:tcBorders>
              <w:top w:val="single" w:sz="8" w:color="CFF0FC"/>
              <w:bottom w:val="single" w:sz="8" w:color="CFF0FC"/>
            </w:tcBorders>
            <w:shd w:val="clear" w:color="auto" w:fill="CFF0FC"/>
          </w:tcPr>
          <w:p>
            <w:pPr>
              <w:ind w:left="260"/>
              <w:spacing w:after="0" w:line="140" w:lineRule="exact"/>
              <w:rPr>
                <w:sz w:val="20"/>
                <w:szCs w:val="20"/>
                <w:color w:val="auto"/>
              </w:rPr>
            </w:pPr>
            <w:r>
              <w:rPr>
                <w:rFonts w:ascii="Times New Roman" w:cs="Times New Roman" w:eastAsia="Times New Roman" w:hAnsi="Times New Roman"/>
                <w:sz w:val="13"/>
                <w:szCs w:val="13"/>
                <w:b w:val="1"/>
                <w:bCs w:val="1"/>
                <w:color w:val="auto"/>
              </w:rPr>
              <w:t>Net cash (used in) provided by investing activities</w:t>
            </w:r>
          </w:p>
        </w:tc>
        <w:tc>
          <w:tcPr>
            <w:tcW w:w="1840" w:type="dxa"/>
            <w:vAlign w:val="bottom"/>
            <w:tcBorders>
              <w:top w:val="single" w:sz="8" w:color="CFF0FC"/>
              <w:bottom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0" w:lineRule="exact"/>
              <w:rPr>
                <w:sz w:val="20"/>
                <w:szCs w:val="20"/>
                <w:color w:val="auto"/>
              </w:rPr>
            </w:pPr>
            <w:r>
              <w:rPr>
                <w:rFonts w:ascii="Times New Roman" w:cs="Times New Roman" w:eastAsia="Times New Roman" w:hAnsi="Times New Roman"/>
                <w:sz w:val="13"/>
                <w:szCs w:val="13"/>
                <w:color w:val="auto"/>
              </w:rPr>
              <w:t>(3,686)</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0" w:lineRule="exact"/>
              <w:rPr>
                <w:sz w:val="20"/>
                <w:szCs w:val="20"/>
                <w:color w:val="auto"/>
              </w:rPr>
            </w:pPr>
            <w:r>
              <w:rPr>
                <w:rFonts w:ascii="Times New Roman" w:cs="Times New Roman" w:eastAsia="Times New Roman" w:hAnsi="Times New Roman"/>
                <w:sz w:val="13"/>
                <w:szCs w:val="13"/>
                <w:color w:val="auto"/>
              </w:rPr>
              <w:t>2,927</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5860" w:type="dxa"/>
            <w:vAlign w:val="bottom"/>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5860" w:type="dxa"/>
            <w:vAlign w:val="bottom"/>
            <w:tcBorders>
              <w:bottom w:val="single" w:sz="8" w:color="CFF0FC"/>
            </w:tcBorders>
            <w:shd w:val="clear" w:color="auto" w:fill="CFF0FC"/>
          </w:tcPr>
          <w:p>
            <w:pPr>
              <w:ind w:left="120"/>
              <w:spacing w:after="0" w:line="147" w:lineRule="exact"/>
              <w:rPr>
                <w:sz w:val="20"/>
                <w:szCs w:val="20"/>
                <w:color w:val="auto"/>
              </w:rPr>
            </w:pPr>
            <w:r>
              <w:rPr>
                <w:rFonts w:ascii="Times New Roman" w:cs="Times New Roman" w:eastAsia="Times New Roman" w:hAnsi="Times New Roman"/>
                <w:sz w:val="13"/>
                <w:szCs w:val="13"/>
                <w:color w:val="auto"/>
              </w:rPr>
              <w:t>Proceeds from stock options exercised</w:t>
            </w:r>
          </w:p>
        </w:tc>
        <w:tc>
          <w:tcPr>
            <w:tcW w:w="184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510</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1,233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5860" w:type="dxa"/>
            <w:vAlign w:val="bottom"/>
          </w:tcPr>
          <w:p>
            <w:pPr>
              <w:ind w:left="260"/>
              <w:spacing w:after="0" w:line="140"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84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510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1,233</w:t>
            </w:r>
          </w:p>
        </w:tc>
        <w:tc>
          <w:tcPr>
            <w:tcW w:w="10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5860" w:type="dxa"/>
            <w:vAlign w:val="bottom"/>
            <w:shd w:val="clear" w:color="auto" w:fill="CFF0FC"/>
          </w:tcPr>
          <w:p>
            <w:pPr>
              <w:ind w:left="120"/>
              <w:spacing w:after="0" w:line="140" w:lineRule="exact"/>
              <w:rPr>
                <w:sz w:val="20"/>
                <w:szCs w:val="20"/>
                <w:color w:val="auto"/>
              </w:rPr>
            </w:pPr>
            <w:r>
              <w:rPr>
                <w:rFonts w:ascii="Times New Roman" w:cs="Times New Roman" w:eastAsia="Times New Roman" w:hAnsi="Times New Roman"/>
                <w:sz w:val="13"/>
                <w:szCs w:val="13"/>
                <w:color w:val="auto"/>
              </w:rPr>
              <w:t>Effect of foreign currency translation on cash and cash equivalents</w:t>
            </w:r>
          </w:p>
        </w:tc>
        <w:tc>
          <w:tcPr>
            <w:tcW w:w="18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0" w:lineRule="exact"/>
              <w:rPr>
                <w:sz w:val="20"/>
                <w:szCs w:val="20"/>
                <w:color w:val="auto"/>
              </w:rPr>
            </w:pPr>
            <w:r>
              <w:rPr>
                <w:rFonts w:ascii="Times New Roman" w:cs="Times New Roman" w:eastAsia="Times New Roman" w:hAnsi="Times New Roman"/>
                <w:sz w:val="13"/>
                <w:szCs w:val="13"/>
                <w:color w:val="auto"/>
              </w:rPr>
              <w:t>142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0" w:lineRule="exact"/>
              <w:rPr>
                <w:sz w:val="20"/>
                <w:szCs w:val="20"/>
                <w:color w:val="auto"/>
              </w:rPr>
            </w:pPr>
            <w:r>
              <w:rPr>
                <w:rFonts w:ascii="Times New Roman" w:cs="Times New Roman" w:eastAsia="Times New Roman" w:hAnsi="Times New Roman"/>
                <w:sz w:val="13"/>
                <w:szCs w:val="13"/>
                <w:color w:val="auto"/>
              </w:rPr>
              <w:t>(149)</w:t>
            </w:r>
          </w:p>
        </w:tc>
      </w:tr>
      <w:tr>
        <w:trPr>
          <w:trHeight w:val="20"/>
        </w:trPr>
        <w:tc>
          <w:tcPr>
            <w:tcW w:w="20" w:type="dxa"/>
            <w:vAlign w:val="bottom"/>
          </w:tcPr>
          <w:p>
            <w:pPr>
              <w:spacing w:after="0" w:line="20" w:lineRule="exact"/>
              <w:rPr>
                <w:sz w:val="1"/>
                <w:szCs w:val="1"/>
                <w:color w:val="auto"/>
              </w:rPr>
            </w:pPr>
          </w:p>
        </w:tc>
        <w:tc>
          <w:tcPr>
            <w:tcW w:w="586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860" w:type="dxa"/>
            <w:vAlign w:val="bottom"/>
          </w:tcPr>
          <w:p>
            <w:pPr>
              <w:ind w:left="260"/>
              <w:spacing w:after="0" w:line="140" w:lineRule="exact"/>
              <w:rPr>
                <w:sz w:val="20"/>
                <w:szCs w:val="20"/>
                <w:color w:val="auto"/>
              </w:rPr>
            </w:pPr>
            <w:r>
              <w:rPr>
                <w:rFonts w:ascii="Times New Roman" w:cs="Times New Roman" w:eastAsia="Times New Roman" w:hAnsi="Times New Roman"/>
                <w:sz w:val="13"/>
                <w:szCs w:val="13"/>
                <w:b w:val="1"/>
                <w:bCs w:val="1"/>
                <w:color w:val="auto"/>
              </w:rPr>
              <w:t>Net decrease in cash and cash equivalents</w:t>
            </w:r>
          </w:p>
        </w:tc>
        <w:tc>
          <w:tcPr>
            <w:tcW w:w="1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gridSpan w:val="2"/>
          </w:tcPr>
          <w:p>
            <w:pPr>
              <w:jc w:val="right"/>
              <w:ind w:right="60"/>
              <w:spacing w:after="0" w:line="140" w:lineRule="exact"/>
              <w:rPr>
                <w:sz w:val="20"/>
                <w:szCs w:val="20"/>
                <w:color w:val="auto"/>
              </w:rPr>
            </w:pPr>
            <w:r>
              <w:rPr>
                <w:rFonts w:ascii="Times New Roman" w:cs="Times New Roman" w:eastAsia="Times New Roman" w:hAnsi="Times New Roman"/>
                <w:sz w:val="13"/>
                <w:szCs w:val="13"/>
                <w:color w:val="auto"/>
              </w:rPr>
              <w:t>(6,725)</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gridSpan w:val="2"/>
          </w:tcPr>
          <w:p>
            <w:pPr>
              <w:jc w:val="right"/>
              <w:ind w:right="60"/>
              <w:spacing w:after="0" w:line="140" w:lineRule="exact"/>
              <w:rPr>
                <w:sz w:val="20"/>
                <w:szCs w:val="20"/>
                <w:color w:val="auto"/>
              </w:rPr>
            </w:pPr>
            <w:r>
              <w:rPr>
                <w:rFonts w:ascii="Times New Roman" w:cs="Times New Roman" w:eastAsia="Times New Roman" w:hAnsi="Times New Roman"/>
                <w:sz w:val="13"/>
                <w:szCs w:val="13"/>
                <w:color w:val="auto"/>
              </w:rPr>
              <w:t>(7,723)</w:t>
            </w:r>
          </w:p>
        </w:tc>
      </w:tr>
      <w:tr>
        <w:trPr>
          <w:trHeight w:val="147"/>
        </w:trPr>
        <w:tc>
          <w:tcPr>
            <w:tcW w:w="20" w:type="dxa"/>
            <w:vAlign w:val="bottom"/>
          </w:tcPr>
          <w:p>
            <w:pPr>
              <w:spacing w:after="0"/>
              <w:rPr>
                <w:sz w:val="12"/>
                <w:szCs w:val="12"/>
                <w:color w:val="auto"/>
              </w:rPr>
            </w:pPr>
          </w:p>
        </w:tc>
        <w:tc>
          <w:tcPr>
            <w:tcW w:w="5860" w:type="dxa"/>
            <w:vAlign w:val="bottom"/>
            <w:tcBorders>
              <w:bottom w:val="single" w:sz="8" w:color="CFF0FC"/>
            </w:tcBorders>
            <w:shd w:val="clear" w:color="auto" w:fill="CFF0FC"/>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and cash equivalents at beginning of the period</w:t>
            </w:r>
          </w:p>
        </w:tc>
        <w:tc>
          <w:tcPr>
            <w:tcW w:w="184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22,232</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53,424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5860" w:type="dxa"/>
            <w:vAlign w:val="bottom"/>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Cash and cash equivalents at end of the period</w:t>
            </w:r>
          </w:p>
        </w:tc>
        <w:tc>
          <w:tcPr>
            <w:tcW w:w="2900" w:type="dxa"/>
            <w:vAlign w:val="bottom"/>
            <w:gridSpan w:val="2"/>
          </w:tcPr>
          <w:p>
            <w:pPr>
              <w:jc w:val="right"/>
              <w:ind w:right="933"/>
              <w:spacing w:after="0" w:line="140"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15,507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92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45,701</w:t>
            </w:r>
          </w:p>
        </w:tc>
        <w:tc>
          <w:tcPr>
            <w:tcW w:w="1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586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18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58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Cash paid for interest</w:t>
            </w:r>
          </w:p>
        </w:tc>
        <w:tc>
          <w:tcPr>
            <w:tcW w:w="2900" w:type="dxa"/>
            <w:vAlign w:val="bottom"/>
            <w:gridSpan w:val="2"/>
          </w:tcPr>
          <w:p>
            <w:pPr>
              <w:jc w:val="right"/>
              <w:ind w:right="933"/>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1,438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92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1,438</w:t>
            </w:r>
          </w:p>
        </w:tc>
        <w:tc>
          <w:tcPr>
            <w:tcW w:w="1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58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18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3"/>
                <w:szCs w:val="13"/>
                <w:color w:val="auto"/>
              </w:rPr>
              <w:t>Non-cash consideration in connection with business combination</w:t>
            </w:r>
          </w:p>
        </w:tc>
        <w:tc>
          <w:tcPr>
            <w:tcW w:w="1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5919470</wp:posOffset>
            </wp:positionH>
            <wp:positionV relativeFrom="paragraph">
              <wp:posOffset>-1683385</wp:posOffset>
            </wp:positionV>
            <wp:extent cx="679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-1683385</wp:posOffset>
            </wp:positionV>
            <wp:extent cx="679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-1221740</wp:posOffset>
            </wp:positionV>
            <wp:extent cx="93345" cy="135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345" cy="135255"/>
                    </a:xfrm>
                    <a:prstGeom prst="rect">
                      <a:avLst/>
                    </a:prstGeom>
                    <a:noFill/>
                  </pic:spPr>
                </pic:pic>
              </a:graphicData>
            </a:graphic>
          </wp:anchor>
        </w:drawing>
        <w:drawing>
          <wp:anchor simplePos="0" relativeHeight="251657728" behindDoc="1" locked="0" layoutInCell="0" allowOverlap="1">
            <wp:simplePos x="0" y="0"/>
            <wp:positionH relativeFrom="column">
              <wp:posOffset>7058025</wp:posOffset>
            </wp:positionH>
            <wp:positionV relativeFrom="paragraph">
              <wp:posOffset>-1221740</wp:posOffset>
            </wp:positionV>
            <wp:extent cx="93345" cy="135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345" cy="135255"/>
                    </a:xfrm>
                    <a:prstGeom prst="rect">
                      <a:avLst/>
                    </a:prstGeom>
                    <a:noFill/>
                  </pic:spPr>
                </pic:pic>
              </a:graphicData>
            </a:graphic>
          </wp:anchor>
        </w:drawing>
        <w:drawing>
          <wp:anchor simplePos="0" relativeHeight="251657728" behindDoc="1" locked="0" layoutInCell="0" allowOverlap="1">
            <wp:simplePos x="0" y="0"/>
            <wp:positionH relativeFrom="column">
              <wp:posOffset>5919470</wp:posOffset>
            </wp:positionH>
            <wp:positionV relativeFrom="paragraph">
              <wp:posOffset>-913130</wp:posOffset>
            </wp:positionV>
            <wp:extent cx="679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-913130</wp:posOffset>
            </wp:positionV>
            <wp:extent cx="679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5919470</wp:posOffset>
            </wp:positionH>
            <wp:positionV relativeFrom="paragraph">
              <wp:posOffset>-709930</wp:posOffset>
            </wp:positionV>
            <wp:extent cx="679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-709930</wp:posOffset>
            </wp:positionV>
            <wp:extent cx="679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5919470</wp:posOffset>
            </wp:positionH>
            <wp:positionV relativeFrom="paragraph">
              <wp:posOffset>-514985</wp:posOffset>
            </wp:positionV>
            <wp:extent cx="679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-514985</wp:posOffset>
            </wp:positionV>
            <wp:extent cx="679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9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Description of Business</w:t>
      </w:r>
    </w:p>
    <w:p>
      <w:pPr>
        <w:spacing w:after="0" w:line="115" w:lineRule="exact"/>
        <w:rPr>
          <w:sz w:val="20"/>
          <w:szCs w:val="20"/>
          <w:color w:val="auto"/>
        </w:rPr>
      </w:pPr>
    </w:p>
    <w:p>
      <w:pPr>
        <w:jc w:val="both"/>
        <w:ind w:right="220" w:firstLine="644"/>
        <w:spacing w:after="0" w:line="267" w:lineRule="auto"/>
        <w:rPr>
          <w:sz w:val="20"/>
          <w:szCs w:val="20"/>
          <w:color w:val="auto"/>
        </w:rPr>
      </w:pPr>
      <w:r>
        <w:rPr>
          <w:rFonts w:ascii="Times New Roman" w:cs="Times New Roman" w:eastAsia="Times New Roman" w:hAnsi="Times New Roman"/>
          <w:sz w:val="17"/>
          <w:szCs w:val="17"/>
          <w:color w:val="auto"/>
        </w:rPr>
        <w:t>Xometry, Inc. (“Xometry”, the “Company”, “we”, or “our”) was incorporated in the State of Delaware in May 2013. Xometry operates a global artificial intelligence (“AI”) powered online manufacturing marketplace and a suite of cloud-based services including Workcenter and Teamspace that are rapidly digitizing the manufacturing industry. Xometry also operates Thomasnet®, a leading North American industrial sourcing platform. Together, these platforms provide manufacturers the critical resources they need to grow their business and makes it easy for buyers to create resilient supply chains.</w:t>
      </w:r>
    </w:p>
    <w:p>
      <w:pPr>
        <w:spacing w:after="0" w:line="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Xometry's marketplace uses proprietary AI to help buyers efficiently source custom-manufactured parts and assemblies and attain instant pricing and lead times. The AI enables our rapidly growing network of manufacturers to select the optimal jobs to fill their capacity. Our suite of cloud-based services and our Thomasnet industrial sourcing platform helps manufacturers and industrial service providers grow their businesses using our advertising, marketing and financial services. Xometry’s corporate headquarters is located in North Bethesda, Maryland.</w:t>
      </w:r>
    </w:p>
    <w:p>
      <w:pPr>
        <w:spacing w:after="0" w:line="188"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Xometry’s AI-enabled marketplace, which is available in multiple local languages, is powered by proprietary machine learning algorithms and datasets. Our two-sided marketplace is rapidly digitizing the manufacturing industry, helping customers strengthen their supply chains. Buyers can procure the products they want on demand, and suppliers can reach new customers throughout the world. Our rapidly growing active supplier base enables companies to accelerate their product development and go-to-market strategies, as well as reduce the cost and lead times for ongoing production work. Each interaction on our marketplace provides rich data insights that allow us to continuously improve our AI models and create new products and services, fueling powerful network effects as we scale.</w:t>
      </w:r>
    </w:p>
    <w:p>
      <w:pPr>
        <w:spacing w:after="0" w:line="183" w:lineRule="exact"/>
        <w:rPr>
          <w:sz w:val="20"/>
          <w:szCs w:val="20"/>
          <w:color w:val="auto"/>
        </w:rPr>
      </w:pPr>
    </w:p>
    <w:p>
      <w:pPr>
        <w:ind w:right="220" w:firstLine="644"/>
        <w:spacing w:after="0" w:line="257" w:lineRule="auto"/>
        <w:rPr>
          <w:sz w:val="20"/>
          <w:szCs w:val="20"/>
          <w:color w:val="auto"/>
        </w:rPr>
      </w:pPr>
      <w:r>
        <w:rPr>
          <w:rFonts w:ascii="Times New Roman" w:cs="Times New Roman" w:eastAsia="Times New Roman" w:hAnsi="Times New Roman"/>
          <w:sz w:val="18"/>
          <w:szCs w:val="18"/>
          <w:color w:val="auto"/>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 as well as larger production orders of single parts.</w:t>
      </w:r>
    </w:p>
    <w:p>
      <w:pPr>
        <w:spacing w:after="0" w:line="180"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Xometry’s suppliers’ capabilities include computer numerical control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w:t>
      </w:r>
    </w:p>
    <w:p>
      <w:pPr>
        <w:spacing w:after="0" w:line="184" w:lineRule="exact"/>
        <w:rPr>
          <w:sz w:val="20"/>
          <w:szCs w:val="20"/>
          <w:color w:val="auto"/>
        </w:rPr>
      </w:pPr>
    </w:p>
    <w:p>
      <w:pPr>
        <w:ind w:right="20" w:firstLine="644"/>
        <w:spacing w:after="0" w:line="251"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utilization by providing access to an extensive, diverse base of buyers. We also offer suppliers supporting products and services to meet their unique needs. The Thomasnet product sourcing and supplier discovery platform provides access to in-depth profiles of 500,000 North American suppliers. Thomas’ suite of advertising services provides suppliers with tailored marketing campaigns to maximize their visibility and enhance engagement with potential buyers. Thomas’ in-house digital marketing agency, Thomas Marketing Services, offers a range of essential digital marketing services to generate leads and boost the awareness and reach of suppliers. In addition, our supplier services include financial service products to facilitate faster payments and a cloud-based manufacturing execution system (“Workcenter”) to help suppliers optimize their productivity. Workcenter digitally enables qualifying and on-boarding suppliers and allows suppliers to manage all their Xometry and non-Xometry work and provides for expedited payment terms in support of their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 w:right="5560" w:hanging="373"/>
        <w:spacing w:after="0" w:line="372" w:lineRule="auto"/>
        <w:tabs>
          <w:tab w:leader="none" w:pos="36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b w:val="1"/>
          <w:bCs w:val="1"/>
          <w:i w:val="1"/>
          <w:iCs w:val="1"/>
          <w:color w:val="auto"/>
        </w:rPr>
        <w:t>(a)Basis of Presentation</w:t>
      </w:r>
    </w:p>
    <w:p>
      <w:pPr>
        <w:ind w:right="140" w:firstLine="644"/>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25, 2025.</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93"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2024,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2025 or any future period. The Company has two reportable segments which are referred to as: (1) the United States (“U.S.”) and (2) International.</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Operations and Comprehensive Loss</w:t>
      </w:r>
    </w:p>
    <w:p>
      <w:pPr>
        <w:spacing w:after="0" w:line="115"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The U.S. dollar (“USD”) is the functional currency for Xometry’s consolidated subsidiary operating in the U.S. The primary functional currency for the Company's consolidated subsidiaries operating in Germany and to a lesser extent, United Kingdom, Turkey, China and Japan, is the Euro, British Pound Sterling, Turkish Lira, Yuan and the Yen,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(loss) income, as a separate component of equity.</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115"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have a 66.67% ownership in Incom Co., LTD. As we have a controlling interest in Incom Co., LTD, we have consolidated Incom Co., LTD into our unaudited condensed consolidated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Condensed Consolidated Balance Sheets. We include net (loss) income attributable to the noncontrolling interests in net loss in our Condensed Consolidated Statements of Operations and Comprehensive Loss.</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(b)Use of Estimates</w:t>
      </w:r>
    </w:p>
    <w:p>
      <w:pPr>
        <w:spacing w:after="0" w:line="117"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(c)Business Combinations</w:t>
      </w:r>
    </w:p>
    <w:p>
      <w:pPr>
        <w:spacing w:after="0" w:line="117" w:lineRule="exact"/>
        <w:rPr>
          <w:sz w:val="20"/>
          <w:szCs w:val="20"/>
          <w:color w:val="auto"/>
        </w:rPr>
      </w:pPr>
    </w:p>
    <w:p>
      <w:pPr>
        <w:ind w:right="20" w:firstLine="644"/>
        <w:spacing w:after="0" w:line="250"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(d)Fair Value Measurements and Financial Instruments</w:t>
      </w:r>
    </w:p>
    <w:p>
      <w:pPr>
        <w:spacing w:after="0" w:line="117" w:lineRule="exact"/>
        <w:rPr>
          <w:sz w:val="20"/>
          <w:szCs w:val="20"/>
          <w:color w:val="auto"/>
        </w:rPr>
      </w:pPr>
    </w:p>
    <w:p>
      <w:pPr>
        <w:jc w:val="both"/>
        <w:ind w:right="140" w:firstLine="644"/>
        <w:spacing w:after="0" w:line="261"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71" w:lineRule="exact"/>
        <w:rPr>
          <w:sz w:val="20"/>
          <w:szCs w:val="20"/>
          <w:color w:val="auto"/>
        </w:rPr>
      </w:pPr>
    </w:p>
    <w:p>
      <w:pPr>
        <w:ind w:right="480" w:firstLine="644"/>
        <w:spacing w:after="0" w:line="261"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13" w:lineRule="exact"/>
        <w:rPr>
          <w:sz w:val="20"/>
          <w:szCs w:val="20"/>
          <w:color w:val="auto"/>
        </w:rPr>
      </w:pPr>
    </w:p>
    <w:p>
      <w:pPr>
        <w:jc w:val="both"/>
        <w:ind w:right="200" w:firstLine="644"/>
        <w:spacing w:after="0" w:line="261" w:lineRule="auto"/>
        <w:rPr>
          <w:sz w:val="20"/>
          <w:szCs w:val="20"/>
          <w:color w:val="auto"/>
        </w:rPr>
      </w:pPr>
      <w:r>
        <w:rPr>
          <w:rFonts w:ascii="Times New Roman" w:cs="Times New Roman" w:eastAsia="Times New Roman" w:hAnsi="Times New Roman"/>
          <w:sz w:val="18"/>
          <w:szCs w:val="18"/>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93" w:lineRule="exact"/>
        <w:rPr>
          <w:sz w:val="20"/>
          <w:szCs w:val="20"/>
          <w:color w:val="auto"/>
        </w:rPr>
      </w:pPr>
    </w:p>
    <w:p>
      <w:pPr>
        <w:ind w:right="140" w:firstLine="644"/>
        <w:spacing w:after="0" w:line="276" w:lineRule="auto"/>
        <w:rPr>
          <w:sz w:val="20"/>
          <w:szCs w:val="20"/>
          <w:color w:val="auto"/>
        </w:rPr>
      </w:pPr>
      <w:r>
        <w:rPr>
          <w:rFonts w:ascii="Times New Roman" w:cs="Times New Roman" w:eastAsia="Times New Roman" w:hAnsi="Times New Roman"/>
          <w:sz w:val="18"/>
          <w:szCs w:val="18"/>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57"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which include cash and cash equivalents, accounts receivable, prepaid expenses, other assets, accounts payable, accrued expenses and contract liabilities approximate their fair values due to their short maturities. The Company's marketable securities are recorded at fair value.</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(e)Cash and Cash Equivalents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Cash and cash equivalents consist of cash held in checking accounts. These investments are stated at cost, which approximates fair value.</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(f)Marketable Securities</w:t>
      </w:r>
    </w:p>
    <w:p>
      <w:pPr>
        <w:spacing w:after="0" w:line="117" w:lineRule="exact"/>
        <w:rPr>
          <w:sz w:val="20"/>
          <w:szCs w:val="20"/>
          <w:color w:val="auto"/>
        </w:rPr>
      </w:pPr>
    </w:p>
    <w:p>
      <w:pPr>
        <w:ind w:right="200" w:firstLine="644"/>
        <w:spacing w:after="0" w:line="254" w:lineRule="auto"/>
        <w:rPr>
          <w:sz w:val="20"/>
          <w:szCs w:val="20"/>
          <w:color w:val="auto"/>
        </w:rPr>
      </w:pPr>
      <w:r>
        <w:rPr>
          <w:rFonts w:ascii="Times New Roman" w:cs="Times New Roman" w:eastAsia="Times New Roman" w:hAnsi="Times New Roman"/>
          <w:sz w:val="18"/>
          <w:szCs w:val="18"/>
          <w:color w:val="auto"/>
        </w:rPr>
        <w:t>The Company measures its marketable securities at fair value. The Company's marketable securities represent our investments in a short term money market fund. These marketable securities have maturities of three months or less. As of March 31, 2025 and December 31, 2024, the Company's marketable securities of $215.9 million and $217.6 million, respectively, were recorded at fair value, within Level 1 of the fair value hierarchy. The fair value of the Company’s Level 1 financial instruments is based on quoted prices in active markets, and total fair value is the published market price per unit multiplied by the number of units held without consideration of transaction costs, discounts or blockage factors.</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(g)Accounts Receivable</w:t>
      </w:r>
    </w:p>
    <w:p>
      <w:pPr>
        <w:spacing w:after="0" w:line="117" w:lineRule="exact"/>
        <w:rPr>
          <w:sz w:val="20"/>
          <w:szCs w:val="20"/>
          <w:color w:val="auto"/>
        </w:rPr>
      </w:pPr>
    </w:p>
    <w:p>
      <w:pPr>
        <w:ind w:firstLine="644"/>
        <w:spacing w:after="0" w:line="250" w:lineRule="auto"/>
        <w:rPr>
          <w:sz w:val="20"/>
          <w:szCs w:val="20"/>
          <w:color w:val="auto"/>
        </w:rPr>
      </w:pPr>
      <w:r>
        <w:rPr>
          <w:rFonts w:ascii="Times New Roman" w:cs="Times New Roman" w:eastAsia="Times New Roman" w:hAnsi="Times New Roman"/>
          <w:sz w:val="18"/>
          <w:szCs w:val="18"/>
          <w:color w:val="auto"/>
        </w:rPr>
        <w:t>Accounts receivable are stated at the amount the Company expects to collect from outstanding balances. The Company's accounts receivable do not bear interest. Amounts collected on accounts receivable are included in net cash used in operating activities in the Condensed Consolidated Statements of Cash Flows. For buyers for which the Company provides credit, the Company performs credit inquiries, including reference checks, and queries credit ratings services and other publicly available information. Management provides for probable uncollectible amounts through a provision for bad debt expense and an adjustment to a valuation allowance based on the age of the outstanding amounts, each customer’s expected ability to pay and collection history, current market conditions, and reasonable and supportable forecasts of future economic conditions to determine whether the allowance is appropriate.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allowance for credit losses related to accounts receivable and changes were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58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 January 1</w:t>
            </w:r>
          </w:p>
        </w:tc>
        <w:tc>
          <w:tcPr>
            <w:tcW w:w="2580" w:type="dxa"/>
            <w:vAlign w:val="bottom"/>
            <w:gridSpan w:val="2"/>
          </w:tcPr>
          <w:p>
            <w:pPr>
              <w:jc w:val="right"/>
              <w:ind w:right="103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240" w:type="dxa"/>
            <w:vAlign w:val="bottom"/>
          </w:tcPr>
          <w:p>
            <w:pPr>
              <w:spacing w:after="0"/>
              <w:rPr>
                <w:sz w:val="18"/>
                <w:szCs w:val="18"/>
                <w:color w:val="auto"/>
              </w:rPr>
            </w:pPr>
          </w:p>
        </w:tc>
        <w:tc>
          <w:tcPr>
            <w:tcW w:w="4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 to provision accounts</w:t>
            </w:r>
          </w:p>
        </w:tc>
        <w:tc>
          <w:tcPr>
            <w:tcW w:w="1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Write-offs or other</w:t>
            </w: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(937)</w:t>
            </w:r>
          </w:p>
        </w:tc>
        <w:tc>
          <w:tcPr>
            <w:tcW w:w="4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period end, March 31 and December 31, respectively</w:t>
            </w:r>
          </w:p>
        </w:tc>
        <w:tc>
          <w:tcPr>
            <w:tcW w:w="1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5801360</wp:posOffset>
            </wp:positionH>
            <wp:positionV relativeFrom="paragraph">
              <wp:posOffset>-24765</wp:posOffset>
            </wp:positionV>
            <wp:extent cx="762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5801360</wp:posOffset>
            </wp:positionH>
            <wp:positionV relativeFrom="paragraph">
              <wp:posOffset>-7620</wp:posOffset>
            </wp:positionV>
            <wp:extent cx="762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9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9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(h)Property and Equipment and Long-Lived Assets</w:t>
      </w:r>
    </w:p>
    <w:p>
      <w:pPr>
        <w:spacing w:after="0" w:line="117" w:lineRule="exact"/>
        <w:rPr>
          <w:sz w:val="20"/>
          <w:szCs w:val="20"/>
          <w:color w:val="auto"/>
        </w:rPr>
      </w:pPr>
    </w:p>
    <w:p>
      <w:pPr>
        <w:ind w:right="220" w:firstLine="644"/>
        <w:spacing w:after="0" w:line="276" w:lineRule="auto"/>
        <w:rPr>
          <w:sz w:val="20"/>
          <w:szCs w:val="20"/>
          <w:color w:val="auto"/>
        </w:rPr>
      </w:pPr>
      <w:r>
        <w:rPr>
          <w:rFonts w:ascii="Times New Roman" w:cs="Times New Roman" w:eastAsia="Times New Roman" w:hAnsi="Times New Roman"/>
          <w:sz w:val="18"/>
          <w:szCs w:val="18"/>
          <w:color w:val="auto"/>
        </w:rPr>
        <w:t>Property and equipment are stated at cost. Depreciation is calculated on the straight-line method over the estimated useful life of the assets, which range from two to ten years, or in the case of leasehold improvements, over the shorter of the remaining lease term or the useful life of the asset.</w:t>
      </w:r>
    </w:p>
    <w:p>
      <w:pPr>
        <w:spacing w:after="0" w:line="57"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77" w:lineRule="exact"/>
        <w:rPr>
          <w:sz w:val="20"/>
          <w:szCs w:val="20"/>
          <w:color w:val="auto"/>
        </w:rPr>
      </w:pPr>
    </w:p>
    <w:p>
      <w:pPr>
        <w:ind w:right="120" w:firstLine="644"/>
        <w:spacing w:after="0" w:line="257" w:lineRule="auto"/>
        <w:rPr>
          <w:sz w:val="20"/>
          <w:szCs w:val="20"/>
          <w:color w:val="auto"/>
        </w:rPr>
      </w:pPr>
      <w:r>
        <w:rPr>
          <w:rFonts w:ascii="Times New Roman" w:cs="Times New Roman" w:eastAsia="Times New Roman" w:hAnsi="Times New Roman"/>
          <w:sz w:val="18"/>
          <w:szCs w:val="18"/>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$5.2 million for the three months ended March 31, 2025 and $17.0 million for the year ended December 31, 2024. After all substantial testing and deployment is completed and the software is ready for its intended use,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93"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capitalization is discontinued and the internal-use software costs are placed in service and amortized using the straight-line method over the estimated useful life of the software, generally three years.</w:t>
      </w:r>
    </w:p>
    <w:p>
      <w:pPr>
        <w:spacing w:after="0" w:line="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(i)Goodwill</w:t>
      </w:r>
    </w:p>
    <w:p>
      <w:pPr>
        <w:spacing w:after="0" w:line="117" w:lineRule="exact"/>
        <w:rPr>
          <w:sz w:val="20"/>
          <w:szCs w:val="20"/>
          <w:color w:val="auto"/>
        </w:rPr>
      </w:pPr>
    </w:p>
    <w:p>
      <w:pPr>
        <w:ind w:right="100" w:firstLine="644"/>
        <w:spacing w:after="0" w:line="257" w:lineRule="auto"/>
        <w:rPr>
          <w:sz w:val="20"/>
          <w:szCs w:val="20"/>
          <w:color w:val="auto"/>
        </w:rPr>
      </w:pPr>
      <w:r>
        <w:rPr>
          <w:rFonts w:ascii="Times New Roman" w:cs="Times New Roman" w:eastAsia="Times New Roman" w:hAnsi="Times New Roman"/>
          <w:sz w:val="18"/>
          <w:szCs w:val="18"/>
          <w:color w:val="auto"/>
        </w:rPr>
        <w:t>Goodwill represents the excess purchase price over the estimated fair value of net assets acquired in a business combination. As of March 31, 2025 and December 31, 2024, the Company's goodwill is attributable to both the U.S. and International reporting units. Goodwill is not amortized. The Company tests goodwill for impairment annually in the fourth quarter, or more frequently, if events or changes in circumstances indicate that the carrying value of a reporting unit, including goodwill, might be impaired.</w:t>
      </w:r>
    </w:p>
    <w:p>
      <w:pPr>
        <w:spacing w:after="0" w:line="73" w:lineRule="exact"/>
        <w:rPr>
          <w:sz w:val="20"/>
          <w:szCs w:val="20"/>
          <w:color w:val="auto"/>
        </w:rPr>
      </w:pPr>
    </w:p>
    <w:p>
      <w:pPr>
        <w:ind w:right="60" w:firstLine="644"/>
        <w:spacing w:after="0" w:line="269" w:lineRule="auto"/>
        <w:rPr>
          <w:sz w:val="20"/>
          <w:szCs w:val="20"/>
          <w:color w:val="auto"/>
        </w:rPr>
      </w:pPr>
      <w:r>
        <w:rPr>
          <w:rFonts w:ascii="Times New Roman" w:cs="Times New Roman" w:eastAsia="Times New Roman" w:hAnsi="Times New Roman"/>
          <w:sz w:val="17"/>
          <w:szCs w:val="17"/>
          <w:color w:val="auto"/>
        </w:rPr>
        <w:t>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w:t>
      </w:r>
    </w:p>
    <w:p>
      <w:pPr>
        <w:spacing w:after="0" w:line="1" w:lineRule="exact"/>
        <w:rPr>
          <w:sz w:val="20"/>
          <w:szCs w:val="20"/>
          <w:color w:val="auto"/>
        </w:rPr>
      </w:pPr>
    </w:p>
    <w:p>
      <w:pPr>
        <w:jc w:val="both"/>
        <w:ind w:right="360" w:firstLine="7"/>
        <w:spacing w:after="0" w:line="250"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 and (iv) 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(j)Revenue</w:t>
      </w:r>
    </w:p>
    <w:p>
      <w:pPr>
        <w:spacing w:after="0" w:line="117" w:lineRule="exact"/>
        <w:rPr>
          <w:sz w:val="20"/>
          <w:szCs w:val="20"/>
          <w:color w:val="auto"/>
        </w:rPr>
      </w:pPr>
    </w:p>
    <w:p>
      <w:pPr>
        <w:ind w:right="400" w:firstLine="644"/>
        <w:spacing w:after="0" w:line="261" w:lineRule="auto"/>
        <w:rPr>
          <w:sz w:val="20"/>
          <w:szCs w:val="20"/>
          <w:color w:val="auto"/>
        </w:rPr>
      </w:pPr>
      <w:r>
        <w:rPr>
          <w:rFonts w:ascii="Times New Roman" w:cs="Times New Roman" w:eastAsia="Times New Roman" w:hAnsi="Times New Roman"/>
          <w:sz w:val="18"/>
          <w:szCs w:val="18"/>
          <w:color w:val="auto"/>
        </w:rPr>
        <w:t xml:space="preserve">The Company derives the majority of its U.S. and International marketplace revenue from the sale of parts and assemblies fulfilled using a vast network of suppliers. The Company recognizes revenue from the sales to our customers pursuant to Financial Accounting Standard Board’s (“FASB”) Accounting Standards Codification </w:t>
      </w:r>
      <w:r>
        <w:rPr>
          <w:rFonts w:ascii="Times New Roman" w:cs="Times New Roman" w:eastAsia="Times New Roman" w:hAnsi="Times New Roman"/>
          <w:sz w:val="18"/>
          <w:szCs w:val="18"/>
          <w:i w:val="1"/>
          <w:iCs w:val="1"/>
          <w:color w:val="auto"/>
        </w:rPr>
        <w:t>Topic 606, Revenue from Contracts with Customers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100" w:firstLine="644"/>
        <w:spacing w:after="0" w:line="253" w:lineRule="auto"/>
        <w:rPr>
          <w:sz w:val="20"/>
          <w:szCs w:val="20"/>
          <w:color w:val="auto"/>
        </w:rPr>
      </w:pPr>
      <w:r>
        <w:rPr>
          <w:rFonts w:ascii="Times New Roman" w:cs="Times New Roman" w:eastAsia="Times New Roman" w:hAnsi="Times New Roman"/>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buyers.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has transferred.</w:t>
      </w:r>
    </w:p>
    <w:p>
      <w:pPr>
        <w:spacing w:after="0" w:line="183"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w:t>
      </w:r>
    </w:p>
    <w:p>
      <w:pPr>
        <w:spacing w:after="0" w:line="185" w:lineRule="exact"/>
        <w:rPr>
          <w:sz w:val="20"/>
          <w:szCs w:val="20"/>
          <w:color w:val="auto"/>
        </w:rPr>
      </w:pPr>
    </w:p>
    <w:p>
      <w:pPr>
        <w:ind w:right="100" w:firstLine="644"/>
        <w:spacing w:after="0" w:line="272" w:lineRule="auto"/>
        <w:rPr>
          <w:sz w:val="20"/>
          <w:szCs w:val="20"/>
          <w:color w:val="auto"/>
        </w:rPr>
      </w:pPr>
      <w:r>
        <w:rPr>
          <w:rFonts w:ascii="Times New Roman" w:cs="Times New Roman" w:eastAsia="Times New Roman" w:hAnsi="Times New Roman"/>
          <w:sz w:val="17"/>
          <w:szCs w:val="17"/>
          <w:color w:val="auto"/>
        </w:rPr>
        <w:t>Xometry also derives revenue from its supplier services which is a suite of services offered to our suppliers. Revenue also includes the sale of marketing services which includes advertising.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 product or service is transferred to the customer.</w:t>
      </w:r>
    </w:p>
    <w:p>
      <w:pPr>
        <w:spacing w:after="0" w:line="67" w:lineRule="exact"/>
        <w:rPr>
          <w:sz w:val="20"/>
          <w:szCs w:val="20"/>
          <w:color w:val="auto"/>
        </w:rPr>
      </w:pPr>
    </w:p>
    <w:p>
      <w:pPr>
        <w:ind w:right="140" w:firstLine="644"/>
        <w:spacing w:after="0" w:line="276" w:lineRule="auto"/>
        <w:rPr>
          <w:sz w:val="20"/>
          <w:szCs w:val="20"/>
          <w:color w:val="auto"/>
        </w:rPr>
      </w:pPr>
      <w:r>
        <w:rPr>
          <w:rFonts w:ascii="Times New Roman" w:cs="Times New Roman" w:eastAsia="Times New Roman" w:hAnsi="Times New Roman"/>
          <w:sz w:val="18"/>
          <w:szCs w:val="18"/>
          <w:color w:val="auto"/>
        </w:rPr>
        <w:t>Revenue is shown net of estimated returns, refunds, and allowances. At March 31, 2025 and December 31, 2024, the Company has a provision for estimated returns, refunds or allowances of approximately $0.2 million and $0.1 million, respectively.</w:t>
      </w:r>
    </w:p>
    <w:p>
      <w:pPr>
        <w:spacing w:after="0" w:line="57" w:lineRule="exact"/>
        <w:rPr>
          <w:sz w:val="20"/>
          <w:szCs w:val="20"/>
          <w:color w:val="auto"/>
        </w:rPr>
      </w:pPr>
    </w:p>
    <w:p>
      <w:pPr>
        <w:jc w:val="center"/>
        <w:ind w:left="440" w:right="540"/>
        <w:spacing w:after="0" w:line="400" w:lineRule="auto"/>
        <w:rPr>
          <w:sz w:val="20"/>
          <w:szCs w:val="20"/>
          <w:color w:val="auto"/>
        </w:rPr>
      </w:pPr>
      <w:r>
        <w:rPr>
          <w:rFonts w:ascii="Times New Roman" w:cs="Times New Roman" w:eastAsia="Times New Roman" w:hAnsi="Times New Roman"/>
          <w:sz w:val="18"/>
          <w:szCs w:val="18"/>
          <w:color w:val="auto"/>
        </w:rPr>
        <w:t>Sales tax and, if applicable, duties and/or tariffs collected from customers and remitted to governmental authorities is excluded from revenue.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373380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5" w:lineRule="exact"/>
        <w:rPr>
          <w:sz w:val="20"/>
          <w:szCs w:val="20"/>
          <w:color w:val="auto"/>
        </w:rPr>
      </w:pPr>
    </w:p>
    <w:p>
      <w:pPr>
        <w:ind w:right="120" w:firstLine="644"/>
        <w:spacing w:after="0" w:line="306" w:lineRule="auto"/>
        <w:rPr>
          <w:sz w:val="20"/>
          <w:szCs w:val="20"/>
          <w:color w:val="auto"/>
        </w:rPr>
      </w:pPr>
      <w:r>
        <w:rPr>
          <w:rFonts w:ascii="Times New Roman" w:cs="Times New Roman" w:eastAsia="Times New Roman" w:hAnsi="Times New Roman"/>
          <w:sz w:val="17"/>
          <w:szCs w:val="17"/>
          <w:color w:val="auto"/>
        </w:rPr>
        <w:t>Contract liabilities are primarily derived from payments received in advance or at the time an order is placed, for which the associated performance obligations have not been satisfied and revenue has not been recognized based on the Company’s revenue recognition criteria described above.</w:t>
      </w:r>
    </w:p>
    <w:p>
      <w:pPr>
        <w:spacing w:after="0" w:line="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contract liabilities as of December 31, 2024 and March 31, 2025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Rollforward of contract liabilities:</w:t>
            </w:r>
          </w:p>
        </w:tc>
        <w:tc>
          <w:tcPr>
            <w:tcW w:w="7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at December 31, 2024</w:t>
            </w:r>
          </w:p>
        </w:tc>
        <w:tc>
          <w:tcPr>
            <w:tcW w:w="70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00" w:type="dxa"/>
            <w:vAlign w:val="bottom"/>
          </w:tcPr>
          <w:p>
            <w:pPr>
              <w:spacing w:after="0"/>
              <w:rPr>
                <w:sz w:val="18"/>
                <w:szCs w:val="18"/>
                <w:color w:val="auto"/>
              </w:rPr>
            </w:pPr>
          </w:p>
        </w:tc>
      </w:tr>
      <w:tr>
        <w:trPr>
          <w:trHeight w:val="213"/>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(49,911)</w:t>
            </w:r>
          </w:p>
        </w:tc>
      </w:tr>
      <w:tr>
        <w:trPr>
          <w:trHeight w:val="21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 in advance</w:t>
            </w: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51,871</w:t>
            </w:r>
          </w:p>
        </w:tc>
        <w:tc>
          <w:tcPr>
            <w:tcW w:w="100" w:type="dxa"/>
            <w:vAlign w:val="bottom"/>
          </w:tcPr>
          <w:p>
            <w:pPr>
              <w:spacing w:after="0"/>
              <w:rPr>
                <w:sz w:val="18"/>
                <w:szCs w:val="18"/>
                <w:color w:val="auto"/>
              </w:rPr>
            </w:pPr>
          </w:p>
        </w:tc>
      </w:tr>
      <w:tr>
        <w:trPr>
          <w:trHeight w:val="247"/>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 at March 31, 2025</w:t>
            </w:r>
          </w:p>
        </w:tc>
        <w:tc>
          <w:tcPr>
            <w:tcW w:w="700" w:type="dxa"/>
            <w:vAlign w:val="bottom"/>
            <w:tcBorders>
              <w:bottom w:val="single" w:sz="8" w:color="auto"/>
            </w:tcBorders>
            <w:shd w:val="clear" w:color="auto" w:fill="CFF0FC"/>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7070725</wp:posOffset>
            </wp:positionH>
            <wp:positionV relativeFrom="paragraph">
              <wp:posOffset>-24765</wp:posOffset>
            </wp:positionV>
            <wp:extent cx="679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9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388" w:lineRule="exact"/>
        <w:rPr>
          <w:sz w:val="20"/>
          <w:szCs w:val="20"/>
          <w:color w:val="auto"/>
        </w:rPr>
      </w:pPr>
    </w:p>
    <w:p>
      <w:pPr>
        <w:ind w:right="140" w:firstLine="644"/>
        <w:spacing w:after="0" w:line="27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approximately $6.7 million of revenue related to its contract liabilities as of December 31,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Contract Acquisition Costs</w:t>
      </w:r>
    </w:p>
    <w:p>
      <w:pPr>
        <w:spacing w:after="0" w:line="221" w:lineRule="exact"/>
        <w:rPr>
          <w:sz w:val="20"/>
          <w:szCs w:val="20"/>
          <w:color w:val="auto"/>
        </w:rPr>
      </w:pPr>
    </w:p>
    <w:p>
      <w:pPr>
        <w:ind w:right="40" w:firstLine="644"/>
        <w:spacing w:after="0" w:line="257" w:lineRule="auto"/>
        <w:rPr>
          <w:sz w:val="20"/>
          <w:szCs w:val="20"/>
          <w:color w:val="auto"/>
        </w:rPr>
      </w:pPr>
      <w:r>
        <w:rPr>
          <w:rFonts w:ascii="Times New Roman" w:cs="Times New Roman" w:eastAsia="Times New Roman" w:hAnsi="Times New Roman"/>
          <w:sz w:val="18"/>
          <w:szCs w:val="18"/>
          <w:color w:val="auto"/>
        </w:rPr>
        <w:t>The Company’s incremental costs to obtain a contract may include a sales commission which is generally determined on a per order basis. For marketplace contracts, sales commissions are generally expensed as incurred. For supplier service contracts in excess of one year, the Company amortizes such costs on a straight-line basis over the average customer life of two years for new customers and over the renewal period for existing customers which is generally one year. Sales commissions are included in the Company's sales and marketing expenses in the Condensed Consolidated Statements of Operations and Comprehensive Loss. For the three months ended March 31, 2025 and 2024, the Company recognized approximately $0.7 million and $2.6 million, respectively, of amortization related to deferred sales commissions. As of March 31, 2025 and December 31, 2024, the Company had deferred sales contract acquisition costs of $0.4 million for both periods, which is classified in other current assets on the Condensed Consolidated Balance Sheets.</w:t>
      </w:r>
    </w:p>
    <w:p>
      <w:pPr>
        <w:spacing w:after="0" w:line="70" w:lineRule="exact"/>
        <w:rPr>
          <w:sz w:val="20"/>
          <w:szCs w:val="20"/>
          <w:color w:val="auto"/>
        </w:rPr>
      </w:pPr>
    </w:p>
    <w:p>
      <w:pPr>
        <w:ind w:left="1020" w:hanging="505"/>
        <w:spacing w:after="0"/>
        <w:tabs>
          <w:tab w:leader="none" w:pos="10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Revenue</w:t>
      </w:r>
    </w:p>
    <w:p>
      <w:pPr>
        <w:spacing w:after="0" w:line="117" w:lineRule="exact"/>
        <w:rPr>
          <w:sz w:val="20"/>
          <w:szCs w:val="20"/>
          <w:color w:val="auto"/>
        </w:rPr>
      </w:pPr>
    </w:p>
    <w:p>
      <w:pPr>
        <w:ind w:right="600" w:firstLine="355"/>
        <w:spacing w:after="0" w:line="276" w:lineRule="auto"/>
        <w:rPr>
          <w:sz w:val="20"/>
          <w:szCs w:val="20"/>
          <w:color w:val="auto"/>
        </w:rPr>
      </w:pPr>
      <w:r>
        <w:rPr>
          <w:rFonts w:ascii="Times New Roman" w:cs="Times New Roman" w:eastAsia="Times New Roman" w:hAnsi="Times New Roman"/>
          <w:sz w:val="18"/>
          <w:szCs w:val="18"/>
          <w:color w:val="auto"/>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revenue for supplier services primarily consists of internal and external production costs and website hosting.</w:t>
      </w:r>
    </w:p>
    <w:p>
      <w:pPr>
        <w:spacing w:after="0" w:line="109" w:lineRule="exact"/>
        <w:rPr>
          <w:sz w:val="20"/>
          <w:szCs w:val="20"/>
          <w:color w:val="auto"/>
        </w:rPr>
      </w:pPr>
    </w:p>
    <w:p>
      <w:pPr>
        <w:ind w:left="1020" w:hanging="505"/>
        <w:spacing w:after="0"/>
        <w:tabs>
          <w:tab w:leader="none" w:pos="10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p>
    <w:p>
      <w:pPr>
        <w:spacing w:after="0" w:line="117" w:lineRule="exact"/>
        <w:rPr>
          <w:sz w:val="20"/>
          <w:szCs w:val="20"/>
          <w:color w:val="auto"/>
        </w:rPr>
      </w:pPr>
    </w:p>
    <w:p>
      <w:pPr>
        <w:ind w:right="120" w:firstLine="644"/>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and the classification of that lease, if applicable, at its inception. Operating leases are included in operating lease right-of-use ("ROU") assets, operating lease liabilities, current portion and operating lease liabilities, net of current portion in the Condensed Consolidated Balance Sheets. For leases with terms of twelve months or less, the Company does not recognize ROU assets or lease liabilities on the Condensed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Condensed Consolidated Balance Sheets.</w:t>
      </w:r>
    </w:p>
    <w:p>
      <w:pPr>
        <w:spacing w:after="0" w:line="77" w:lineRule="exact"/>
        <w:rPr>
          <w:sz w:val="20"/>
          <w:szCs w:val="20"/>
          <w:color w:val="auto"/>
        </w:rPr>
      </w:pPr>
    </w:p>
    <w:p>
      <w:pPr>
        <w:ind w:right="140" w:firstLine="644"/>
        <w:spacing w:after="0" w:line="253"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expense is recognized on a straight-line basis over the term of the lease.</w:t>
      </w:r>
    </w:p>
    <w:p>
      <w:pPr>
        <w:spacing w:after="0" w:line="109" w:lineRule="exact"/>
        <w:rPr>
          <w:sz w:val="20"/>
          <w:szCs w:val="20"/>
          <w:color w:val="auto"/>
        </w:rPr>
      </w:pPr>
    </w:p>
    <w:p>
      <w:pPr>
        <w:ind w:left="1020" w:hanging="505"/>
        <w:spacing w:after="0"/>
        <w:tabs>
          <w:tab w:leader="none" w:pos="102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Sales and Marketing</w:t>
      </w:r>
    </w:p>
    <w:p>
      <w:pPr>
        <w:spacing w:after="0" w:line="117" w:lineRule="exact"/>
        <w:rPr>
          <w:sz w:val="20"/>
          <w:szCs w:val="20"/>
          <w:color w:val="auto"/>
        </w:rPr>
      </w:pPr>
    </w:p>
    <w:p>
      <w:pPr>
        <w:ind w:right="300" w:firstLine="644"/>
        <w:spacing w:after="0" w:line="257"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three months ended March 31, 2025 and 2024 the Company's advertising costs were $6.8 million and $8.3 million, respectively.</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89" w:lineRule="exact"/>
        <w:rPr>
          <w:sz w:val="20"/>
          <w:szCs w:val="20"/>
          <w:color w:val="auto"/>
        </w:rPr>
      </w:pPr>
    </w:p>
    <w:p>
      <w:pPr>
        <w:ind w:left="1020" w:hanging="505"/>
        <w:spacing w:after="0"/>
        <w:tabs>
          <w:tab w:leader="none" w:pos="10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17" w:lineRule="exact"/>
        <w:rPr>
          <w:sz w:val="20"/>
          <w:szCs w:val="20"/>
          <w:color w:val="auto"/>
        </w:rPr>
      </w:pPr>
    </w:p>
    <w:p>
      <w:pPr>
        <w:ind w:right="140" w:firstLine="644"/>
        <w:spacing w:after="0" w:line="257" w:lineRule="auto"/>
        <w:rPr>
          <w:sz w:val="20"/>
          <w:szCs w:val="20"/>
          <w:color w:val="auto"/>
        </w:rPr>
      </w:pPr>
      <w:r>
        <w:rPr>
          <w:rFonts w:ascii="Times New Roman" w:cs="Times New Roman" w:eastAsia="Times New Roman" w:hAnsi="Times New Roman"/>
          <w:sz w:val="18"/>
          <w:szCs w:val="18"/>
          <w:color w:val="auto"/>
        </w:rPr>
        <w:t>Operations and support expenses are the costs the Company incurs in support of the customers and suppliers on Xometry’s platforms which are provided by phone, email and chat for purposes of resolving customer and supplier related matters. These costs primarily consist of compensation expenses of the support staff, including stock-based compensation, certain depreciation and amortization expense and software costs used in delivering customer and supplier services.</w:t>
      </w:r>
    </w:p>
    <w:p>
      <w:pPr>
        <w:spacing w:after="0" w:line="69" w:lineRule="exact"/>
        <w:rPr>
          <w:sz w:val="20"/>
          <w:szCs w:val="20"/>
          <w:color w:val="auto"/>
        </w:rPr>
      </w:pPr>
    </w:p>
    <w:p>
      <w:pPr>
        <w:ind w:left="1020" w:hanging="505"/>
        <w:spacing w:after="0"/>
        <w:tabs>
          <w:tab w:leader="none" w:pos="102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Product Development</w:t>
      </w:r>
    </w:p>
    <w:p>
      <w:pPr>
        <w:spacing w:after="0" w:line="117" w:lineRule="exact"/>
        <w:rPr>
          <w:sz w:val="20"/>
          <w:szCs w:val="20"/>
          <w:color w:val="auto"/>
        </w:rPr>
      </w:pPr>
    </w:p>
    <w:p>
      <w:pPr>
        <w:ind w:right="260" w:firstLine="644"/>
        <w:spacing w:after="0" w:line="261" w:lineRule="auto"/>
        <w:rPr>
          <w:sz w:val="20"/>
          <w:szCs w:val="20"/>
          <w:color w:val="auto"/>
        </w:rPr>
      </w:pPr>
      <w:r>
        <w:rPr>
          <w:rFonts w:ascii="Times New Roman" w:cs="Times New Roman" w:eastAsia="Times New Roman" w:hAnsi="Times New Roman"/>
          <w:sz w:val="18"/>
          <w:szCs w:val="18"/>
          <w:color w:val="auto"/>
        </w:rPr>
        <w:t>Product development costs which are not eligible for capitalization are expensed as incurred. This account also includes compensation expenses, including stock-based compensation to the Company’s employees performing routine improvements and maintenance on our platforms not related to a specific capitalizable project, software costs and certain depreciation and amortization expense.</w:t>
      </w:r>
    </w:p>
    <w:p>
      <w:pPr>
        <w:spacing w:after="0" w:line="67" w:lineRule="exact"/>
        <w:rPr>
          <w:sz w:val="20"/>
          <w:szCs w:val="20"/>
          <w:color w:val="auto"/>
        </w:rPr>
      </w:pPr>
    </w:p>
    <w:p>
      <w:pPr>
        <w:ind w:left="1020" w:hanging="505"/>
        <w:spacing w:after="0"/>
        <w:tabs>
          <w:tab w:leader="none" w:pos="102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17" w:lineRule="exact"/>
        <w:rPr>
          <w:sz w:val="20"/>
          <w:szCs w:val="20"/>
          <w:color w:val="auto"/>
        </w:rPr>
      </w:pPr>
    </w:p>
    <w:p>
      <w:pPr>
        <w:ind w:right="360" w:firstLine="644"/>
        <w:spacing w:after="0" w:line="276"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compensation expenses, including stock-based compensation expenses, for executive, finance, legal and other administrative personnel, professional service fees and certain depreciation and amortization expense.</w:t>
      </w:r>
    </w:p>
    <w:p>
      <w:pPr>
        <w:spacing w:after="0" w:line="53" w:lineRule="exact"/>
        <w:rPr>
          <w:sz w:val="20"/>
          <w:szCs w:val="20"/>
          <w:color w:val="auto"/>
        </w:rPr>
      </w:pPr>
    </w:p>
    <w:p>
      <w:pPr>
        <w:ind w:left="1020" w:hanging="505"/>
        <w:spacing w:after="0"/>
        <w:tabs>
          <w:tab w:leader="none" w:pos="102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17"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All stock-based compensation, including stock options, restricted stock units and performance restricted stock units (“PRSUs”), are measured at the grant date fair value of the award. The fair value of the restricted stock units and PRSUs is determined using the fair value of the Company's Class A common stock on the date of grant. The Company estimates grant date fair value of stock options using the Black-Scholes option-pricing model. The fair value of stock options, PRSUs and restricted stock units is recognized as compensation expense on a straight-line basis over the requisite service period, which is typically three to four years. Forfeitures are recorded in the period in which they occur.</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Black-Scholes model considers several variables and assumptions in estimating the fair value of stock-based awards.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variables include:</w:t>
      </w:r>
    </w:p>
    <w:p>
      <w:pPr>
        <w:spacing w:after="0" w:line="113" w:lineRule="exact"/>
        <w:rPr>
          <w:sz w:val="20"/>
          <w:szCs w:val="20"/>
          <w:color w:val="auto"/>
        </w:rPr>
      </w:pPr>
    </w:p>
    <w:p>
      <w:pPr>
        <w:ind w:left="1060" w:hanging="409"/>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annual dividend yield;</w:t>
      </w:r>
    </w:p>
    <w:p>
      <w:pPr>
        <w:spacing w:after="0" w:line="112" w:lineRule="exact"/>
        <w:rPr>
          <w:rFonts w:ascii="Times New Roman" w:cs="Times New Roman" w:eastAsia="Times New Roman" w:hAnsi="Times New Roman"/>
          <w:sz w:val="18"/>
          <w:szCs w:val="18"/>
          <w:color w:val="auto"/>
        </w:rPr>
      </w:pPr>
    </w:p>
    <w:p>
      <w:pPr>
        <w:ind w:left="1060" w:hanging="409"/>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over the expected term;</w:t>
      </w:r>
    </w:p>
    <w:p>
      <w:pPr>
        <w:spacing w:after="0" w:line="112" w:lineRule="exact"/>
        <w:rPr>
          <w:rFonts w:ascii="Times New Roman" w:cs="Times New Roman" w:eastAsia="Times New Roman" w:hAnsi="Times New Roman"/>
          <w:sz w:val="18"/>
          <w:szCs w:val="18"/>
          <w:color w:val="auto"/>
        </w:rPr>
      </w:pPr>
    </w:p>
    <w:p>
      <w:pPr>
        <w:ind w:left="1060" w:hanging="409"/>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w:t>
      </w:r>
    </w:p>
    <w:p>
      <w:pPr>
        <w:spacing w:after="0" w:line="112" w:lineRule="exact"/>
        <w:rPr>
          <w:rFonts w:ascii="Times New Roman" w:cs="Times New Roman" w:eastAsia="Times New Roman" w:hAnsi="Times New Roman"/>
          <w:sz w:val="18"/>
          <w:szCs w:val="18"/>
          <w:color w:val="auto"/>
        </w:rPr>
      </w:pPr>
    </w:p>
    <w:p>
      <w:pPr>
        <w:ind w:left="1060" w:hanging="409"/>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interest rate;</w:t>
      </w:r>
    </w:p>
    <w:p>
      <w:pPr>
        <w:spacing w:after="0" w:line="112" w:lineRule="exact"/>
        <w:rPr>
          <w:rFonts w:ascii="Times New Roman" w:cs="Times New Roman" w:eastAsia="Times New Roman" w:hAnsi="Times New Roman"/>
          <w:sz w:val="18"/>
          <w:szCs w:val="18"/>
          <w:color w:val="auto"/>
        </w:rPr>
      </w:pPr>
    </w:p>
    <w:p>
      <w:pPr>
        <w:ind w:left="1060" w:hanging="409"/>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value of the underlying common stock; and</w:t>
      </w:r>
    </w:p>
    <w:p>
      <w:pPr>
        <w:spacing w:after="0" w:line="112" w:lineRule="exact"/>
        <w:rPr>
          <w:rFonts w:ascii="Times New Roman" w:cs="Times New Roman" w:eastAsia="Times New Roman" w:hAnsi="Times New Roman"/>
          <w:sz w:val="18"/>
          <w:szCs w:val="18"/>
          <w:color w:val="auto"/>
        </w:rPr>
      </w:pPr>
    </w:p>
    <w:p>
      <w:pPr>
        <w:ind w:left="1060" w:hanging="409"/>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w:t>
      </w:r>
    </w:p>
    <w:p>
      <w:pPr>
        <w:spacing w:after="0" w:line="113"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w:t>
      </w:r>
    </w:p>
    <w:p>
      <w:pPr>
        <w:spacing w:after="0" w:line="77"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The fair value for PRSUs is recognized on a ratable basis over the requisite service period of three years when it is probable the performance conditions of the awards will be met. The Company reassesses the probability of vesting at each reporting period and adjusts the total compensation expense of the award based on this probability assessment.</w:t>
      </w:r>
    </w:p>
    <w:p>
      <w:pPr>
        <w:spacing w:after="0" w:line="67" w:lineRule="exact"/>
        <w:rPr>
          <w:sz w:val="20"/>
          <w:szCs w:val="20"/>
          <w:color w:val="auto"/>
        </w:rPr>
      </w:pPr>
    </w:p>
    <w:p>
      <w:pPr>
        <w:ind w:left="1020" w:hanging="505"/>
        <w:spacing w:after="0"/>
        <w:tabs>
          <w:tab w:leader="none" w:pos="102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17"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The Company computes net loss per share using the two-class method required for multiple classes of common stock and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 proportionately in the Company’s net losses.</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89" w:lineRule="exact"/>
        <w:rPr>
          <w:sz w:val="20"/>
          <w:szCs w:val="20"/>
          <w:color w:val="auto"/>
        </w:rPr>
      </w:pPr>
    </w:p>
    <w:p>
      <w:pPr>
        <w:ind w:left="1300" w:hanging="650"/>
        <w:spacing w:after="0"/>
        <w:tabs>
          <w:tab w:leader="none" w:pos="130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7" w:lineRule="exact"/>
        <w:rPr>
          <w:sz w:val="20"/>
          <w:szCs w:val="20"/>
          <w:color w:val="auto"/>
        </w:rPr>
      </w:pPr>
    </w:p>
    <w:p>
      <w:pPr>
        <w:ind w:right="100" w:firstLine="749"/>
        <w:spacing w:after="0" w:line="252"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ASU did not change how a public entity identifies its operating segments, aggregates them, or applies the quantitative thresholds to determine its reportable segments. The new standard became effective for Xometry in December 2024. Xometry applied the amendments in this ASU retrospectively to all prior periods presented in the financial statements. We have reflected the adoption of this ASU in Note 5, </w:t>
      </w:r>
      <w:r>
        <w:rPr>
          <w:rFonts w:ascii="Times New Roman" w:cs="Times New Roman" w:eastAsia="Times New Roman" w:hAnsi="Times New Roman"/>
          <w:sz w:val="18"/>
          <w:szCs w:val="18"/>
          <w:i w:val="1"/>
          <w:iCs w:val="1"/>
          <w:color w:val="auto"/>
        </w:rPr>
        <w:t>Segments.</w:t>
      </w:r>
    </w:p>
    <w:p>
      <w:pPr>
        <w:spacing w:after="0" w:line="74" w:lineRule="exact"/>
        <w:rPr>
          <w:sz w:val="20"/>
          <w:szCs w:val="20"/>
          <w:color w:val="auto"/>
        </w:rPr>
      </w:pPr>
    </w:p>
    <w:p>
      <w:pPr>
        <w:ind w:left="1060" w:hanging="545"/>
        <w:spacing w:after="0"/>
        <w:tabs>
          <w:tab w:leader="none" w:pos="106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7" w:lineRule="exact"/>
        <w:rPr>
          <w:sz w:val="20"/>
          <w:szCs w:val="20"/>
          <w:color w:val="auto"/>
        </w:rPr>
      </w:pPr>
    </w:p>
    <w:p>
      <w:pPr>
        <w:ind w:firstLine="644"/>
        <w:spacing w:after="0" w:line="250"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expect this ASU to only impact our disclosures with no impacts to our results of operations, cash flows, and financial condition.</w:t>
      </w:r>
    </w:p>
    <w:p>
      <w:pPr>
        <w:spacing w:after="0" w:line="152"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In November 2024, FASB issued ASU No. 2024-03, Income Statement—Reporting Comprehensive Income—Expense Disaggregation Disclosures (Subtopic 220-40): Disaggregation of Income Statement Expenses (“ASU 2024-03”). Under ASU 2024-03, a PBE would be required to disclose information about purchases of inventory, employee compensation, 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financial statements issued for reporting periods after the effective date of ASU 2024-03 or retrospectively to any or all prior periods presented in the financial statements. The Company is currently assessing the impact of ASU 2024-03 on our consolidated financial statements and related disclosures.</w:t>
      </w:r>
    </w:p>
    <w:p>
      <w:pPr>
        <w:spacing w:after="0" w:line="118"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In November 2024, FASB issued ASU No. 2024-04, Debt with Conversion and Other Options (Subtopic 470-20): Induced Conversions of Convertible Debt Instruments (“ASU 2024-04”), which clarifies the assessment of whether certain settlements of convertible debt instruments should be accounted for as an inducement conversion or extinguishment of convertible debt. The new guidance is effective for annual reporting periods beginning after December 15, 2025, and interim periods within those annual periods. The Company is currently assessing the impact of ASU 2024-04 on our consolidated financial statements and related disclosures.</w:t>
      </w:r>
    </w:p>
    <w:p>
      <w:pPr>
        <w:spacing w:after="0" w:line="117" w:lineRule="exact"/>
        <w:rPr>
          <w:sz w:val="20"/>
          <w:szCs w:val="20"/>
          <w:color w:val="auto"/>
        </w:rPr>
      </w:pPr>
    </w:p>
    <w:p>
      <w:pPr>
        <w:ind w:right="260" w:firstLine="644"/>
        <w:spacing w:after="0" w:line="276" w:lineRule="auto"/>
        <w:rPr>
          <w:sz w:val="20"/>
          <w:szCs w:val="20"/>
          <w:color w:val="auto"/>
        </w:rPr>
      </w:pPr>
      <w:r>
        <w:rPr>
          <w:rFonts w:ascii="Times New Roman" w:cs="Times New Roman" w:eastAsia="Times New Roman" w:hAnsi="Times New Roman"/>
          <w:sz w:val="18"/>
          <w:szCs w:val="18"/>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5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Property and Equipment and Long-Lived Assets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 as of March 31, 2025 and December 31, 2024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0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95"/>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95"/>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3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hardware</w:t>
            </w:r>
          </w:p>
        </w:tc>
        <w:tc>
          <w:tcPr>
            <w:tcW w:w="2060" w:type="dxa"/>
            <w:vAlign w:val="bottom"/>
            <w:shd w:val="clear" w:color="auto" w:fill="CFF0FC"/>
          </w:tcPr>
          <w:p>
            <w:pPr>
              <w:spacing w:after="0"/>
              <w:rPr>
                <w:sz w:val="18"/>
                <w:szCs w:val="18"/>
                <w:color w:val="auto"/>
              </w:rPr>
            </w:pPr>
          </w:p>
        </w:tc>
        <w:tc>
          <w:tcPr>
            <w:tcW w:w="2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 years</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3,978</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2060" w:type="dxa"/>
            <w:vAlign w:val="bottom"/>
          </w:tcPr>
          <w:p>
            <w:pPr>
              <w:spacing w:after="0"/>
              <w:rPr>
                <w:sz w:val="18"/>
                <w:szCs w:val="18"/>
                <w:color w:val="auto"/>
              </w:rPr>
            </w:pPr>
          </w:p>
        </w:tc>
        <w:tc>
          <w:tcPr>
            <w:tcW w:w="2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2 - 10 years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2060" w:type="dxa"/>
            <w:vAlign w:val="bottom"/>
            <w:shd w:val="clear" w:color="auto" w:fill="CFF0FC"/>
          </w:tcPr>
          <w:p>
            <w:pPr>
              <w:spacing w:after="0"/>
              <w:rPr>
                <w:sz w:val="18"/>
                <w:szCs w:val="18"/>
                <w:color w:val="auto"/>
              </w:rPr>
            </w:pPr>
          </w:p>
        </w:tc>
        <w:tc>
          <w:tcPr>
            <w:tcW w:w="2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 years</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66,056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60,480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Leasehold improvements</w:t>
            </w:r>
          </w:p>
        </w:tc>
        <w:tc>
          <w:tcPr>
            <w:tcW w:w="2060" w:type="dxa"/>
            <w:vAlign w:val="bottom"/>
          </w:tcPr>
          <w:p>
            <w:pPr>
              <w:spacing w:after="0"/>
              <w:rPr>
                <w:sz w:val="16"/>
                <w:szCs w:val="16"/>
                <w:color w:val="auto"/>
              </w:rPr>
            </w:pPr>
          </w:p>
        </w:tc>
        <w:tc>
          <w:tcPr>
            <w:tcW w:w="230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Shorter of useful</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life or lease term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60" w:type="dxa"/>
            <w:vAlign w:val="bottom"/>
            <w:shd w:val="clear" w:color="auto" w:fill="CFF0FC"/>
          </w:tcPr>
          <w:p>
            <w:pPr>
              <w:spacing w:after="0"/>
              <w:rPr>
                <w:sz w:val="18"/>
                <w:szCs w:val="18"/>
                <w:color w:val="auto"/>
              </w:rPr>
            </w:pPr>
          </w:p>
        </w:tc>
        <w:tc>
          <w:tcPr>
            <w:tcW w:w="2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 years</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2,675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81,088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6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(33,844)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(30,421)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47,244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6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11</w:t>
            </w: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20" w:type="dxa"/>
            <w:vAlign w:val="bottom"/>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6139815</wp:posOffset>
            </wp:positionH>
            <wp:positionV relativeFrom="paragraph">
              <wp:posOffset>-1276985</wp:posOffset>
            </wp:positionV>
            <wp:extent cx="679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-1276985</wp:posOffset>
            </wp:positionV>
            <wp:extent cx="679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6139815</wp:posOffset>
            </wp:positionH>
            <wp:positionV relativeFrom="paragraph">
              <wp:posOffset>-998220</wp:posOffset>
            </wp:positionV>
            <wp:extent cx="679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-998220</wp:posOffset>
            </wp:positionV>
            <wp:extent cx="679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for the three months ended March 31, 2025 and 2024 was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tcPr>
          <w:p>
            <w:pPr>
              <w:jc w:val="right"/>
              <w:ind w:right="49"/>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bottom w:val="single" w:sz="8" w:color="auto"/>
            </w:tcBorders>
          </w:tcPr>
          <w:p>
            <w:pPr>
              <w:jc w:val="right"/>
              <w:ind w:right="29"/>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20" w:type="dxa"/>
            <w:vAlign w:val="bottom"/>
          </w:tcPr>
          <w:p>
            <w:pPr>
              <w:spacing w:after="0"/>
              <w:rPr>
                <w:sz w:val="17"/>
                <w:szCs w:val="17"/>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gridSpan w:val="2"/>
            <w:shd w:val="clear" w:color="auto" w:fill="CFF0FC"/>
          </w:tcPr>
          <w:p>
            <w:pPr>
              <w:jc w:val="right"/>
              <w:ind w:right="84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40" w:type="dxa"/>
            <w:vAlign w:val="bottom"/>
            <w:gridSpan w:val="2"/>
            <w:shd w:val="clear" w:color="auto" w:fill="CFF0FC"/>
          </w:tcPr>
          <w:p>
            <w:pPr>
              <w:jc w:val="right"/>
              <w:ind w:right="84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 and support</w:t>
            </w:r>
          </w:p>
        </w:tc>
        <w:tc>
          <w:tcPr>
            <w:tcW w:w="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1020" w:type="dxa"/>
            <w:vAlign w:val="bottom"/>
            <w:gridSpan w:val="2"/>
          </w:tcPr>
          <w:p>
            <w:pPr>
              <w:jc w:val="right"/>
              <w:ind w:right="84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240" w:type="dxa"/>
            <w:vAlign w:val="bottom"/>
            <w:gridSpan w:val="2"/>
          </w:tcPr>
          <w:p>
            <w:pPr>
              <w:jc w:val="right"/>
              <w:ind w:right="84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5962015</wp:posOffset>
            </wp:positionH>
            <wp:positionV relativeFrom="paragraph">
              <wp:posOffset>-168910</wp:posOffset>
            </wp:positionV>
            <wp:extent cx="762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-168910</wp:posOffset>
            </wp:positionV>
            <wp:extent cx="679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8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Disaggregated Revenue and Cost of Revenue Information</w:t>
      </w:r>
    </w:p>
    <w:p>
      <w:pPr>
        <w:spacing w:after="0" w:line="115"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The following tables present our revenues disaggregated by line of business. Revenue from our marketplace primarily reflects the sales of parts and assemblies on our platform. Revenue from supplier services primarily includes the sale of digital advertising and marketing services, and to a lesser extent financial service products and SaaS products.</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Revenue and cost of revenue is presented in the following tables for the three months ended March 31, 2025 and 2024, respectively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13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right"/>
              <w:ind w:right="1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1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07"/>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12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136,353</w:t>
            </w:r>
          </w:p>
        </w:tc>
        <w:tc>
          <w:tcPr>
            <w:tcW w:w="1580" w:type="dxa"/>
            <w:vAlign w:val="bottom"/>
            <w:gridSpan w:val="2"/>
            <w:shd w:val="clear" w:color="auto" w:fill="CFF0FC"/>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107,186</w:t>
            </w:r>
          </w:p>
        </w:tc>
        <w:tc>
          <w:tcPr>
            <w:tcW w:w="120" w:type="dxa"/>
            <w:vAlign w:val="bottom"/>
            <w:shd w:val="clear" w:color="auto" w:fill="CFF0FC"/>
          </w:tcPr>
          <w:p>
            <w:pPr>
              <w:spacing w:after="0"/>
              <w:rPr>
                <w:sz w:val="17"/>
                <w:szCs w:val="17"/>
                <w:color w:val="auto"/>
              </w:rPr>
            </w:pPr>
          </w:p>
        </w:tc>
      </w:tr>
      <w:tr>
        <w:trPr>
          <w:trHeight w:val="21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93,046</w:t>
            </w:r>
          </w:p>
        </w:tc>
        <w:tc>
          <w:tcPr>
            <w:tcW w:w="2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72,907</w:t>
            </w:r>
          </w:p>
        </w:tc>
        <w:tc>
          <w:tcPr>
            <w:tcW w:w="120" w:type="dxa"/>
            <w:vAlign w:val="bottom"/>
          </w:tcPr>
          <w:p>
            <w:pPr>
              <w:spacing w:after="0"/>
              <w:rPr>
                <w:sz w:val="18"/>
                <w:szCs w:val="18"/>
                <w:color w:val="auto"/>
              </w:rPr>
            </w:pPr>
          </w:p>
        </w:tc>
      </w:tr>
      <w:tr>
        <w:trPr>
          <w:trHeight w:val="247"/>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12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1580" w:type="dxa"/>
            <w:vAlign w:val="bottom"/>
            <w:gridSpan w:val="2"/>
            <w:shd w:val="clear" w:color="auto" w:fill="CFF0FC"/>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34,279</w:t>
            </w:r>
          </w:p>
        </w:tc>
        <w:tc>
          <w:tcPr>
            <w:tcW w:w="120" w:type="dxa"/>
            <w:vAlign w:val="bottom"/>
            <w:shd w:val="clear" w:color="auto" w:fill="CFF0FC"/>
          </w:tcPr>
          <w:p>
            <w:pPr>
              <w:spacing w:after="0"/>
              <w:rPr>
                <w:sz w:val="21"/>
                <w:szCs w:val="21"/>
                <w:color w:val="auto"/>
              </w:rPr>
            </w:pPr>
          </w:p>
        </w:tc>
      </w:tr>
      <w:tr>
        <w:trPr>
          <w:trHeight w:val="433"/>
        </w:trPr>
        <w:tc>
          <w:tcPr>
            <w:tcW w:w="2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Supplier Services</w:t>
            </w:r>
          </w:p>
        </w:tc>
        <w:tc>
          <w:tcPr>
            <w:tcW w:w="130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13"/>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12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1580" w:type="dxa"/>
            <w:vAlign w:val="bottom"/>
            <w:gridSpan w:val="2"/>
            <w:shd w:val="clear" w:color="auto" w:fill="CFF0FC"/>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15,504</w:t>
            </w:r>
          </w:p>
        </w:tc>
        <w:tc>
          <w:tcPr>
            <w:tcW w:w="120" w:type="dxa"/>
            <w:vAlign w:val="bottom"/>
            <w:shd w:val="clear" w:color="auto" w:fill="CFF0FC"/>
          </w:tcPr>
          <w:p>
            <w:pPr>
              <w:spacing w:after="0"/>
              <w:rPr>
                <w:sz w:val="18"/>
                <w:szCs w:val="18"/>
                <w:color w:val="auto"/>
              </w:rPr>
            </w:pPr>
          </w:p>
        </w:tc>
      </w:tr>
      <w:tr>
        <w:trPr>
          <w:trHeight w:val="21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tcPr>
          <w:p>
            <w:pPr>
              <w:spacing w:after="0"/>
              <w:rPr>
                <w:sz w:val="18"/>
                <w:szCs w:val="18"/>
                <w:color w:val="auto"/>
              </w:rPr>
            </w:pPr>
          </w:p>
        </w:tc>
      </w:tr>
      <w:tr>
        <w:trPr>
          <w:trHeight w:val="227"/>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12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1580" w:type="dxa"/>
            <w:vAlign w:val="bottom"/>
            <w:gridSpan w:val="2"/>
            <w:shd w:val="clear" w:color="auto" w:fill="CFF0FC"/>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120" w:type="dxa"/>
            <w:vAlign w:val="bottom"/>
            <w:shd w:val="clear" w:color="auto" w:fill="CFF0FC"/>
          </w:tcPr>
          <w:p>
            <w:pPr>
              <w:spacing w:after="0"/>
              <w:rPr>
                <w:sz w:val="19"/>
                <w:szCs w:val="19"/>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-752475</wp:posOffset>
            </wp:positionV>
            <wp:extent cx="679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-735330</wp:posOffset>
            </wp:positionV>
            <wp:extent cx="679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-752475</wp:posOffset>
            </wp:positionV>
            <wp:extent cx="762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-735330</wp:posOffset>
            </wp:positionV>
            <wp:extent cx="762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-24765</wp:posOffset>
            </wp:positionV>
            <wp:extent cx="679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-7620</wp:posOffset>
            </wp:positionV>
            <wp:extent cx="679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-24765</wp:posOffset>
            </wp:positionV>
            <wp:extent cx="762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-7620</wp:posOffset>
            </wp:positionV>
            <wp:extent cx="762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38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Segments</w:t>
      </w:r>
    </w:p>
    <w:p>
      <w:pPr>
        <w:spacing w:after="0" w:line="115" w:lineRule="exact"/>
        <w:rPr>
          <w:sz w:val="20"/>
          <w:szCs w:val="20"/>
          <w:color w:val="auto"/>
        </w:rPr>
      </w:pPr>
    </w:p>
    <w:p>
      <w:pPr>
        <w:ind w:right="80" w:firstLine="644"/>
        <w:spacing w:after="0" w:line="257" w:lineRule="auto"/>
        <w:rPr>
          <w:sz w:val="20"/>
          <w:szCs w:val="20"/>
          <w:color w:val="auto"/>
        </w:rPr>
      </w:pPr>
      <w:r>
        <w:rPr>
          <w:rFonts w:ascii="Times New Roman" w:cs="Times New Roman" w:eastAsia="Times New Roman" w:hAnsi="Times New Roman"/>
          <w:sz w:val="18"/>
          <w:szCs w:val="18"/>
          <w:color w:val="auto"/>
        </w:rPr>
        <w:t>Xometry is organized in two segments referred to as: (1) U.S. and (2) International. Xometry’s operating segments are also the Company’s reportable segments. Xometry’s reportable segments are managed separately based on geography. The Company’s U.S. revenues primarily result from the sales of parts and assemblies and the sale of advertising and marketing services. The Company's International revenues primarily result from the sale of parts and assemblies. Xometry’s two segments are defined based on the reporting and review process used by the CODM, the Chief Executive Officer.</w:t>
      </w:r>
    </w:p>
    <w:p>
      <w:pPr>
        <w:spacing w:after="0" w:line="73"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The Company evaluates the performance of the operating segments primarily based on revenue and segment Adjusted EBITDA. The CODM uses actual results compared to budgeted or forecasted segment Adjusted EBITDA to determine if the reporting units are making progress toward profitability and when making decisions about the allocation of resources and the assessment of performance. In 2024, the Company had determined that revenue and segment profit before income taxes was its measures of segment performance. In December 2024, the Company changed its segment profit or loss measure to segment Adjusted EBITDA based on a reassessment of the information currently used by the CODM to allocate resources and assess performance of the segments. The Company has recast segment Adjusted EBITDA for the prior periods.</w:t>
      </w:r>
    </w:p>
    <w:p>
      <w:pPr>
        <w:spacing w:after="0" w:line="77" w:lineRule="exact"/>
        <w:rPr>
          <w:sz w:val="20"/>
          <w:szCs w:val="20"/>
          <w:color w:val="auto"/>
        </w:rPr>
      </w:pPr>
    </w:p>
    <w:p>
      <w:pPr>
        <w:ind w:right="200" w:firstLine="749"/>
        <w:spacing w:after="0" w:line="253" w:lineRule="auto"/>
        <w:rPr>
          <w:sz w:val="20"/>
          <w:szCs w:val="20"/>
          <w:color w:val="auto"/>
        </w:rPr>
      </w:pPr>
      <w:r>
        <w:rPr>
          <w:rFonts w:ascii="Times New Roman" w:cs="Times New Roman" w:eastAsia="Times New Roman" w:hAnsi="Times New Roman"/>
          <w:sz w:val="18"/>
          <w:szCs w:val="18"/>
          <w:color w:val="auto"/>
        </w:rPr>
        <w:t>Segment Adjusted EBITDA excludes interest expense, interest and dividend income, other expenses, benefit (provision) for income taxes, and certain other non-cash or non-recurring items impacting net loss from time to time, principally comprised of depreciation and amortization, amortization of lease intangible, stock-based compensation, payroll tax expense related to stock-based compensation, lease abandonment, charitable contributions of common stock, income from an unconsolidated joint venture, impairment of assets, restructuring charges, costs to exit the tools and materials business and acquisition and other adjustments not reflective of our ongoing business, such as adjustments related to purchase accounting, the revaluation of contingent consideration, transaction costs and executive severance.</w:t>
      </w:r>
    </w:p>
    <w:p>
      <w:pPr>
        <w:spacing w:after="0" w:line="77" w:lineRule="exact"/>
        <w:rPr>
          <w:sz w:val="20"/>
          <w:szCs w:val="20"/>
          <w:color w:val="auto"/>
        </w:rPr>
      </w:pPr>
    </w:p>
    <w:p>
      <w:pPr>
        <w:ind w:right="200" w:firstLine="749"/>
        <w:spacing w:after="0" w:line="276" w:lineRule="auto"/>
        <w:rPr>
          <w:sz w:val="20"/>
          <w:szCs w:val="20"/>
          <w:color w:val="auto"/>
        </w:rPr>
      </w:pPr>
      <w:r>
        <w:rPr>
          <w:rFonts w:ascii="Times New Roman" w:cs="Times New Roman" w:eastAsia="Times New Roman" w:hAnsi="Times New Roman"/>
          <w:sz w:val="18"/>
          <w:szCs w:val="18"/>
          <w:color w:val="auto"/>
        </w:rPr>
        <w:t>The CODM monitors assets of the consolidated Company, but does not use assets, by operating segment when assessing performance or making operating segment resource decisions.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segment information for the three months ended March 31, 2025 and 2024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tcBorders>
              <w:bottom w:val="single" w:sz="8" w:color="auto"/>
            </w:tcBorders>
          </w:tcPr>
          <w:p>
            <w:pPr>
              <w:jc w:val="right"/>
              <w:ind w:right="19"/>
              <w:spacing w:after="0" w:line="140" w:lineRule="exact"/>
              <w:rPr>
                <w:sz w:val="20"/>
                <w:szCs w:val="20"/>
                <w:color w:val="auto"/>
              </w:rPr>
            </w:pPr>
            <w:r>
              <w:rPr>
                <w:rFonts w:ascii="Times New Roman" w:cs="Times New Roman" w:eastAsia="Times New Roman" w:hAnsi="Times New Roman"/>
                <w:sz w:val="13"/>
                <w:szCs w:val="13"/>
                <w:b w:val="1"/>
                <w:bCs w:val="1"/>
                <w:color w:val="auto"/>
              </w:rPr>
              <w:t>2025</w:t>
            </w:r>
          </w:p>
        </w:tc>
        <w:tc>
          <w:tcPr>
            <w:tcW w:w="8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853"/>
              <w:spacing w:after="0" w:line="140"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6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3"/>
                <w:szCs w:val="13"/>
                <w:color w:val="auto"/>
              </w:rPr>
              <w:t>Segment Revenue</w:t>
            </w:r>
          </w:p>
        </w:tc>
        <w:tc>
          <w:tcPr>
            <w:tcW w:w="15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U.S.</w:t>
            </w:r>
          </w:p>
        </w:tc>
        <w:tc>
          <w:tcPr>
            <w:tcW w:w="2780" w:type="dxa"/>
            <w:vAlign w:val="bottom"/>
            <w:gridSpan w:val="2"/>
          </w:tcPr>
          <w:p>
            <w:pPr>
              <w:jc w:val="right"/>
              <w:ind w:right="1119"/>
              <w:spacing w:after="0" w:line="147"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127,820</w:t>
            </w:r>
          </w:p>
        </w:tc>
        <w:tc>
          <w:tcPr>
            <w:tcW w:w="180" w:type="dxa"/>
            <w:vAlign w:val="bottom"/>
          </w:tcPr>
          <w:p>
            <w:pPr>
              <w:spacing w:after="0"/>
              <w:rPr>
                <w:sz w:val="12"/>
                <w:szCs w:val="12"/>
                <w:color w:val="auto"/>
              </w:rPr>
            </w:pPr>
          </w:p>
        </w:tc>
        <w:tc>
          <w:tcPr>
            <w:tcW w:w="980" w:type="dxa"/>
            <w:vAlign w:val="bottom"/>
            <w:gridSpan w:val="2"/>
          </w:tcPr>
          <w:p>
            <w:pPr>
              <w:jc w:val="right"/>
              <w:ind w:right="693"/>
              <w:spacing w:after="0" w:line="147"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103,363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Borders>
              <w:bottom w:val="single" w:sz="8" w:color="CFF0FC"/>
            </w:tcBorders>
            <w:shd w:val="clear" w:color="auto" w:fill="CFF0FC"/>
          </w:tcPr>
          <w:p>
            <w:pPr>
              <w:spacing w:after="0" w:line="147" w:lineRule="exact"/>
              <w:rPr>
                <w:sz w:val="20"/>
                <w:szCs w:val="20"/>
                <w:color w:val="auto"/>
              </w:rPr>
            </w:pPr>
            <w:r>
              <w:rPr>
                <w:rFonts w:ascii="Times New Roman" w:cs="Times New Roman" w:eastAsia="Times New Roman" w:hAnsi="Times New Roman"/>
                <w:sz w:val="13"/>
                <w:szCs w:val="13"/>
                <w:color w:val="auto"/>
              </w:rPr>
              <w:t>International</w:t>
            </w:r>
          </w:p>
        </w:tc>
        <w:tc>
          <w:tcPr>
            <w:tcW w:w="154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23,151</w:t>
            </w:r>
          </w:p>
        </w:tc>
        <w:tc>
          <w:tcPr>
            <w:tcW w:w="1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19,327</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6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Total</w:t>
            </w:r>
          </w:p>
        </w:tc>
        <w:tc>
          <w:tcPr>
            <w:tcW w:w="2780" w:type="dxa"/>
            <w:vAlign w:val="bottom"/>
            <w:gridSpan w:val="2"/>
          </w:tcPr>
          <w:p>
            <w:pPr>
              <w:jc w:val="right"/>
              <w:ind w:right="1119"/>
              <w:spacing w:after="0" w:line="140"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150,971</w:t>
            </w:r>
          </w:p>
        </w:tc>
        <w:tc>
          <w:tcPr>
            <w:tcW w:w="180" w:type="dxa"/>
            <w:vAlign w:val="bottom"/>
          </w:tcPr>
          <w:p>
            <w:pPr>
              <w:spacing w:after="0"/>
              <w:rPr>
                <w:sz w:val="12"/>
                <w:szCs w:val="12"/>
                <w:color w:val="auto"/>
              </w:rPr>
            </w:pPr>
          </w:p>
        </w:tc>
        <w:tc>
          <w:tcPr>
            <w:tcW w:w="980" w:type="dxa"/>
            <w:vAlign w:val="bottom"/>
            <w:gridSpan w:val="2"/>
          </w:tcPr>
          <w:p>
            <w:pPr>
              <w:jc w:val="right"/>
              <w:ind w:right="693"/>
              <w:spacing w:after="0" w:line="140"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122,690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vMerge w:val="restart"/>
          </w:tcPr>
          <w:p>
            <w:pPr>
              <w:spacing w:after="0"/>
              <w:rPr>
                <w:sz w:val="11"/>
                <w:szCs w:val="11"/>
                <w:color w:val="auto"/>
              </w:rPr>
            </w:pPr>
          </w:p>
        </w:tc>
        <w:tc>
          <w:tcPr>
            <w:tcW w:w="50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50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3"/>
                <w:szCs w:val="13"/>
                <w:color w:val="auto"/>
              </w:rPr>
              <w:t>Segment Cost of Revenue</w:t>
            </w:r>
          </w:p>
        </w:tc>
        <w:tc>
          <w:tcPr>
            <w:tcW w:w="15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U.S.</w:t>
            </w:r>
          </w:p>
        </w:tc>
        <w:tc>
          <w:tcPr>
            <w:tcW w:w="2780" w:type="dxa"/>
            <w:vAlign w:val="bottom"/>
            <w:gridSpan w:val="2"/>
          </w:tcPr>
          <w:p>
            <w:pPr>
              <w:jc w:val="right"/>
              <w:ind w:right="1119"/>
              <w:spacing w:after="0" w:line="147"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79,940</w:t>
            </w:r>
          </w:p>
        </w:tc>
        <w:tc>
          <w:tcPr>
            <w:tcW w:w="180" w:type="dxa"/>
            <w:vAlign w:val="bottom"/>
          </w:tcPr>
          <w:p>
            <w:pPr>
              <w:spacing w:after="0"/>
              <w:rPr>
                <w:sz w:val="12"/>
                <w:szCs w:val="12"/>
                <w:color w:val="auto"/>
              </w:rPr>
            </w:pPr>
          </w:p>
        </w:tc>
        <w:tc>
          <w:tcPr>
            <w:tcW w:w="980" w:type="dxa"/>
            <w:vAlign w:val="bottom"/>
            <w:gridSpan w:val="2"/>
          </w:tcPr>
          <w:p>
            <w:pPr>
              <w:jc w:val="right"/>
              <w:ind w:right="693"/>
              <w:spacing w:after="0" w:line="147"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62,930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Borders>
              <w:bottom w:val="single" w:sz="8" w:color="CFF0FC"/>
            </w:tcBorders>
            <w:shd w:val="clear" w:color="auto" w:fill="CFF0FC"/>
          </w:tcPr>
          <w:p>
            <w:pPr>
              <w:spacing w:after="0" w:line="147" w:lineRule="exact"/>
              <w:rPr>
                <w:sz w:val="20"/>
                <w:szCs w:val="20"/>
                <w:color w:val="auto"/>
              </w:rPr>
            </w:pPr>
            <w:r>
              <w:rPr>
                <w:rFonts w:ascii="Times New Roman" w:cs="Times New Roman" w:eastAsia="Times New Roman" w:hAnsi="Times New Roman"/>
                <w:sz w:val="13"/>
                <w:szCs w:val="13"/>
                <w:color w:val="auto"/>
              </w:rPr>
              <w:t>International</w:t>
            </w:r>
          </w:p>
        </w:tc>
        <w:tc>
          <w:tcPr>
            <w:tcW w:w="154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14,700</w:t>
            </w:r>
          </w:p>
        </w:tc>
        <w:tc>
          <w:tcPr>
            <w:tcW w:w="1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11,858</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6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Total</w:t>
            </w:r>
          </w:p>
        </w:tc>
        <w:tc>
          <w:tcPr>
            <w:tcW w:w="2780" w:type="dxa"/>
            <w:vAlign w:val="bottom"/>
            <w:gridSpan w:val="2"/>
          </w:tcPr>
          <w:p>
            <w:pPr>
              <w:jc w:val="right"/>
              <w:ind w:right="1119"/>
              <w:spacing w:after="0" w:line="140"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94,640</w:t>
            </w:r>
          </w:p>
        </w:tc>
        <w:tc>
          <w:tcPr>
            <w:tcW w:w="180" w:type="dxa"/>
            <w:vAlign w:val="bottom"/>
          </w:tcPr>
          <w:p>
            <w:pPr>
              <w:spacing w:after="0"/>
              <w:rPr>
                <w:sz w:val="12"/>
                <w:szCs w:val="12"/>
                <w:color w:val="auto"/>
              </w:rPr>
            </w:pPr>
          </w:p>
        </w:tc>
        <w:tc>
          <w:tcPr>
            <w:tcW w:w="980" w:type="dxa"/>
            <w:vAlign w:val="bottom"/>
            <w:gridSpan w:val="2"/>
          </w:tcPr>
          <w:p>
            <w:pPr>
              <w:jc w:val="right"/>
              <w:ind w:right="693"/>
              <w:spacing w:after="0" w:line="140"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74,788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Segment Adjusted Operating Expense</w:t>
            </w:r>
            <w:r>
              <w:rPr>
                <w:rFonts w:ascii="Times New Roman" w:cs="Times New Roman" w:eastAsia="Times New Roman" w:hAnsi="Times New Roman"/>
                <w:sz w:val="17"/>
                <w:szCs w:val="17"/>
                <w:color w:val="auto"/>
                <w:vertAlign w:val="superscript"/>
              </w:rPr>
              <w:t>(1)</w:t>
            </w:r>
          </w:p>
        </w:tc>
        <w:tc>
          <w:tcPr>
            <w:tcW w:w="15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060" w:type="dxa"/>
            <w:vAlign w:val="bottom"/>
            <w:vMerge w:val="continue"/>
          </w:tcPr>
          <w:p>
            <w:pPr>
              <w:spacing w:after="0"/>
              <w:rPr>
                <w:sz w:val="23"/>
                <w:szCs w:val="23"/>
                <w:color w:val="auto"/>
              </w:rPr>
            </w:pPr>
          </w:p>
        </w:tc>
        <w:tc>
          <w:tcPr>
            <w:tcW w:w="1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U.S.</w:t>
            </w:r>
          </w:p>
        </w:tc>
        <w:tc>
          <w:tcPr>
            <w:tcW w:w="2780" w:type="dxa"/>
            <w:vAlign w:val="bottom"/>
            <w:gridSpan w:val="2"/>
          </w:tcPr>
          <w:p>
            <w:pPr>
              <w:jc w:val="right"/>
              <w:ind w:right="1119"/>
              <w:spacing w:after="0" w:line="147"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45,052</w:t>
            </w:r>
          </w:p>
        </w:tc>
        <w:tc>
          <w:tcPr>
            <w:tcW w:w="180" w:type="dxa"/>
            <w:vAlign w:val="bottom"/>
          </w:tcPr>
          <w:p>
            <w:pPr>
              <w:spacing w:after="0"/>
              <w:rPr>
                <w:sz w:val="12"/>
                <w:szCs w:val="12"/>
                <w:color w:val="auto"/>
              </w:rPr>
            </w:pPr>
          </w:p>
        </w:tc>
        <w:tc>
          <w:tcPr>
            <w:tcW w:w="980" w:type="dxa"/>
            <w:vAlign w:val="bottom"/>
            <w:gridSpan w:val="2"/>
          </w:tcPr>
          <w:p>
            <w:pPr>
              <w:jc w:val="right"/>
              <w:ind w:right="693"/>
              <w:spacing w:after="0" w:line="147"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46,099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Borders>
              <w:bottom w:val="single" w:sz="8" w:color="CFF0FC"/>
            </w:tcBorders>
            <w:shd w:val="clear" w:color="auto" w:fill="CFF0FC"/>
          </w:tcPr>
          <w:p>
            <w:pPr>
              <w:spacing w:after="0" w:line="147" w:lineRule="exact"/>
              <w:rPr>
                <w:sz w:val="20"/>
                <w:szCs w:val="20"/>
                <w:color w:val="auto"/>
              </w:rPr>
            </w:pPr>
            <w:r>
              <w:rPr>
                <w:rFonts w:ascii="Times New Roman" w:cs="Times New Roman" w:eastAsia="Times New Roman" w:hAnsi="Times New Roman"/>
                <w:sz w:val="13"/>
                <w:szCs w:val="13"/>
                <w:color w:val="auto"/>
              </w:rPr>
              <w:t>International</w:t>
            </w:r>
          </w:p>
        </w:tc>
        <w:tc>
          <w:tcPr>
            <w:tcW w:w="154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11,383</w:t>
            </w:r>
          </w:p>
        </w:tc>
        <w:tc>
          <w:tcPr>
            <w:tcW w:w="1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9,447</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6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Total</w:t>
            </w:r>
          </w:p>
        </w:tc>
        <w:tc>
          <w:tcPr>
            <w:tcW w:w="2780" w:type="dxa"/>
            <w:vAlign w:val="bottom"/>
            <w:gridSpan w:val="2"/>
          </w:tcPr>
          <w:p>
            <w:pPr>
              <w:jc w:val="right"/>
              <w:ind w:right="1119"/>
              <w:spacing w:after="0" w:line="140"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56,435</w:t>
            </w:r>
          </w:p>
        </w:tc>
        <w:tc>
          <w:tcPr>
            <w:tcW w:w="180" w:type="dxa"/>
            <w:vAlign w:val="bottom"/>
          </w:tcPr>
          <w:p>
            <w:pPr>
              <w:spacing w:after="0"/>
              <w:rPr>
                <w:sz w:val="12"/>
                <w:szCs w:val="12"/>
                <w:color w:val="auto"/>
              </w:rPr>
            </w:pPr>
          </w:p>
        </w:tc>
        <w:tc>
          <w:tcPr>
            <w:tcW w:w="980" w:type="dxa"/>
            <w:vAlign w:val="bottom"/>
            <w:gridSpan w:val="2"/>
          </w:tcPr>
          <w:p>
            <w:pPr>
              <w:jc w:val="right"/>
              <w:ind w:right="693"/>
              <w:spacing w:after="0" w:line="140"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55,546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Other Segment Items</w:t>
            </w:r>
            <w:r>
              <w:rPr>
                <w:rFonts w:ascii="Times New Roman" w:cs="Times New Roman" w:eastAsia="Times New Roman" w:hAnsi="Times New Roman"/>
                <w:sz w:val="17"/>
                <w:szCs w:val="17"/>
                <w:color w:val="auto"/>
                <w:vertAlign w:val="superscript"/>
              </w:rPr>
              <w:t>(2)</w:t>
            </w:r>
          </w:p>
        </w:tc>
        <w:tc>
          <w:tcPr>
            <w:tcW w:w="15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060" w:type="dxa"/>
            <w:vAlign w:val="bottom"/>
            <w:vMerge w:val="continue"/>
          </w:tcPr>
          <w:p>
            <w:pPr>
              <w:spacing w:after="0"/>
              <w:rPr>
                <w:sz w:val="23"/>
                <w:szCs w:val="23"/>
                <w:color w:val="auto"/>
              </w:rPr>
            </w:pPr>
          </w:p>
        </w:tc>
        <w:tc>
          <w:tcPr>
            <w:tcW w:w="1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U.S.</w:t>
            </w:r>
          </w:p>
        </w:tc>
        <w:tc>
          <w:tcPr>
            <w:tcW w:w="2780" w:type="dxa"/>
            <w:vAlign w:val="bottom"/>
            <w:gridSpan w:val="2"/>
          </w:tcPr>
          <w:p>
            <w:pPr>
              <w:jc w:val="right"/>
              <w:ind w:right="1119"/>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(182)</w:t>
            </w:r>
          </w:p>
        </w:tc>
        <w:tc>
          <w:tcPr>
            <w:tcW w:w="980" w:type="dxa"/>
            <w:vAlign w:val="bottom"/>
            <w:gridSpan w:val="2"/>
          </w:tcPr>
          <w:p>
            <w:pPr>
              <w:jc w:val="right"/>
              <w:ind w:right="693"/>
              <w:spacing w:after="0" w:line="147"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(185)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Borders>
              <w:bottom w:val="single" w:sz="8" w:color="CFF0FC"/>
            </w:tcBorders>
            <w:shd w:val="clear" w:color="auto" w:fill="CFF0FC"/>
          </w:tcPr>
          <w:p>
            <w:pPr>
              <w:spacing w:after="0" w:line="147" w:lineRule="exact"/>
              <w:rPr>
                <w:sz w:val="20"/>
                <w:szCs w:val="20"/>
                <w:color w:val="auto"/>
              </w:rPr>
            </w:pPr>
            <w:r>
              <w:rPr>
                <w:rFonts w:ascii="Times New Roman" w:cs="Times New Roman" w:eastAsia="Times New Roman" w:hAnsi="Times New Roman"/>
                <w:sz w:val="13"/>
                <w:szCs w:val="13"/>
                <w:color w:val="auto"/>
              </w:rPr>
              <w:t>International</w:t>
            </w:r>
          </w:p>
        </w:tc>
        <w:tc>
          <w:tcPr>
            <w:tcW w:w="154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6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Total</w:t>
            </w:r>
          </w:p>
        </w:tc>
        <w:tc>
          <w:tcPr>
            <w:tcW w:w="2780" w:type="dxa"/>
            <w:vAlign w:val="bottom"/>
            <w:gridSpan w:val="2"/>
          </w:tcPr>
          <w:p>
            <w:pPr>
              <w:jc w:val="right"/>
              <w:ind w:right="1119"/>
              <w:spacing w:after="0" w:line="140"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(182)</w:t>
            </w:r>
          </w:p>
        </w:tc>
        <w:tc>
          <w:tcPr>
            <w:tcW w:w="980" w:type="dxa"/>
            <w:vAlign w:val="bottom"/>
            <w:gridSpan w:val="2"/>
          </w:tcPr>
          <w:p>
            <w:pPr>
              <w:jc w:val="right"/>
              <w:ind w:right="693"/>
              <w:spacing w:after="0" w:line="140"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tcPr>
          <w:p>
            <w:pPr>
              <w:jc w:val="right"/>
              <w:ind w:right="80"/>
              <w:spacing w:after="0" w:line="140" w:lineRule="exact"/>
              <w:rPr>
                <w:sz w:val="20"/>
                <w:szCs w:val="20"/>
                <w:color w:val="auto"/>
              </w:rPr>
            </w:pPr>
            <w:r>
              <w:rPr>
                <w:rFonts w:ascii="Times New Roman" w:cs="Times New Roman" w:eastAsia="Times New Roman" w:hAnsi="Times New Roman"/>
                <w:sz w:val="13"/>
                <w:szCs w:val="13"/>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vMerge w:val="restart"/>
          </w:tcPr>
          <w:p>
            <w:pPr>
              <w:spacing w:after="0"/>
              <w:rPr>
                <w:sz w:val="11"/>
                <w:szCs w:val="11"/>
                <w:color w:val="auto"/>
              </w:rPr>
            </w:pPr>
          </w:p>
        </w:tc>
        <w:tc>
          <w:tcPr>
            <w:tcW w:w="50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50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3"/>
                <w:szCs w:val="13"/>
                <w:color w:val="auto"/>
              </w:rPr>
              <w:t>Segment Adjusted EBITDA</w:t>
            </w:r>
          </w:p>
        </w:tc>
        <w:tc>
          <w:tcPr>
            <w:tcW w:w="15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U.S.</w:t>
            </w:r>
          </w:p>
        </w:tc>
        <w:tc>
          <w:tcPr>
            <w:tcW w:w="2780" w:type="dxa"/>
            <w:vAlign w:val="bottom"/>
            <w:gridSpan w:val="2"/>
          </w:tcPr>
          <w:p>
            <w:pPr>
              <w:jc w:val="right"/>
              <w:ind w:right="1119"/>
              <w:spacing w:after="0" w:line="147"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3,010</w:t>
            </w:r>
          </w:p>
        </w:tc>
        <w:tc>
          <w:tcPr>
            <w:tcW w:w="180" w:type="dxa"/>
            <w:vAlign w:val="bottom"/>
          </w:tcPr>
          <w:p>
            <w:pPr>
              <w:spacing w:after="0"/>
              <w:rPr>
                <w:sz w:val="12"/>
                <w:szCs w:val="12"/>
                <w:color w:val="auto"/>
              </w:rPr>
            </w:pPr>
          </w:p>
        </w:tc>
        <w:tc>
          <w:tcPr>
            <w:tcW w:w="980" w:type="dxa"/>
            <w:vAlign w:val="bottom"/>
            <w:gridSpan w:val="2"/>
          </w:tcPr>
          <w:p>
            <w:pPr>
              <w:jc w:val="right"/>
              <w:ind w:right="693"/>
              <w:spacing w:after="0" w:line="147"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(5,481)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3"/>
                <w:szCs w:val="13"/>
                <w:color w:val="auto"/>
              </w:rPr>
              <w:t>International</w:t>
            </w:r>
          </w:p>
        </w:tc>
        <w:tc>
          <w:tcPr>
            <w:tcW w:w="15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(2,932)</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(1,978)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506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Total Adjusted EBITDA</w:t>
            </w:r>
          </w:p>
        </w:tc>
        <w:tc>
          <w:tcPr>
            <w:tcW w:w="2780" w:type="dxa"/>
            <w:vAlign w:val="bottom"/>
            <w:gridSpan w:val="2"/>
          </w:tcPr>
          <w:p>
            <w:pPr>
              <w:jc w:val="right"/>
              <w:ind w:right="1119"/>
              <w:spacing w:after="0" w:line="140"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78</w:t>
            </w:r>
          </w:p>
        </w:tc>
        <w:tc>
          <w:tcPr>
            <w:tcW w:w="180" w:type="dxa"/>
            <w:vAlign w:val="bottom"/>
          </w:tcPr>
          <w:p>
            <w:pPr>
              <w:spacing w:after="0"/>
              <w:rPr>
                <w:sz w:val="12"/>
                <w:szCs w:val="12"/>
                <w:color w:val="auto"/>
              </w:rPr>
            </w:pPr>
          </w:p>
        </w:tc>
        <w:tc>
          <w:tcPr>
            <w:tcW w:w="980" w:type="dxa"/>
            <w:vAlign w:val="bottom"/>
            <w:gridSpan w:val="2"/>
          </w:tcPr>
          <w:p>
            <w:pPr>
              <w:jc w:val="right"/>
              <w:ind w:right="693"/>
              <w:spacing w:after="0" w:line="140"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tcPr>
          <w:p>
            <w:pPr>
              <w:jc w:val="right"/>
              <w:ind w:right="80"/>
              <w:spacing w:after="0" w:line="140" w:lineRule="exact"/>
              <w:rPr>
                <w:sz w:val="20"/>
                <w:szCs w:val="20"/>
                <w:color w:val="auto"/>
              </w:rPr>
            </w:pPr>
            <w:r>
              <w:rPr>
                <w:rFonts w:ascii="Times New Roman" w:cs="Times New Roman" w:eastAsia="Times New Roman" w:hAnsi="Times New Roman"/>
                <w:sz w:val="13"/>
                <w:szCs w:val="13"/>
                <w:color w:val="auto"/>
              </w:rPr>
              <w:t>(7,459)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3"/>
                <w:szCs w:val="13"/>
                <w:color w:val="auto"/>
              </w:rPr>
              <w:t>(Add) deduct:</w:t>
            </w:r>
          </w:p>
        </w:tc>
        <w:tc>
          <w:tcPr>
            <w:tcW w:w="15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Interest expense, interest and dividend income and other expenses</w:t>
            </w:r>
          </w:p>
        </w:tc>
        <w:tc>
          <w:tcPr>
            <w:tcW w:w="1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1,156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5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(4,246)</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(3,153)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Amortization of lease intangible</w:t>
            </w:r>
          </w:p>
        </w:tc>
        <w:tc>
          <w:tcPr>
            <w:tcW w:w="1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(180)</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(180)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3"/>
                <w:szCs w:val="13"/>
                <w:color w:val="auto"/>
              </w:rPr>
              <w:t>(Benefit) Provision for income taxes</w:t>
            </w:r>
          </w:p>
        </w:tc>
        <w:tc>
          <w:tcPr>
            <w:tcW w:w="15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Stock-based compensation</w:t>
            </w:r>
          </w:p>
        </w:tc>
        <w:tc>
          <w:tcPr>
            <w:tcW w:w="1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(7,342)</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(6,036)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3"/>
                <w:szCs w:val="13"/>
                <w:color w:val="auto"/>
              </w:rPr>
              <w:t>Payroll tax expense related to stock-based compensation</w:t>
            </w:r>
          </w:p>
        </w:tc>
        <w:tc>
          <w:tcPr>
            <w:tcW w:w="15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(1,473)</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Lease termination</w:t>
            </w:r>
          </w:p>
        </w:tc>
        <w:tc>
          <w:tcPr>
            <w:tcW w:w="1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8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3"/>
                <w:szCs w:val="13"/>
                <w:color w:val="auto"/>
              </w:rPr>
              <w:t>Acquisition and other</w:t>
            </w:r>
          </w:p>
        </w:tc>
        <w:tc>
          <w:tcPr>
            <w:tcW w:w="15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(251)</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(686)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Charitable contribution of common stock</w:t>
            </w:r>
          </w:p>
        </w:tc>
        <w:tc>
          <w:tcPr>
            <w:tcW w:w="1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(516)</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(343)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3"/>
                <w:szCs w:val="13"/>
                <w:color w:val="auto"/>
              </w:rPr>
              <w:t>Income from unconsolidated joint venture</w:t>
            </w:r>
          </w:p>
        </w:tc>
        <w:tc>
          <w:tcPr>
            <w:tcW w:w="15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106</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97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Restructuring charges</w:t>
            </w:r>
          </w:p>
        </w:tc>
        <w:tc>
          <w:tcPr>
            <w:tcW w:w="1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(1,461)</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8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60" w:type="dxa"/>
            <w:vAlign w:val="bottom"/>
            <w:tcBorders>
              <w:top w:val="single" w:sz="8" w:color="CFF0FC"/>
              <w:bottom w:val="single" w:sz="8" w:color="CFF0FC"/>
            </w:tcBorders>
            <w:shd w:val="clear" w:color="auto" w:fill="CFF0FC"/>
          </w:tcPr>
          <w:p>
            <w:pPr>
              <w:spacing w:after="0" w:line="140" w:lineRule="exact"/>
              <w:rPr>
                <w:sz w:val="20"/>
                <w:szCs w:val="20"/>
                <w:color w:val="auto"/>
              </w:rPr>
            </w:pPr>
            <w:r>
              <w:rPr>
                <w:rFonts w:ascii="Times New Roman" w:cs="Times New Roman" w:eastAsia="Times New Roman" w:hAnsi="Times New Roman"/>
                <w:sz w:val="13"/>
                <w:szCs w:val="13"/>
                <w:color w:val="auto"/>
              </w:rPr>
              <w:t>Net Loss</w:t>
            </w:r>
          </w:p>
        </w:tc>
        <w:tc>
          <w:tcPr>
            <w:tcW w:w="1540" w:type="dxa"/>
            <w:vAlign w:val="bottom"/>
            <w:tcBorders>
              <w:top w:val="single" w:sz="8" w:color="CFF0FC"/>
              <w:bottom w:val="single" w:sz="8" w:color="CFF0FC"/>
            </w:tcBorders>
            <w:shd w:val="clear" w:color="auto" w:fill="CFF0FC"/>
          </w:tcPr>
          <w:p>
            <w:pPr>
              <w:spacing w:after="0"/>
              <w:rPr>
                <w:sz w:val="15"/>
                <w:szCs w:val="15"/>
                <w:color w:val="auto"/>
              </w:rPr>
            </w:pPr>
          </w:p>
        </w:tc>
        <w:tc>
          <w:tcPr>
            <w:tcW w:w="1240" w:type="dxa"/>
            <w:vAlign w:val="bottom"/>
            <w:tcBorders>
              <w:top w:val="single" w:sz="8" w:color="auto"/>
              <w:bottom w:val="single" w:sz="8" w:color="auto"/>
            </w:tcBorders>
            <w:shd w:val="clear" w:color="auto" w:fill="CFF0FC"/>
          </w:tcPr>
          <w:p>
            <w:pPr>
              <w:jc w:val="right"/>
              <w:ind w:right="1119"/>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spacing w:after="0" w:line="140" w:lineRule="exact"/>
              <w:rPr>
                <w:sz w:val="20"/>
                <w:szCs w:val="20"/>
                <w:color w:val="auto"/>
              </w:rPr>
            </w:pPr>
            <w:r>
              <w:rPr>
                <w:rFonts w:ascii="Times New Roman" w:cs="Times New Roman" w:eastAsia="Times New Roman" w:hAnsi="Times New Roman"/>
                <w:sz w:val="13"/>
                <w:szCs w:val="13"/>
                <w:color w:val="auto"/>
              </w:rPr>
              <w:t>(15,076)</w:t>
            </w: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ind w:right="693"/>
              <w:spacing w:after="0" w:line="140"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FF0FC"/>
          </w:tcPr>
          <w:p>
            <w:pPr>
              <w:jc w:val="right"/>
              <w:spacing w:after="0" w:line="140" w:lineRule="exact"/>
              <w:rPr>
                <w:sz w:val="20"/>
                <w:szCs w:val="20"/>
                <w:color w:val="auto"/>
              </w:rPr>
            </w:pPr>
            <w:r>
              <w:rPr>
                <w:rFonts w:ascii="Times New Roman" w:cs="Times New Roman" w:eastAsia="Times New Roman" w:hAnsi="Times New Roman"/>
                <w:sz w:val="13"/>
                <w:szCs w:val="13"/>
                <w:color w:val="auto"/>
              </w:rPr>
              <w:t>(16,604)</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-2622550</wp:posOffset>
            </wp:positionV>
            <wp:extent cx="7134225" cy="933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225" cy="93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-2123440</wp:posOffset>
            </wp:positionV>
            <wp:extent cx="7134225" cy="933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225" cy="9334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-3342005</wp:posOffset>
            </wp:positionV>
            <wp:extent cx="679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-3342005</wp:posOffset>
            </wp:positionV>
            <wp:extent cx="762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-2842895</wp:posOffset>
            </wp:positionV>
            <wp:extent cx="679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-2842895</wp:posOffset>
            </wp:positionV>
            <wp:extent cx="762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-2343785</wp:posOffset>
            </wp:positionV>
            <wp:extent cx="679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-2343785</wp:posOffset>
            </wp:positionV>
            <wp:extent cx="762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-1844040</wp:posOffset>
            </wp:positionV>
            <wp:extent cx="679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-1844040</wp:posOffset>
            </wp:positionV>
            <wp:extent cx="762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-1344930</wp:posOffset>
            </wp:positionV>
            <wp:extent cx="679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-1344930</wp:posOffset>
            </wp:positionV>
            <wp:extent cx="762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-24765</wp:posOffset>
            </wp:positionV>
            <wp:extent cx="679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-7620</wp:posOffset>
            </wp:positionV>
            <wp:extent cx="679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-126365</wp:posOffset>
            </wp:positionV>
            <wp:extent cx="679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-24765</wp:posOffset>
            </wp:positionV>
            <wp:extent cx="762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-7620</wp:posOffset>
            </wp:positionV>
            <wp:extent cx="762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-126365</wp:posOffset>
            </wp:positionV>
            <wp:extent cx="762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104" w:lineRule="exact"/>
        <w:rPr>
          <w:sz w:val="20"/>
          <w:szCs w:val="20"/>
          <w:color w:val="auto"/>
        </w:rPr>
      </w:pPr>
    </w:p>
    <w:p>
      <w:pPr>
        <w:ind w:right="40" w:firstLine="7"/>
        <w:spacing w:after="0" w:line="230" w:lineRule="auto"/>
        <w:tabs>
          <w:tab w:leader="none" w:pos="20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excludes stock-based compensation and the related payroll taxes, depreciation and amortization, restructuring charges, acquisition and other costs, amortization of lease intangible, lease termination and charitable contributions of common stock.</w:t>
      </w:r>
    </w:p>
    <w:p>
      <w:pPr>
        <w:ind w:left="200" w:hanging="193"/>
        <w:spacing w:after="0"/>
        <w:tabs>
          <w:tab w:leader="none" w:pos="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Addback to segment Cost of Revenue to calculate Segment Adjusted EBITDA</w:t>
      </w:r>
    </w:p>
    <w:p>
      <w:pPr>
        <w:spacing w:after="0" w:line="3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reflect long-lived asset information as of March 31, 2025 and December 31, 2024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Property and equipment, net</w:t>
            </w:r>
          </w:p>
        </w:tc>
        <w:tc>
          <w:tcPr>
            <w:tcW w:w="3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4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38,969</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47,244</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4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900" w:type="dxa"/>
            <w:vAlign w:val="bottom"/>
            <w:vMerge w:val="restart"/>
          </w:tcPr>
          <w:p>
            <w:pPr>
              <w:jc w:val="right"/>
              <w:ind w:right="2211"/>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20" w:type="dxa"/>
            <w:vAlign w:val="bottom"/>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-1861185</wp:posOffset>
            </wp:positionV>
            <wp:extent cx="679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-1861185</wp:posOffset>
            </wp:positionV>
            <wp:extent cx="762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-1149985</wp:posOffset>
            </wp:positionV>
            <wp:extent cx="679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-1149985</wp:posOffset>
            </wp:positionV>
            <wp:extent cx="762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9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Stock Based Compensation</w:t>
      </w:r>
    </w:p>
    <w:p>
      <w:pPr>
        <w:spacing w:after="0" w:line="115" w:lineRule="exact"/>
        <w:rPr>
          <w:sz w:val="20"/>
          <w:szCs w:val="20"/>
          <w:color w:val="auto"/>
        </w:rPr>
      </w:pPr>
    </w:p>
    <w:p>
      <w:pPr>
        <w:ind w:right="160" w:firstLine="644"/>
        <w:spacing w:after="0" w:line="257" w:lineRule="auto"/>
        <w:rPr>
          <w:sz w:val="20"/>
          <w:szCs w:val="20"/>
          <w:color w:val="auto"/>
        </w:rPr>
      </w:pPr>
      <w:r>
        <w:rPr>
          <w:rFonts w:ascii="Times New Roman" w:cs="Times New Roman" w:eastAsia="Times New Roman" w:hAnsi="Times New Roman"/>
          <w:sz w:val="18"/>
          <w:szCs w:val="18"/>
          <w:color w:val="auto"/>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p>
    <w:p>
      <w:pPr>
        <w:spacing w:after="0" w:line="73" w:lineRule="exact"/>
        <w:rPr>
          <w:sz w:val="20"/>
          <w:szCs w:val="20"/>
          <w:color w:val="auto"/>
        </w:rPr>
      </w:pPr>
    </w:p>
    <w:p>
      <w:pPr>
        <w:ind w:right="160" w:firstLine="644"/>
        <w:spacing w:after="0" w:line="257" w:lineRule="auto"/>
        <w:rPr>
          <w:sz w:val="20"/>
          <w:szCs w:val="20"/>
          <w:color w:val="auto"/>
        </w:rPr>
      </w:pPr>
      <w:r>
        <w:rPr>
          <w:rFonts w:ascii="Times New Roman" w:cs="Times New Roman" w:eastAsia="Times New Roman" w:hAnsi="Times New Roman"/>
          <w:sz w:val="18"/>
          <w:szCs w:val="18"/>
          <w:color w:val="auto"/>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w:t>
      </w:r>
    </w:p>
    <w:p>
      <w:pPr>
        <w:spacing w:after="0" w:line="73"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color w:val="auto"/>
        </w:rPr>
        <w:t>In connection with the Company’s initial public offering on July 2, 2021, the Company's board of directors adopted the 2021 Equity Incentive Plan (the “2021 Equity Incentive Plan”). The 2021 Equity Incentive Plan provides for the grant of incentive stock options (“ISOs”), non-statutory stock options, stock appreciation rights, restricted stock awards, restricted stock unit awards, performance-based awards and other awards, or collectively, awards. Awards may be granted to Xometry employees, Xometry’s non-employee directors and consultants/contractors and the employees and consultants/contractors of Xometry affiliates. ISOs may be granted only to Xometry employees and the employees of Xometry affiliates.</w:t>
      </w:r>
    </w:p>
    <w:p>
      <w:pPr>
        <w:spacing w:after="0" w:line="77" w:lineRule="exact"/>
        <w:rPr>
          <w:sz w:val="20"/>
          <w:szCs w:val="20"/>
          <w:color w:val="auto"/>
        </w:rPr>
      </w:pPr>
    </w:p>
    <w:p>
      <w:pPr>
        <w:ind w:right="1680" w:firstLine="644"/>
        <w:spacing w:after="0" w:line="386" w:lineRule="auto"/>
        <w:rPr>
          <w:sz w:val="20"/>
          <w:szCs w:val="20"/>
          <w:color w:val="auto"/>
        </w:rPr>
      </w:pPr>
      <w:r>
        <w:rPr>
          <w:rFonts w:ascii="Times New Roman" w:cs="Times New Roman" w:eastAsia="Times New Roman" w:hAnsi="Times New Roman"/>
          <w:sz w:val="18"/>
          <w:szCs w:val="18"/>
          <w:color w:val="auto"/>
        </w:rPr>
        <w:t xml:space="preserve">As of March 31, 2025, there were 7,771,209 shares available for the Company to grant under the 2021 Equity Incentive Plan. </w:t>
      </w:r>
      <w:r>
        <w:rPr>
          <w:rFonts w:ascii="Times New Roman" w:cs="Times New Roman" w:eastAsia="Times New Roman" w:hAnsi="Times New Roman"/>
          <w:sz w:val="18"/>
          <w:szCs w:val="18"/>
          <w:b w:val="1"/>
          <w:bCs w:val="1"/>
          <w:color w:val="auto"/>
        </w:rPr>
        <w:t>Stock Options</w:t>
      </w:r>
    </w:p>
    <w:p>
      <w:pPr>
        <w:spacing w:after="0" w:line="1" w:lineRule="exact"/>
        <w:rPr>
          <w:sz w:val="20"/>
          <w:szCs w:val="20"/>
          <w:color w:val="auto"/>
        </w:rPr>
      </w:pPr>
    </w:p>
    <w:p>
      <w:pPr>
        <w:ind w:right="160" w:firstLine="644"/>
        <w:spacing w:after="0" w:line="276" w:lineRule="auto"/>
        <w:rPr>
          <w:sz w:val="20"/>
          <w:szCs w:val="20"/>
          <w:color w:val="auto"/>
        </w:rPr>
      </w:pPr>
      <w:r>
        <w:rPr>
          <w:rFonts w:ascii="Times New Roman" w:cs="Times New Roman" w:eastAsia="Times New Roman" w:hAnsi="Times New Roman"/>
          <w:sz w:val="18"/>
          <w:szCs w:val="18"/>
          <w:color w:val="auto"/>
        </w:rPr>
        <w:t>A summary of the status of the Company’s stock option activity and the changes during the three months ended March 31, 2025, are as follows (in millions, except share and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5840" w:type="dxa"/>
            <w:vAlign w:val="bottom"/>
          </w:tcPr>
          <w:p>
            <w:pPr>
              <w:spacing w:after="0"/>
              <w:rPr>
                <w:sz w:val="12"/>
                <w:szCs w:val="12"/>
                <w:color w:val="auto"/>
              </w:rPr>
            </w:pPr>
          </w:p>
        </w:tc>
        <w:tc>
          <w:tcPr>
            <w:tcW w:w="13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1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1,640,638</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1,906,483</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(53,517)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(35,679)</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(5,671)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1,811,616</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Exercisable at March 31,2025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1,640,016</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-172085</wp:posOffset>
            </wp:positionV>
            <wp:extent cx="679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-155575</wp:posOffset>
            </wp:positionV>
            <wp:extent cx="679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369" w:lineRule="exact"/>
        <w:rPr>
          <w:sz w:val="20"/>
          <w:szCs w:val="20"/>
          <w:color w:val="auto"/>
        </w:rPr>
      </w:pPr>
    </w:p>
    <w:p>
      <w:pPr>
        <w:jc w:val="both"/>
        <w:ind w:firstLine="644"/>
        <w:spacing w:after="0" w:line="276" w:lineRule="auto"/>
        <w:rPr>
          <w:sz w:val="20"/>
          <w:szCs w:val="20"/>
          <w:color w:val="auto"/>
        </w:rPr>
      </w:pPr>
      <w:r>
        <w:rPr>
          <w:rFonts w:ascii="Times New Roman" w:cs="Times New Roman" w:eastAsia="Times New Roman" w:hAnsi="Times New Roman"/>
          <w:sz w:val="18"/>
          <w:szCs w:val="18"/>
          <w:color w:val="auto"/>
        </w:rPr>
        <w:t>No options were granted during the three months ended March 31, 2025. The total intrinsic value of options exercised during the three months ended March 31, 2025 and 2024, was $1.3 million and $2.0 million, respectively.</w:t>
      </w:r>
    </w:p>
    <w:p>
      <w:pPr>
        <w:spacing w:after="0" w:line="57" w:lineRule="exact"/>
        <w:rPr>
          <w:sz w:val="20"/>
          <w:szCs w:val="20"/>
          <w:color w:val="auto"/>
        </w:rPr>
      </w:pPr>
    </w:p>
    <w:p>
      <w:pPr>
        <w:ind w:right="300" w:firstLine="644"/>
        <w:spacing w:after="0" w:line="276" w:lineRule="auto"/>
        <w:rPr>
          <w:sz w:val="20"/>
          <w:szCs w:val="20"/>
          <w:color w:val="auto"/>
        </w:rPr>
      </w:pPr>
      <w:r>
        <w:rPr>
          <w:rFonts w:ascii="Times New Roman" w:cs="Times New Roman" w:eastAsia="Times New Roman" w:hAnsi="Times New Roman"/>
          <w:sz w:val="18"/>
          <w:szCs w:val="18"/>
          <w:color w:val="auto"/>
        </w:rPr>
        <w:t>At March 31, 2025, there was approximately $2.0 million of total unrecognized compensation cost related to unvested stock options. That cost is expected to be recognized over a weighted average period of approximately one year as of March 31, 2025.</w:t>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currently uses authorized and unissued shares to satisfy share award exercises.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5" w:lineRule="exact"/>
        <w:rPr>
          <w:sz w:val="20"/>
          <w:szCs w:val="20"/>
          <w:color w:val="auto"/>
        </w:rPr>
      </w:pPr>
    </w:p>
    <w:p>
      <w:pPr>
        <w:ind w:right="400" w:firstLine="749"/>
        <w:spacing w:after="0" w:line="276" w:lineRule="auto"/>
        <w:rPr>
          <w:sz w:val="20"/>
          <w:szCs w:val="20"/>
          <w:color w:val="auto"/>
        </w:rPr>
      </w:pPr>
      <w:r>
        <w:rPr>
          <w:rFonts w:ascii="Times New Roman" w:cs="Times New Roman" w:eastAsia="Times New Roman" w:hAnsi="Times New Roman"/>
          <w:sz w:val="18"/>
          <w:szCs w:val="18"/>
          <w:color w:val="auto"/>
        </w:rPr>
        <w:t>A summary of the status of the Company’s restricted stock unit activity and the changes during the three months ended March 31, 2025 are as follows (in millions, except share and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6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4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as of December 31, 2024</w:t>
            </w:r>
          </w:p>
        </w:tc>
        <w:tc>
          <w:tcPr>
            <w:tcW w:w="3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2,530,358</w:t>
            </w:r>
          </w:p>
        </w:tc>
        <w:tc>
          <w:tcPr>
            <w:tcW w:w="3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1,201,897</w:t>
            </w: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36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(517,731)</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cancelled</w:t>
            </w:r>
          </w:p>
        </w:tc>
        <w:tc>
          <w:tcPr>
            <w:tcW w:w="1560" w:type="dxa"/>
            <w:vAlign w:val="bottom"/>
          </w:tcPr>
          <w:p>
            <w:pPr>
              <w:spacing w:after="0"/>
              <w:rPr>
                <w:sz w:val="18"/>
                <w:szCs w:val="18"/>
                <w:color w:val="auto"/>
              </w:rPr>
            </w:pP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(118,602)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as of March 31, 2025</w:t>
            </w:r>
          </w:p>
        </w:tc>
        <w:tc>
          <w:tcPr>
            <w:tcW w:w="156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3,095,922</w:t>
            </w:r>
          </w:p>
        </w:tc>
        <w:tc>
          <w:tcPr>
            <w:tcW w:w="36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6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14"/>
        </w:trPr>
        <w:tc>
          <w:tcPr>
            <w:tcW w:w="4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4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-854075</wp:posOffset>
            </wp:positionV>
            <wp:extent cx="762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-836930</wp:posOffset>
            </wp:positionV>
            <wp:extent cx="762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At March 31, 2025, there was approximately $61.1 million of total unrecognized compensation cost related to unvested restricted stock units granted under the 2021 Equity Incentive Plan. That cost is expected to be recognized over a weighted average period of approximately three years as of March 31, 2025.</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Restricted Stock Units</w:t>
      </w:r>
    </w:p>
    <w:p>
      <w:pPr>
        <w:spacing w:after="0" w:line="1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status of the Company's performance restricted stock unit activity and the changes during the three months ended March 31,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are as follows (in millions, except share and per share amounts):</w:t>
      </w:r>
    </w:p>
    <w:tbl>
      <w:tblPr>
        <w:tblLayout w:type="fixed"/>
        <w:tblInd w:w="0" w:type="dxa"/>
        <w:tblCellMar>
          <w:top w:w="0" w:type="dxa"/>
          <w:left w:w="0" w:type="dxa"/>
          <w:bottom w:w="0" w:type="dxa"/>
          <w:right w:w="0" w:type="dxa"/>
        </w:tblCellMar>
      </w:tblPr>
      <w:tr>
        <w:trPr>
          <w:trHeight w:val="129"/>
        </w:trPr>
        <w:tc>
          <w:tcPr>
            <w:tcW w:w="57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5720" w:type="dxa"/>
            <w:vAlign w:val="bottom"/>
          </w:tcPr>
          <w:p>
            <w:pPr>
              <w:spacing w:after="0"/>
              <w:rPr>
                <w:sz w:val="12"/>
                <w:szCs w:val="12"/>
                <w:color w:val="auto"/>
              </w:rPr>
            </w:pPr>
          </w:p>
        </w:tc>
        <w:tc>
          <w:tcPr>
            <w:tcW w:w="1240" w:type="dxa"/>
            <w:vAlign w:val="bottom"/>
            <w:vMerge w:val="restart"/>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7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240" w:type="dxa"/>
            <w:vAlign w:val="bottom"/>
            <w:tcBorders>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PRSUs as of December 31, 2024</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272,515</w:t>
            </w:r>
          </w:p>
        </w:tc>
        <w:tc>
          <w:tcPr>
            <w:tcW w:w="3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327,344</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(79,312)</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cancelled</w:t>
            </w:r>
          </w:p>
        </w:tc>
        <w:tc>
          <w:tcPr>
            <w:tcW w:w="12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(22,992)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PRSUs as of March 31, 2025</w:t>
            </w:r>
          </w:p>
        </w:tc>
        <w:tc>
          <w:tcPr>
            <w:tcW w:w="124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497,555</w:t>
            </w:r>
          </w:p>
        </w:tc>
        <w:tc>
          <w:tcPr>
            <w:tcW w:w="3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4802505</wp:posOffset>
            </wp:positionH>
            <wp:positionV relativeFrom="paragraph">
              <wp:posOffset>-24765</wp:posOffset>
            </wp:positionV>
            <wp:extent cx="762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-7620</wp:posOffset>
            </wp:positionV>
            <wp:extent cx="762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68"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At March 31, 2025, there was approximately $10.0 million of total unrecognized compensation cost related to unvested performance restricted stock units granted under the 2021 Equity Incentive Plan. That cost is expected to be recognized over a weighted average period of approximately three years as of March 31, 2025.</w:t>
      </w:r>
    </w:p>
    <w:p>
      <w:pPr>
        <w:spacing w:after="0" w:line="3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cost for the three months ended March 31, 2025 and 2024 were as follows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94"/>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980" w:type="dxa"/>
            <w:vAlign w:val="bottom"/>
            <w:gridSpan w:val="2"/>
            <w:shd w:val="clear" w:color="auto" w:fill="CFF0FC"/>
          </w:tcPr>
          <w:p>
            <w:pPr>
              <w:jc w:val="right"/>
              <w:ind w:right="98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8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support</w:t>
            </w:r>
          </w:p>
        </w:tc>
        <w:tc>
          <w:tcPr>
            <w:tcW w:w="2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8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3980" w:type="dxa"/>
            <w:vAlign w:val="bottom"/>
            <w:gridSpan w:val="2"/>
            <w:shd w:val="clear" w:color="auto" w:fill="CFF0FC"/>
          </w:tcPr>
          <w:p>
            <w:pPr>
              <w:jc w:val="right"/>
              <w:ind w:right="98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108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14"/>
        </w:trPr>
        <w:tc>
          <w:tcPr>
            <w:tcW w:w="20" w:type="dxa"/>
            <w:vAlign w:val="bottom"/>
          </w:tcPr>
          <w:p>
            <w:pPr>
              <w:spacing w:after="0"/>
              <w:rPr>
                <w:sz w:val="24"/>
                <w:szCs w:val="24"/>
                <w:color w:val="auto"/>
              </w:rPr>
            </w:pPr>
          </w:p>
        </w:tc>
        <w:tc>
          <w:tcPr>
            <w:tcW w:w="3980" w:type="dxa"/>
            <w:vAlign w:val="bottom"/>
            <w:tcBorders>
              <w:top w:val="single" w:sz="8" w:color="CFF0FC"/>
            </w:tcBorders>
          </w:tcPr>
          <w:p>
            <w:pPr>
              <w:spacing w:after="0"/>
              <w:rPr>
                <w:sz w:val="24"/>
                <w:szCs w:val="24"/>
                <w:color w:val="auto"/>
              </w:rPr>
            </w:pPr>
          </w:p>
        </w:tc>
        <w:tc>
          <w:tcPr>
            <w:tcW w:w="2840" w:type="dxa"/>
            <w:vAlign w:val="bottom"/>
            <w:tcBorders>
              <w:top w:val="single" w:sz="8" w:color="CFF0FC"/>
            </w:tcBorders>
          </w:tcPr>
          <w:p>
            <w:pPr>
              <w:jc w:val="right"/>
              <w:ind w:right="1031"/>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20" w:type="dxa"/>
            <w:vAlign w:val="bottom"/>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-854075</wp:posOffset>
            </wp:positionV>
            <wp:extent cx="679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-836930</wp:posOffset>
            </wp:positionV>
            <wp:extent cx="679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-854075</wp:posOffset>
            </wp:positionV>
            <wp:extent cx="762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-836930</wp:posOffset>
            </wp:positionV>
            <wp:extent cx="762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30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328" w:lineRule="exact"/>
        <w:rPr>
          <w:sz w:val="20"/>
          <w:szCs w:val="20"/>
          <w:color w:val="auto"/>
        </w:rPr>
      </w:pPr>
    </w:p>
    <w:p>
      <w:pPr>
        <w:ind w:right="220" w:firstLine="644"/>
        <w:spacing w:after="0" w:line="276" w:lineRule="auto"/>
        <w:rPr>
          <w:sz w:val="20"/>
          <w:szCs w:val="20"/>
          <w:color w:val="auto"/>
        </w:rPr>
      </w:pPr>
      <w:r>
        <w:rPr>
          <w:rFonts w:ascii="Times New Roman" w:cs="Times New Roman" w:eastAsia="Times New Roman" w:hAnsi="Times New Roman"/>
          <w:sz w:val="18"/>
          <w:szCs w:val="18"/>
          <w:color w:val="auto"/>
        </w:rPr>
        <w:t>A full valuation allowance has been established against our net U.S. federal and state deferred tax assets and foreign deferred tax assets, including net operating loss carryforwards.</w:t>
      </w:r>
    </w:p>
    <w:p>
      <w:pPr>
        <w:spacing w:after="0" w:line="57" w:lineRule="exact"/>
        <w:rPr>
          <w:sz w:val="20"/>
          <w:szCs w:val="20"/>
          <w:color w:val="auto"/>
        </w:rPr>
      </w:pPr>
    </w:p>
    <w:p>
      <w:pPr>
        <w:jc w:val="both"/>
        <w:ind w:right="80" w:firstLine="644"/>
        <w:spacing w:after="0" w:line="261" w:lineRule="auto"/>
        <w:rPr>
          <w:sz w:val="20"/>
          <w:szCs w:val="20"/>
          <w:color w:val="auto"/>
        </w:rPr>
      </w:pPr>
      <w:r>
        <w:rPr>
          <w:rFonts w:ascii="Times New Roman" w:cs="Times New Roman" w:eastAsia="Times New Roman" w:hAnsi="Times New Roman"/>
          <w:sz w:val="18"/>
          <w:szCs w:val="18"/>
          <w:color w:val="auto"/>
        </w:rPr>
        <w:t>The Company had less than $0.1 million of benefit (provision) for income taxes for each of the three months ended March 31, 2025 and 2024. This estimated annual effective tax rate of 0.1% differs from the U.S. federal statutory rate primarily due to the effects of certain permanent items, foreign tax rate differences, and increases in the valuation allowance against deferred tax assets.</w:t>
      </w:r>
    </w:p>
    <w:p>
      <w:pPr>
        <w:spacing w:after="0" w:line="6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Net Loss Per Share Attributable to Common Stockholders</w:t>
      </w:r>
    </w:p>
    <w:p>
      <w:pPr>
        <w:spacing w:after="0" w:line="115" w:lineRule="exact"/>
        <w:rPr>
          <w:sz w:val="20"/>
          <w:szCs w:val="20"/>
          <w:color w:val="auto"/>
        </w:rPr>
      </w:pPr>
    </w:p>
    <w:p>
      <w:pPr>
        <w:ind w:right="80" w:firstLine="644"/>
        <w:spacing w:after="0" w:line="257" w:lineRule="auto"/>
        <w:rPr>
          <w:sz w:val="20"/>
          <w:szCs w:val="20"/>
          <w:color w:val="auto"/>
        </w:rPr>
      </w:pPr>
      <w:r>
        <w:rPr>
          <w:rFonts w:ascii="Times New Roman" w:cs="Times New Roman" w:eastAsia="Times New Roman" w:hAnsi="Times New Roman"/>
          <w:sz w:val="18"/>
          <w:szCs w:val="18"/>
          <w:color w:val="auto"/>
        </w:rPr>
        <w:t>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6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0"/>
        </w:trPr>
        <w:tc>
          <w:tcPr>
            <w:tcW w:w="7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6"/>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4"/>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(15,076)</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(16,604)</w:t>
            </w:r>
          </w:p>
        </w:tc>
        <w:tc>
          <w:tcPr>
            <w:tcW w:w="0" w:type="dxa"/>
            <w:vAlign w:val="bottom"/>
          </w:tcPr>
          <w:p>
            <w:pPr>
              <w:spacing w:after="0"/>
              <w:rPr>
                <w:sz w:val="1"/>
                <w:szCs w:val="1"/>
                <w:color w:val="auto"/>
              </w:rPr>
            </w:pPr>
          </w:p>
        </w:tc>
      </w:tr>
      <w:tr>
        <w:trPr>
          <w:trHeight w:val="21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(15,078)</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(16,616)</w:t>
            </w:r>
          </w:p>
        </w:tc>
        <w:tc>
          <w:tcPr>
            <w:tcW w:w="0" w:type="dxa"/>
            <w:vAlign w:val="bottom"/>
          </w:tcPr>
          <w:p>
            <w:pPr>
              <w:spacing w:after="0"/>
              <w:rPr>
                <w:sz w:val="1"/>
                <w:szCs w:val="1"/>
                <w:color w:val="auto"/>
              </w:rPr>
            </w:pPr>
          </w:p>
        </w:tc>
      </w:tr>
      <w:tr>
        <w:trPr>
          <w:trHeight w:val="388"/>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w w:val="99"/>
              </w:rPr>
              <w:t>Weighted-average number of shares outstanding used to compute net loss per share attributable to common</w:t>
            </w: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50,335,053</w:t>
            </w: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48,577,980</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7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stockholders, basic and diluted, of Class A and Class B common stock</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74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 of Class A and Class B common</w:t>
            </w:r>
          </w:p>
        </w:tc>
        <w:tc>
          <w:tcPr>
            <w:tcW w:w="4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(0.30)</w:t>
            </w:r>
          </w:p>
        </w:tc>
        <w:tc>
          <w:tcPr>
            <w:tcW w:w="4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12"/>
        </w:trPr>
        <w:tc>
          <w:tcPr>
            <w:tcW w:w="774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stock</w:t>
            </w:r>
          </w:p>
        </w:tc>
        <w:tc>
          <w:tcPr>
            <w:tcW w:w="440" w:type="dxa"/>
            <w:vAlign w:val="bottom"/>
            <w:gridSpan w:val="2"/>
            <w:vMerge w:val="continue"/>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460" w:type="dxa"/>
            <w:vAlign w:val="bottom"/>
            <w:gridSpan w:val="2"/>
            <w:vMerge w:val="continue"/>
            <w:shd w:val="clear" w:color="auto" w:fill="CFF0FC"/>
          </w:tcPr>
          <w:p>
            <w:pPr>
              <w:spacing w:after="0"/>
              <w:rPr>
                <w:sz w:val="18"/>
                <w:szCs w:val="18"/>
                <w:color w:val="auto"/>
              </w:rPr>
            </w:pPr>
          </w:p>
        </w:tc>
        <w:tc>
          <w:tcPr>
            <w:tcW w:w="13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-701675</wp:posOffset>
            </wp:positionV>
            <wp:extent cx="762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-684530</wp:posOffset>
            </wp:positionV>
            <wp:extent cx="762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-701675</wp:posOffset>
            </wp:positionV>
            <wp:extent cx="679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-684530</wp:posOffset>
            </wp:positionV>
            <wp:extent cx="679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62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62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9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9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88" w:lineRule="exact"/>
        <w:rPr>
          <w:sz w:val="20"/>
          <w:szCs w:val="20"/>
          <w:color w:val="auto"/>
        </w:rPr>
      </w:pPr>
    </w:p>
    <w:p>
      <w:pPr>
        <w:ind w:right="640" w:firstLine="644"/>
        <w:spacing w:after="0" w:line="276"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2600" w:type="dxa"/>
            <w:vAlign w:val="bottom"/>
            <w:tcBorders>
              <w:bottom w:val="single" w:sz="8" w:color="auto"/>
            </w:tcBorders>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7180" w:type="dxa"/>
            <w:vAlign w:val="bottom"/>
          </w:tcPr>
          <w:p>
            <w:pPr>
              <w:spacing w:after="0"/>
              <w:rPr>
                <w:sz w:val="12"/>
                <w:szCs w:val="12"/>
                <w:color w:val="auto"/>
              </w:rPr>
            </w:pPr>
          </w:p>
        </w:tc>
        <w:tc>
          <w:tcPr>
            <w:tcW w:w="1880" w:type="dxa"/>
            <w:vAlign w:val="bottom"/>
            <w:tcBorders>
              <w:bottom w:val="single" w:sz="8" w:color="auto"/>
            </w:tcBorders>
          </w:tcPr>
          <w:p>
            <w:pPr>
              <w:jc w:val="right"/>
              <w:ind w:right="715"/>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93"/>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7"/>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2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1,811,616</w:t>
            </w:r>
          </w:p>
        </w:tc>
        <w:tc>
          <w:tcPr>
            <w:tcW w:w="4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2,714,370</w:t>
            </w:r>
          </w:p>
        </w:tc>
      </w:tr>
      <w:tr>
        <w:trPr>
          <w:trHeight w:val="21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2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3,095,922</w:t>
            </w:r>
          </w:p>
        </w:tc>
        <w:tc>
          <w:tcPr>
            <w:tcW w:w="4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2,854,013</w:t>
            </w:r>
          </w:p>
        </w:tc>
      </w:tr>
      <w:tr>
        <w:trPr>
          <w:trHeight w:val="213"/>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performance restricted stock units</w:t>
            </w:r>
          </w:p>
        </w:tc>
        <w:tc>
          <w:tcPr>
            <w:tcW w:w="2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497,555</w:t>
            </w:r>
          </w:p>
        </w:tc>
        <w:tc>
          <w:tcPr>
            <w:tcW w:w="4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299,754</w:t>
            </w:r>
          </w:p>
        </w:tc>
      </w:tr>
      <w:tr>
        <w:trPr>
          <w:trHeight w:val="21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26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87,784</w:t>
            </w:r>
          </w:p>
        </w:tc>
      </w:tr>
      <w:tr>
        <w:trPr>
          <w:trHeight w:val="213"/>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charitable contribution</w:t>
            </w:r>
          </w:p>
        </w:tc>
        <w:tc>
          <w:tcPr>
            <w:tcW w:w="2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140,929</w:t>
            </w:r>
          </w:p>
        </w:tc>
        <w:tc>
          <w:tcPr>
            <w:tcW w:w="4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221,461</w:t>
            </w:r>
          </w:p>
        </w:tc>
      </w:tr>
      <w:tr>
        <w:trPr>
          <w:trHeight w:val="21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5,123,624</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5,123,624</w:t>
            </w:r>
          </w:p>
        </w:tc>
        <w:tc>
          <w:tcPr>
            <w:tcW w:w="100" w:type="dxa"/>
            <w:vAlign w:val="bottom"/>
          </w:tcPr>
          <w:p>
            <w:pPr>
              <w:spacing w:after="0"/>
              <w:rPr>
                <w:sz w:val="18"/>
                <w:szCs w:val="18"/>
                <w:color w:val="auto"/>
              </w:rPr>
            </w:pPr>
          </w:p>
        </w:tc>
      </w:tr>
      <w:tr>
        <w:trPr>
          <w:trHeight w:val="247"/>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10,669,646</w:t>
            </w:r>
          </w:p>
        </w:tc>
        <w:tc>
          <w:tcPr>
            <w:tcW w:w="2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11,301,006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-24765</wp:posOffset>
            </wp:positionV>
            <wp:extent cx="679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-7620</wp:posOffset>
            </wp:positionV>
            <wp:extent cx="679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9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9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7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Debt Commitments and Contingencies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27" w:lineRule="exact"/>
        <w:rPr>
          <w:sz w:val="20"/>
          <w:szCs w:val="20"/>
          <w:color w:val="auto"/>
        </w:rPr>
      </w:pPr>
    </w:p>
    <w:p>
      <w:pPr>
        <w:ind w:right="80" w:firstLine="644"/>
        <w:spacing w:after="0" w:line="249" w:lineRule="auto"/>
        <w:rPr>
          <w:sz w:val="20"/>
          <w:szCs w:val="20"/>
          <w:color w:val="auto"/>
        </w:rPr>
      </w:pPr>
      <w:r>
        <w:rPr>
          <w:rFonts w:ascii="Times New Roman" w:cs="Times New Roman" w:eastAsia="Times New Roman" w:hAnsi="Times New Roman"/>
          <w:sz w:val="18"/>
          <w:szCs w:val="18"/>
          <w:color w:val="auto"/>
        </w:rPr>
        <w:t>In February 2022, we issued $287.5 million aggregate principal amount of convertible senior notes due in 2027 (the “2027 Notes”) pursuant to an indenture dated February 4, 2022. The 2027 Notes were sold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w:t>
      </w:r>
    </w:p>
    <w:p>
      <w:pPr>
        <w:spacing w:after="0" w:line="188" w:lineRule="exact"/>
        <w:rPr>
          <w:sz w:val="20"/>
          <w:szCs w:val="20"/>
          <w:color w:val="auto"/>
        </w:rPr>
      </w:pPr>
    </w:p>
    <w:p>
      <w:pPr>
        <w:ind w:right="220" w:firstLine="644"/>
        <w:spacing w:after="0" w:line="276" w:lineRule="auto"/>
        <w:rPr>
          <w:sz w:val="20"/>
          <w:szCs w:val="20"/>
          <w:color w:val="auto"/>
        </w:rPr>
      </w:pPr>
      <w:r>
        <w:rPr>
          <w:rFonts w:ascii="Times New Roman" w:cs="Times New Roman" w:eastAsia="Times New Roman" w:hAnsi="Times New Roman"/>
          <w:sz w:val="18"/>
          <w:szCs w:val="18"/>
          <w:color w:val="auto"/>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spacing w:after="0" w:line="164" w:lineRule="exact"/>
        <w:rPr>
          <w:sz w:val="20"/>
          <w:szCs w:val="20"/>
          <w:color w:val="auto"/>
        </w:rPr>
      </w:pPr>
    </w:p>
    <w:p>
      <w:pPr>
        <w:ind w:right="40" w:firstLine="644"/>
        <w:spacing w:after="0" w:line="257" w:lineRule="auto"/>
        <w:rPr>
          <w:sz w:val="20"/>
          <w:szCs w:val="20"/>
          <w:color w:val="auto"/>
        </w:rPr>
      </w:pPr>
      <w:r>
        <w:rPr>
          <w:rFonts w:ascii="Times New Roman" w:cs="Times New Roman" w:eastAsia="Times New Roman" w:hAnsi="Times New Roman"/>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w:t>
      </w:r>
    </w:p>
    <w:p>
      <w:pPr>
        <w:spacing w:after="0" w:line="188"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may redeem for cash all or any portion of the 2027 Notes, at our option, on or after February 5, 2025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w:t>
      </w:r>
    </w:p>
    <w:p>
      <w:pPr>
        <w:spacing w:after="0" w:line="184" w:lineRule="exact"/>
        <w:rPr>
          <w:sz w:val="20"/>
          <w:szCs w:val="20"/>
          <w:color w:val="auto"/>
        </w:rPr>
      </w:pPr>
    </w:p>
    <w:p>
      <w:pPr>
        <w:ind w:right="620" w:firstLine="644"/>
        <w:spacing w:after="0" w:line="276" w:lineRule="auto"/>
        <w:rPr>
          <w:sz w:val="20"/>
          <w:szCs w:val="20"/>
          <w:color w:val="auto"/>
        </w:rPr>
      </w:pPr>
      <w:r>
        <w:rPr>
          <w:rFonts w:ascii="Times New Roman" w:cs="Times New Roman" w:eastAsia="Times New Roman" w:hAnsi="Times New Roman"/>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57" w:lineRule="exact"/>
        <w:rPr>
          <w:sz w:val="20"/>
          <w:szCs w:val="20"/>
          <w:color w:val="auto"/>
        </w:rPr>
      </w:pPr>
    </w:p>
    <w:p>
      <w:pPr>
        <w:jc w:val="both"/>
        <w:ind w:left="1020" w:hanging="505"/>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71" w:lineRule="exact"/>
        <w:rPr>
          <w:rFonts w:ascii="Times New Roman" w:cs="Times New Roman" w:eastAsia="Times New Roman" w:hAnsi="Times New Roman"/>
          <w:sz w:val="18"/>
          <w:szCs w:val="18"/>
          <w:color w:val="auto"/>
        </w:rPr>
      </w:pPr>
    </w:p>
    <w:p>
      <w:pPr>
        <w:jc w:val="both"/>
        <w:ind w:left="1020" w:hanging="505"/>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71" w:lineRule="exact"/>
        <w:rPr>
          <w:rFonts w:ascii="Times New Roman" w:cs="Times New Roman" w:eastAsia="Times New Roman" w:hAnsi="Times New Roman"/>
          <w:sz w:val="18"/>
          <w:szCs w:val="18"/>
          <w:color w:val="auto"/>
        </w:rPr>
      </w:pPr>
    </w:p>
    <w:p>
      <w:pPr>
        <w:jc w:val="both"/>
        <w:ind w:left="1020" w:hanging="505"/>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71"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219" w:lineRule="exact"/>
        <w:rPr>
          <w:sz w:val="20"/>
          <w:szCs w:val="20"/>
          <w:color w:val="auto"/>
        </w:rPr>
      </w:pPr>
    </w:p>
    <w:p>
      <w:pPr>
        <w:ind w:right="840" w:firstLine="644"/>
        <w:spacing w:after="0" w:line="276" w:lineRule="auto"/>
        <w:rPr>
          <w:sz w:val="20"/>
          <w:szCs w:val="20"/>
          <w:color w:val="auto"/>
        </w:rPr>
      </w:pPr>
      <w:r>
        <w:rPr>
          <w:rFonts w:ascii="Times New Roman" w:cs="Times New Roman" w:eastAsia="Times New Roman" w:hAnsi="Times New Roman"/>
          <w:sz w:val="18"/>
          <w:szCs w:val="18"/>
          <w:color w:val="auto"/>
        </w:rPr>
        <w:t>On or after November 1, 2026, the 2027 Notes are convertible at any time until the close of business on the second scheduled trading day immediately preceding the maturity date.</w:t>
      </w:r>
    </w:p>
    <w:p>
      <w:pPr>
        <w:spacing w:after="0" w:line="164" w:lineRule="exact"/>
        <w:rPr>
          <w:sz w:val="20"/>
          <w:szCs w:val="20"/>
          <w:color w:val="auto"/>
        </w:rPr>
      </w:pPr>
    </w:p>
    <w:p>
      <w:pPr>
        <w:jc w:val="both"/>
        <w:ind w:right="240" w:firstLine="644"/>
        <w:spacing w:after="0" w:line="261" w:lineRule="auto"/>
        <w:rPr>
          <w:sz w:val="20"/>
          <w:szCs w:val="20"/>
          <w:color w:val="auto"/>
        </w:rPr>
      </w:pPr>
      <w:r>
        <w:rPr>
          <w:rFonts w:ascii="Times New Roman" w:cs="Times New Roman" w:eastAsia="Times New Roman" w:hAnsi="Times New Roman"/>
          <w:sz w:val="18"/>
          <w:szCs w:val="18"/>
          <w:color w:val="auto"/>
        </w:rPr>
        <w:t>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w:t>
      </w:r>
    </w:p>
    <w:p>
      <w:pPr>
        <w:spacing w:after="0" w:line="178" w:lineRule="exact"/>
        <w:rPr>
          <w:sz w:val="20"/>
          <w:szCs w:val="20"/>
          <w:color w:val="auto"/>
        </w:rPr>
      </w:pPr>
    </w:p>
    <w:p>
      <w:pPr>
        <w:ind w:right="740" w:firstLine="644"/>
        <w:spacing w:after="0" w:line="276" w:lineRule="auto"/>
        <w:rPr>
          <w:sz w:val="20"/>
          <w:szCs w:val="20"/>
          <w:color w:val="auto"/>
        </w:rPr>
      </w:pPr>
      <w:r>
        <w:rPr>
          <w:rFonts w:ascii="Times New Roman" w:cs="Times New Roman" w:eastAsia="Times New Roman" w:hAnsi="Times New Roman"/>
          <w:sz w:val="18"/>
          <w:szCs w:val="18"/>
          <w:color w:val="auto"/>
        </w:rPr>
        <w:t>We accounted for the issuance of the 2027 Notes as a single liability measured at its amortized cost, as no other embedded features require bifurcation and recognition as derivatives.</w:t>
      </w:r>
    </w:p>
    <w:p>
      <w:pPr>
        <w:spacing w:after="0" w:line="57" w:lineRule="exact"/>
        <w:rPr>
          <w:sz w:val="20"/>
          <w:szCs w:val="20"/>
          <w:color w:val="auto"/>
        </w:rPr>
      </w:pPr>
    </w:p>
    <w:p>
      <w:pPr>
        <w:ind w:right="260" w:firstLine="644"/>
        <w:spacing w:after="0" w:line="276" w:lineRule="auto"/>
        <w:rPr>
          <w:sz w:val="20"/>
          <w:szCs w:val="20"/>
          <w:color w:val="auto"/>
        </w:rPr>
      </w:pPr>
      <w:r>
        <w:rPr>
          <w:rFonts w:ascii="Times New Roman" w:cs="Times New Roman" w:eastAsia="Times New Roman" w:hAnsi="Times New Roman"/>
          <w:sz w:val="18"/>
          <w:szCs w:val="18"/>
          <w:color w:val="auto"/>
        </w:rPr>
        <w:t>The Company estimates the fair value of the 2027 Notes with inputs that are unobservable. The following table presents the outstanding principal amount and carrying value of the 2027 Notes as of the dates indicated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0"/>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97"/>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563"/>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7"/>
        </w:trPr>
        <w:tc>
          <w:tcPr>
            <w:tcW w:w="20" w:type="dxa"/>
            <w:vAlign w:val="bottom"/>
          </w:tcPr>
          <w:p>
            <w:pPr>
              <w:spacing w:after="0"/>
              <w:rPr>
                <w:sz w:val="17"/>
                <w:szCs w:val="17"/>
                <w:color w:val="auto"/>
              </w:rPr>
            </w:pPr>
          </w:p>
        </w:tc>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w:t>
            </w: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20" w:type="dxa"/>
            <w:vAlign w:val="bottom"/>
            <w:shd w:val="clear" w:color="auto" w:fill="CFF0FC"/>
          </w:tcPr>
          <w:p>
            <w:pPr>
              <w:spacing w:after="0"/>
              <w:rPr>
                <w:sz w:val="17"/>
                <w:szCs w:val="17"/>
                <w:color w:val="auto"/>
              </w:rPr>
            </w:pPr>
          </w:p>
        </w:tc>
        <w:tc>
          <w:tcPr>
            <w:tcW w:w="1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287,500</w:t>
            </w:r>
          </w:p>
        </w:tc>
      </w:tr>
      <w:tr>
        <w:trPr>
          <w:trHeight w:val="213"/>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(3,162)</w:t>
            </w: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(3,594)</w:t>
            </w:r>
          </w:p>
        </w:tc>
      </w:tr>
      <w:tr>
        <w:trPr>
          <w:trHeight w:val="213"/>
        </w:trPr>
        <w:tc>
          <w:tcPr>
            <w:tcW w:w="20" w:type="dxa"/>
            <w:vAlign w:val="bottom"/>
          </w:tcPr>
          <w:p>
            <w:pPr>
              <w:spacing w:after="0"/>
              <w:rPr>
                <w:sz w:val="18"/>
                <w:szCs w:val="18"/>
                <w:color w:val="auto"/>
              </w:rPr>
            </w:pPr>
          </w:p>
        </w:tc>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17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r>
      <w:tr>
        <w:trPr>
          <w:trHeight w:val="207"/>
        </w:trPr>
        <w:tc>
          <w:tcPr>
            <w:tcW w:w="20" w:type="dxa"/>
            <w:vAlign w:val="bottom"/>
          </w:tcPr>
          <w:p>
            <w:pPr>
              <w:spacing w:after="0"/>
              <w:rPr>
                <w:sz w:val="17"/>
                <w:szCs w:val="17"/>
                <w:color w:val="auto"/>
              </w:rPr>
            </w:pPr>
          </w:p>
        </w:tc>
        <w:tc>
          <w:tcPr>
            <w:tcW w:w="7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carrying value</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284,093</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283,628</w:t>
            </w:r>
          </w:p>
        </w:tc>
        <w:tc>
          <w:tcPr>
            <w:tcW w:w="100" w:type="dxa"/>
            <w:vAlign w:val="bottom"/>
            <w:tcBorders>
              <w:top w:val="single" w:sz="8" w:color="CFF0FC"/>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5944870</wp:posOffset>
            </wp:positionH>
            <wp:positionV relativeFrom="paragraph">
              <wp:posOffset>-168910</wp:posOffset>
            </wp:positionV>
            <wp:extent cx="762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-168910</wp:posOffset>
            </wp:positionV>
            <wp:extent cx="679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15" w:lineRule="exact"/>
        <w:rPr>
          <w:sz w:val="20"/>
          <w:szCs w:val="20"/>
          <w:color w:val="auto"/>
        </w:rPr>
      </w:pPr>
    </w:p>
    <w:p>
      <w:pPr>
        <w:ind w:right="200" w:firstLine="644"/>
        <w:spacing w:after="0" w:line="276" w:lineRule="auto"/>
        <w:rPr>
          <w:sz w:val="20"/>
          <w:szCs w:val="20"/>
          <w:color w:val="auto"/>
        </w:rPr>
      </w:pPr>
      <w:r>
        <w:rPr>
          <w:rFonts w:ascii="Times New Roman" w:cs="Times New Roman" w:eastAsia="Times New Roman" w:hAnsi="Times New Roman"/>
          <w:sz w:val="18"/>
          <w:szCs w:val="18"/>
          <w:color w:val="auto"/>
        </w:rPr>
        <w:t>The annual effective interest rate for the 2027 Notes was approximately 1.6%. Interest expense related to the 2027 Notes for the periods presented below was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340" w:type="dxa"/>
            <w:vAlign w:val="bottom"/>
            <w:tcBorders>
              <w:bottom w:val="single" w:sz="8" w:color="auto"/>
            </w:tcBorders>
          </w:tcPr>
          <w:p>
            <w:pPr>
              <w:jc w:val="right"/>
              <w:ind w:right="41"/>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715"/>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7"/>
        </w:trPr>
        <w:tc>
          <w:tcPr>
            <w:tcW w:w="20" w:type="dxa"/>
            <w:vAlign w:val="bottom"/>
          </w:tcPr>
          <w:p>
            <w:pPr>
              <w:spacing w:after="0"/>
              <w:rPr>
                <w:sz w:val="17"/>
                <w:szCs w:val="17"/>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Coupon interest</w:t>
            </w:r>
          </w:p>
        </w:tc>
        <w:tc>
          <w:tcPr>
            <w:tcW w:w="1340" w:type="dxa"/>
            <w:vAlign w:val="bottom"/>
            <w:shd w:val="clear" w:color="auto" w:fill="CFF0FC"/>
          </w:tcPr>
          <w:p>
            <w:pPr>
              <w:jc w:val="right"/>
              <w:ind w:right="1181"/>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transaction costs</w:t>
            </w:r>
          </w:p>
        </w:tc>
        <w:tc>
          <w:tcPr>
            <w:tcW w:w="1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340" w:type="dxa"/>
            <w:vAlign w:val="bottom"/>
          </w:tcPr>
          <w:p>
            <w:pPr>
              <w:jc w:val="right"/>
              <w:ind w:right="1181"/>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-168910</wp:posOffset>
            </wp:positionV>
            <wp:extent cx="679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-168910</wp:posOffset>
            </wp:positionV>
            <wp:extent cx="762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the 2027 Notes as of the date indicated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40" w:type="dxa"/>
            <w:vAlign w:val="bottom"/>
            <w:gridSpan w:val="6"/>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7"/>
        </w:trPr>
        <w:tc>
          <w:tcPr>
            <w:tcW w:w="2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3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7"/>
                <w:szCs w:val="17"/>
                <w:color w:val="auto"/>
              </w:rPr>
            </w:pPr>
          </w:p>
        </w:tc>
      </w:tr>
      <w:tr>
        <w:trPr>
          <w:trHeight w:val="207"/>
        </w:trPr>
        <w:tc>
          <w:tcPr>
            <w:tcW w:w="242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2027 Notes</w:t>
            </w:r>
            <w:r>
              <w:rPr>
                <w:rFonts w:ascii="Times New Roman" w:cs="Times New Roman" w:eastAsia="Times New Roman" w:hAnsi="Times New Roman"/>
                <w:sz w:val="23"/>
                <w:szCs w:val="23"/>
                <w:color w:val="auto"/>
                <w:vertAlign w:val="superscript"/>
              </w:rPr>
              <w:t>(1)</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284,093</w:t>
            </w: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278,358</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283,628</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311,621</w:t>
            </w:r>
          </w:p>
        </w:tc>
      </w:tr>
    </w:tbl>
    <w:p>
      <w:pPr>
        <w:ind w:right="120" w:firstLine="51"/>
        <w:spacing w:after="0" w:line="255" w:lineRule="auto"/>
        <w:tabs>
          <w:tab w:leader="none" w:pos="2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2025 and December 31, 2024, the fair value of the 2027 Notes was measured using Level 2 inputs based on the frequency of trading on our debt at the end of the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5" w:lineRule="exact"/>
        <w:rPr>
          <w:sz w:val="20"/>
          <w:szCs w:val="20"/>
          <w:color w:val="auto"/>
        </w:rPr>
      </w:pPr>
    </w:p>
    <w:p>
      <w:pPr>
        <w:ind w:right="40" w:firstLine="644"/>
        <w:spacing w:after="0" w:line="257" w:lineRule="auto"/>
        <w:rPr>
          <w:sz w:val="20"/>
          <w:szCs w:val="20"/>
          <w:color w:val="auto"/>
        </w:rPr>
      </w:pPr>
      <w:r>
        <w:rPr>
          <w:rFonts w:ascii="Times New Roman" w:cs="Times New Roman" w:eastAsia="Times New Roman" w:hAnsi="Times New Roman"/>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In the first quarter of 2025, the Company initiated a restructuring action to help improve efficiency and align resources by reducing our workforce.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the Company incurred $1.5 million for employee termination costs related to the first quarter restructuring.</w:t>
      </w:r>
    </w:p>
    <w:p>
      <w:pPr>
        <w:spacing w:after="0" w:line="94" w:lineRule="exact"/>
        <w:rPr>
          <w:sz w:val="20"/>
          <w:szCs w:val="20"/>
          <w:color w:val="auto"/>
        </w:rPr>
      </w:pPr>
    </w:p>
    <w:p>
      <w:pPr>
        <w:ind w:right="360" w:firstLine="749"/>
        <w:spacing w:after="0" w:line="254" w:lineRule="auto"/>
        <w:rPr>
          <w:sz w:val="20"/>
          <w:szCs w:val="20"/>
          <w:color w:val="auto"/>
        </w:rPr>
      </w:pPr>
      <w:r>
        <w:rPr>
          <w:rFonts w:ascii="Times New Roman" w:cs="Times New Roman" w:eastAsia="Times New Roman" w:hAnsi="Times New Roman"/>
          <w:sz w:val="18"/>
          <w:szCs w:val="18"/>
          <w:color w:val="auto"/>
        </w:rPr>
        <w:t>The following table shows the total amount incurred and the liability, which was recorded in accrued expenses in the Condensed Consolidated Balance Sheets, for restructuring-related employee termination benefits as of December 31, 2024 and March 31, 2025 (in thousands):</w:t>
      </w:r>
    </w:p>
    <w:tbl>
      <w:tblPr>
        <w:tblLayout w:type="fixed"/>
        <w:tblInd w:w="0" w:type="dxa"/>
        <w:tblCellMar>
          <w:top w:w="0" w:type="dxa"/>
          <w:left w:w="0" w:type="dxa"/>
          <w:bottom w:w="0" w:type="dxa"/>
          <w:right w:w="0" w:type="dxa"/>
        </w:tblCellMar>
      </w:tblPr>
      <w:tr>
        <w:trPr>
          <w:trHeight w:val="129"/>
        </w:trPr>
        <w:tc>
          <w:tcPr>
            <w:tcW w:w="9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Employee Termination</w:t>
            </w:r>
          </w:p>
        </w:tc>
      </w:tr>
      <w:tr>
        <w:trPr>
          <w:trHeight w:val="171"/>
        </w:trPr>
        <w:tc>
          <w:tcPr>
            <w:tcW w:w="9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0" w:type="dxa"/>
            <w:vAlign w:val="bottom"/>
          </w:tcPr>
          <w:p>
            <w:pPr>
              <w:spacing w:after="0"/>
              <w:rPr>
                <w:sz w:val="14"/>
                <w:szCs w:val="14"/>
                <w:color w:val="auto"/>
              </w:rPr>
            </w:pPr>
          </w:p>
        </w:tc>
      </w:tr>
      <w:tr>
        <w:trPr>
          <w:trHeight w:val="353"/>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Accrued restructuring costs as of December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costs incurred during the three months ended March 31, 2025</w:t>
            </w: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FF0FC"/>
          </w:tcPr>
          <w:p>
            <w:pPr>
              <w:spacing w:after="0"/>
              <w:rPr>
                <w:sz w:val="18"/>
                <w:szCs w:val="18"/>
                <w:color w:val="auto"/>
              </w:rPr>
            </w:pPr>
          </w:p>
        </w:tc>
      </w:tr>
      <w:tr>
        <w:trPr>
          <w:trHeight w:val="213"/>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Amount paid during the period ended March 31, 2025</w:t>
            </w: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r>
      <w:tr>
        <w:trPr>
          <w:trHeight w:val="247"/>
        </w:trPr>
        <w:tc>
          <w:tcPr>
            <w:tcW w:w="9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costs as of March 31, 2025</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7070725</wp:posOffset>
            </wp:positionH>
            <wp:positionV relativeFrom="paragraph">
              <wp:posOffset>-24765</wp:posOffset>
            </wp:positionV>
            <wp:extent cx="679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9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shows the total restructuring costs incurred during the three months ended March 31, 2025 and 2024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260" w:type="dxa"/>
            <w:vAlign w:val="bottom"/>
            <w:tcBorders>
              <w:bottom w:val="single" w:sz="8" w:color="auto"/>
            </w:tcBorders>
          </w:tcPr>
          <w:p>
            <w:pPr>
              <w:jc w:val="right"/>
              <w:ind w:right="61"/>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60" w:type="dxa"/>
            <w:vAlign w:val="bottom"/>
            <w:shd w:val="clear" w:color="auto" w:fill="CFF0FC"/>
          </w:tcPr>
          <w:p>
            <w:pPr>
              <w:jc w:val="right"/>
              <w:ind w:right="1101"/>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0" w:type="dxa"/>
            <w:vAlign w:val="bottom"/>
            <w:gridSpan w:val="2"/>
            <w:shd w:val="clear" w:color="auto" w:fill="CFF0FC"/>
          </w:tcPr>
          <w:p>
            <w:pPr>
              <w:jc w:val="right"/>
              <w:ind w:right="91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support</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260" w:type="dxa"/>
            <w:vAlign w:val="bottom"/>
            <w:tcBorders>
              <w:bottom w:val="single" w:sz="8" w:color="auto"/>
            </w:tcBorders>
            <w:shd w:val="clear" w:color="auto" w:fill="CFF0FC"/>
          </w:tcPr>
          <w:p>
            <w:pPr>
              <w:jc w:val="right"/>
              <w:ind w:right="1101"/>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3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5285105</wp:posOffset>
            </wp:positionH>
            <wp:positionV relativeFrom="paragraph">
              <wp:posOffset>-24765</wp:posOffset>
            </wp:positionV>
            <wp:extent cx="762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-7620</wp:posOffset>
            </wp:positionV>
            <wp:extent cx="762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9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9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15"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The Company sponsors a defined contribution plan for qualifying employees, including a 401(k) Plan in the United States to which it makes matching contributions of 50% of participating employee contributions up to 6% of eligible income. The Company's total matching contribution to the 401(k) Plan was $0.7 million and $0.7 million for the three months ended March 31, 2025 and 2024, respectively.</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intangible assets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144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4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220" w:type="dxa"/>
            <w:vAlign w:val="bottom"/>
          </w:tcPr>
          <w:p>
            <w:pPr>
              <w:spacing w:after="0"/>
              <w:rPr>
                <w:sz w:val="12"/>
                <w:szCs w:val="12"/>
                <w:color w:val="auto"/>
              </w:rPr>
            </w:pPr>
          </w:p>
        </w:tc>
        <w:tc>
          <w:tcPr>
            <w:tcW w:w="114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4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4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period in</w:t>
            </w:r>
          </w:p>
        </w:tc>
        <w:tc>
          <w:tcPr>
            <w:tcW w:w="220" w:type="dxa"/>
            <w:vAlign w:val="bottom"/>
          </w:tcPr>
          <w:p>
            <w:pPr>
              <w:spacing w:after="0"/>
              <w:rPr>
                <w:sz w:val="12"/>
                <w:szCs w:val="12"/>
                <w:color w:val="auto"/>
              </w:rPr>
            </w:pPr>
          </w:p>
        </w:tc>
        <w:tc>
          <w:tcPr>
            <w:tcW w:w="1140" w:type="dxa"/>
            <w:vAlign w:val="bottom"/>
            <w:gridSpan w:val="3"/>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4"/>
                <w:szCs w:val="14"/>
                <w:color w:val="auto"/>
              </w:rPr>
            </w:pPr>
          </w:p>
        </w:tc>
        <w:tc>
          <w:tcPr>
            <w:tcW w:w="11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576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1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tcPr>
          <w:p>
            <w:pPr>
              <w:jc w:val="right"/>
              <w:ind w:right="3491"/>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 Names</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Developed Technology</w:t>
            </w:r>
          </w:p>
        </w:tc>
        <w:tc>
          <w:tcPr>
            <w:tcW w:w="14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537</w:t>
            </w:r>
          </w:p>
        </w:tc>
        <w:tc>
          <w:tcPr>
            <w:tcW w:w="1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Vendor Relationships</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Database</w:t>
            </w:r>
          </w:p>
        </w:tc>
        <w:tc>
          <w:tcPr>
            <w:tcW w:w="14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Patents</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Subtotal intangible assets</w:t>
            </w:r>
          </w:p>
        </w:tc>
        <w:tc>
          <w:tcPr>
            <w:tcW w:w="11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41,955</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6"/>
              </w:rPr>
              <w:t>10,977</w:t>
            </w:r>
          </w:p>
        </w:tc>
        <w:tc>
          <w:tcPr>
            <w:tcW w:w="160" w:type="dxa"/>
            <w:vAlign w:val="bottom"/>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In-place Lease Intangible Asset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Above Market Lease Intangible Asset</w:t>
            </w:r>
          </w:p>
        </w:tc>
        <w:tc>
          <w:tcPr>
            <w:tcW w:w="14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43,419</w:t>
            </w:r>
          </w:p>
        </w:tc>
        <w:tc>
          <w:tcPr>
            <w:tcW w:w="220" w:type="dxa"/>
            <w:vAlign w:val="bottom"/>
          </w:tcPr>
          <w:p>
            <w:pPr>
              <w:spacing w:after="0"/>
              <w:rPr>
                <w:sz w:val="17"/>
                <w:szCs w:val="17"/>
                <w:color w:val="auto"/>
              </w:rPr>
            </w:pPr>
          </w:p>
        </w:tc>
        <w:tc>
          <w:tcPr>
            <w:tcW w:w="60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7"/>
                <w:szCs w:val="17"/>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6"/>
              </w:rPr>
              <w:t>12,175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144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4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220" w:type="dxa"/>
            <w:vAlign w:val="bottom"/>
          </w:tcPr>
          <w:p>
            <w:pPr>
              <w:spacing w:after="0"/>
              <w:rPr>
                <w:sz w:val="12"/>
                <w:szCs w:val="12"/>
                <w:color w:val="auto"/>
              </w:rPr>
            </w:pPr>
          </w:p>
        </w:tc>
        <w:tc>
          <w:tcPr>
            <w:tcW w:w="114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4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4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period in</w:t>
            </w:r>
          </w:p>
        </w:tc>
        <w:tc>
          <w:tcPr>
            <w:tcW w:w="220" w:type="dxa"/>
            <w:vAlign w:val="bottom"/>
          </w:tcPr>
          <w:p>
            <w:pPr>
              <w:spacing w:after="0"/>
              <w:rPr>
                <w:sz w:val="12"/>
                <w:szCs w:val="12"/>
                <w:color w:val="auto"/>
              </w:rPr>
            </w:pPr>
          </w:p>
        </w:tc>
        <w:tc>
          <w:tcPr>
            <w:tcW w:w="1140" w:type="dxa"/>
            <w:vAlign w:val="bottom"/>
            <w:gridSpan w:val="3"/>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4"/>
                <w:szCs w:val="14"/>
                <w:color w:val="auto"/>
              </w:rPr>
            </w:pPr>
          </w:p>
        </w:tc>
        <w:tc>
          <w:tcPr>
            <w:tcW w:w="11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180" w:type="dxa"/>
            <w:vAlign w:val="bottom"/>
            <w:tcBorders>
              <w:top w:val="single" w:sz="8" w:color="auto"/>
            </w:tcBorders>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tcPr>
          <w:p>
            <w:pPr>
              <w:jc w:val="right"/>
              <w:ind w:right="3491"/>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 Names</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Developed Technology</w:t>
            </w:r>
          </w:p>
        </w:tc>
        <w:tc>
          <w:tcPr>
            <w:tcW w:w="14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Vendor Relationships</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Database</w:t>
            </w:r>
          </w:p>
        </w:tc>
        <w:tc>
          <w:tcPr>
            <w:tcW w:w="14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Patents</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Subtotal intangible assets</w:t>
            </w:r>
          </w:p>
        </w:tc>
        <w:tc>
          <w:tcPr>
            <w:tcW w:w="11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41,959</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6"/>
              </w:rPr>
              <w:t>10,174</w:t>
            </w:r>
          </w:p>
        </w:tc>
        <w:tc>
          <w:tcPr>
            <w:tcW w:w="160" w:type="dxa"/>
            <w:vAlign w:val="bottom"/>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In-place Lease Intangible Asset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Above Market Lease Intangible Asset</w:t>
            </w:r>
          </w:p>
        </w:tc>
        <w:tc>
          <w:tcPr>
            <w:tcW w:w="14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43,423</w:t>
            </w:r>
          </w:p>
        </w:tc>
        <w:tc>
          <w:tcPr>
            <w:tcW w:w="220" w:type="dxa"/>
            <w:vAlign w:val="bottom"/>
          </w:tcPr>
          <w:p>
            <w:pPr>
              <w:spacing w:after="0"/>
              <w:rPr>
                <w:sz w:val="17"/>
                <w:szCs w:val="17"/>
                <w:color w:val="auto"/>
              </w:rPr>
            </w:pPr>
          </w:p>
        </w:tc>
        <w:tc>
          <w:tcPr>
            <w:tcW w:w="60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11,284</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20" w:type="dxa"/>
            <w:vAlign w:val="bottom"/>
          </w:tcPr>
          <w:p>
            <w:pPr>
              <w:spacing w:after="0"/>
              <w:rPr>
                <w:sz w:val="24"/>
                <w:szCs w:val="24"/>
                <w:color w:val="auto"/>
              </w:rPr>
            </w:pPr>
          </w:p>
        </w:tc>
        <w:tc>
          <w:tcPr>
            <w:tcW w:w="742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w w:val="99"/>
              </w:rPr>
              <w:t>The following table provides a roll forward of the carrying amount of goodwill (in thousands):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vMerge w:val="restart"/>
          </w:tcPr>
          <w:p>
            <w:pPr>
              <w:spacing w:after="0"/>
              <w:rPr>
                <w:sz w:val="12"/>
                <w:szCs w:val="12"/>
                <w:color w:val="auto"/>
              </w:rPr>
            </w:pPr>
          </w:p>
        </w:tc>
        <w:tc>
          <w:tcPr>
            <w:tcW w:w="940" w:type="dxa"/>
            <w:vAlign w:val="bottom"/>
            <w:tcBorders>
              <w:bottom w:val="single" w:sz="8" w:color="auto"/>
            </w:tcBorders>
            <w:gridSpan w:val="2"/>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940" w:type="dxa"/>
            <w:vAlign w:val="bottom"/>
            <w:tcBorders>
              <w:bottom w:val="single" w:sz="8" w:color="auto"/>
            </w:tcBorders>
            <w:gridSpan w:val="2"/>
          </w:tcPr>
          <w:p>
            <w:pPr>
              <w:jc w:val="right"/>
              <w:ind w:right="20"/>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5"/>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5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1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Gross goodwill</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54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265,760</w:t>
            </w: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265,989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impairments</w:t>
            </w:r>
          </w:p>
        </w:tc>
        <w:tc>
          <w:tcPr>
            <w:tcW w:w="11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60" w:type="dxa"/>
            <w:vAlign w:val="bottom"/>
            <w:tcBorders>
              <w:top w:val="single" w:sz="8" w:color="CFF0FC"/>
            </w:tcBorders>
          </w:tcPr>
          <w:p>
            <w:pPr>
              <w:jc w:val="right"/>
              <w:ind w:right="3491"/>
              <w:spacing w:after="0"/>
              <w:rPr>
                <w:sz w:val="20"/>
                <w:szCs w:val="20"/>
                <w:color w:val="auto"/>
              </w:rPr>
            </w:pPr>
            <w:r>
              <w:rPr>
                <w:rFonts w:ascii="Times New Roman" w:cs="Times New Roman" w:eastAsia="Times New Roman" w:hAnsi="Times New Roman"/>
                <w:sz w:val="18"/>
                <w:szCs w:val="18"/>
                <w:color w:val="auto"/>
              </w:rPr>
              <w:t>Net goodwill as of January 1</w:t>
            </w:r>
          </w:p>
        </w:tc>
        <w:tc>
          <w:tcPr>
            <w:tcW w:w="118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262,686</w:t>
            </w:r>
          </w:p>
        </w:tc>
        <w:tc>
          <w:tcPr>
            <w:tcW w:w="6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262,915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11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exchange</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76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goodwill as of March 31, 2025 and December 31, 2024:</w:t>
            </w:r>
          </w:p>
        </w:tc>
        <w:tc>
          <w:tcPr>
            <w:tcW w:w="118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CFF0FC"/>
              <w:bottom w:val="single" w:sz="8" w:color="CFF0FC"/>
              <w:right w:val="single" w:sz="8" w:color="CFF0FC"/>
            </w:tcBorders>
            <w:shd w:val="clear" w:color="auto" w:fill="CFF0FC"/>
          </w:tcPr>
          <w:p>
            <w:pPr>
              <w:spacing w:after="0"/>
              <w:rPr>
                <w:sz w:val="21"/>
                <w:szCs w:val="21"/>
                <w:color w:val="auto"/>
              </w:rPr>
            </w:pP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720" w:type="dxa"/>
            <w:vAlign w:val="bottom"/>
            <w:tcBorders>
              <w:top w:val="single" w:sz="8" w:color="auto"/>
              <w:bottom w:val="single" w:sz="8" w:color="auto"/>
              <w:right w:val="single" w:sz="8" w:color="CFF0FC"/>
            </w:tcBorders>
            <w:shd w:val="clear" w:color="auto" w:fill="CFF0FC"/>
          </w:tcPr>
          <w:p>
            <w:pPr>
              <w:jc w:val="right"/>
              <w:ind w:right="545"/>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263,009</w:t>
            </w: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262,686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5301615</wp:posOffset>
            </wp:positionH>
            <wp:positionV relativeFrom="paragraph">
              <wp:posOffset>-4323715</wp:posOffset>
            </wp:positionV>
            <wp:extent cx="679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-4323715</wp:posOffset>
            </wp:positionV>
            <wp:extent cx="679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-4323715</wp:posOffset>
            </wp:positionV>
            <wp:extent cx="762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-1878330</wp:posOffset>
            </wp:positionV>
            <wp:extent cx="679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-1878330</wp:posOffset>
            </wp:positionV>
            <wp:extent cx="679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-1878330</wp:posOffset>
            </wp:positionV>
            <wp:extent cx="762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-583565</wp:posOffset>
            </wp:positionV>
            <wp:extent cx="679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-583565</wp:posOffset>
            </wp:positionV>
            <wp:extent cx="679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-24765</wp:posOffset>
            </wp:positionV>
            <wp:extent cx="679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-7620</wp:posOffset>
            </wp:positionV>
            <wp:extent cx="679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-168910</wp:posOffset>
            </wp:positionV>
            <wp:extent cx="679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9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9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-168910</wp:posOffset>
            </wp:positionV>
            <wp:extent cx="679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388"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Xometry had $263.0 million and $262.7 million, respectively of goodwill. As of March 31, 2025, $258.0 million was part of Xometry’s U.S. operating segment and $5.0 million was part of Xometry’s International operating segment. As of December 31, 2024, $258.0 million was part of Xometry's U.S. operating segment and $4.7 million was part of Xometry's International operating segment.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93" w:lineRule="exact"/>
        <w:rPr>
          <w:sz w:val="20"/>
          <w:szCs w:val="20"/>
          <w:color w:val="auto"/>
        </w:rPr>
      </w:pPr>
    </w:p>
    <w:p>
      <w:pPr>
        <w:ind w:right="400" w:firstLine="644"/>
        <w:spacing w:after="0" w:line="276" w:lineRule="auto"/>
        <w:rPr>
          <w:sz w:val="20"/>
          <w:szCs w:val="20"/>
          <w:color w:val="auto"/>
        </w:rPr>
      </w:pPr>
      <w:r>
        <w:rPr>
          <w:rFonts w:ascii="Times New Roman" w:cs="Times New Roman" w:eastAsia="Times New Roman" w:hAnsi="Times New Roman"/>
          <w:sz w:val="18"/>
          <w:szCs w:val="18"/>
          <w:color w:val="auto"/>
        </w:rPr>
        <w:t>As of March 31, 2025, estimated amortization expense for intangible assets for the remainder of 2025 and the next five years is: $2.7 million in 2025, $3.2 million in 2026, $2.6 million in 2027, $2.6 million in 2028, $2.6 million in 2029, $2.6 million in 2030 and $14.9 million thereafter.</w:t>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for the three months ended March 31, 2025 and 2024 was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040" w:type="dxa"/>
            <w:vAlign w:val="bottom"/>
          </w:tcPr>
          <w:p>
            <w:pPr>
              <w:jc w:val="right"/>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2"/>
                <w:szCs w:val="12"/>
                <w:color w:val="auto"/>
              </w:rPr>
            </w:pPr>
          </w:p>
        </w:tc>
        <w:tc>
          <w:tcPr>
            <w:tcW w:w="1260" w:type="dxa"/>
            <w:vAlign w:val="bottom"/>
            <w:gridSpan w:val="2"/>
          </w:tcPr>
          <w:p>
            <w:pPr>
              <w:jc w:val="right"/>
              <w:ind w:right="160"/>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20" w:type="dxa"/>
            <w:vAlign w:val="bottom"/>
          </w:tcPr>
          <w:p>
            <w:pPr>
              <w:spacing w:after="0"/>
              <w:rPr>
                <w:sz w:val="17"/>
                <w:szCs w:val="17"/>
                <w:color w:val="auto"/>
              </w:rPr>
            </w:pPr>
          </w:p>
        </w:tc>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tcBorders>
              <w:top w:val="single" w:sz="8" w:color="auto"/>
            </w:tcBorders>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940" w:type="dxa"/>
            <w:vAlign w:val="bottom"/>
            <w:tcBorders>
              <w:bottom w:val="single" w:sz="8" w:color="CFF0FC"/>
            </w:tcBorders>
            <w:shd w:val="clear" w:color="auto" w:fill="CFF0FC"/>
          </w:tcPr>
          <w:p>
            <w:pPr>
              <w:spacing w:after="0" w:line="213"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jc w:val="right"/>
              <w:ind w:right="8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5987415</wp:posOffset>
            </wp:positionH>
            <wp:positionV relativeFrom="paragraph">
              <wp:posOffset>-168910</wp:posOffset>
            </wp:positionV>
            <wp:extent cx="679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-168910</wp:posOffset>
            </wp:positionV>
            <wp:extent cx="6794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5" w:lineRule="exact"/>
        <w:rPr>
          <w:sz w:val="20"/>
          <w:szCs w:val="20"/>
          <w:color w:val="auto"/>
        </w:rPr>
      </w:pPr>
    </w:p>
    <w:p>
      <w:pPr>
        <w:ind w:left="5540" w:right="2540" w:hanging="5533"/>
        <w:spacing w:after="0" w:line="647" w:lineRule="auto"/>
        <w:tabs>
          <w:tab w:leader="none" w:pos="2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lease related intangible assets is recorded as operating lease expense in general and administrative.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238125</wp:posOffset>
            </wp:positionV>
            <wp:extent cx="715962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8" w:lineRule="exact"/>
        <w:rPr>
          <w:sz w:val="20"/>
          <w:szCs w:val="20"/>
          <w:color w:val="auto"/>
        </w:rPr>
      </w:pPr>
    </w:p>
    <w:p>
      <w:pPr>
        <w:ind w:right="80" w:firstLine="688"/>
        <w:spacing w:after="0" w:line="271" w:lineRule="auto"/>
        <w:rPr>
          <w:sz w:val="20"/>
          <w:szCs w:val="20"/>
          <w:color w:val="auto"/>
        </w:rPr>
      </w:pPr>
      <w:r>
        <w:rPr>
          <w:rFonts w:ascii="Times New Roman" w:cs="Times New Roman" w:eastAsia="Times New Roman" w:hAnsi="Times New Roman"/>
          <w:sz w:val="17"/>
          <w:szCs w:val="17"/>
          <w:i w:val="1"/>
          <w:iCs w:val="1"/>
          <w:color w:val="auto"/>
        </w:rPr>
        <w:t>The following discussion and analysis should be read in conjunction with our unaudited condensed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our Annual Report on Form 10-K for the year ended December 31, 2024. Our historical results are not necessarily indicative of the results that may be expected in the future and our current quarterly results are not necessarily indicative of the results expected for the full year or any other period.</w:t>
      </w: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5" w:lineRule="exact"/>
        <w:rPr>
          <w:sz w:val="20"/>
          <w:szCs w:val="20"/>
          <w:color w:val="auto"/>
        </w:rPr>
      </w:pPr>
    </w:p>
    <w:p>
      <w:pPr>
        <w:ind w:right="40" w:firstLine="644"/>
        <w:spacing w:after="0" w:line="251" w:lineRule="auto"/>
        <w:rPr>
          <w:sz w:val="20"/>
          <w:szCs w:val="20"/>
          <w:color w:val="auto"/>
        </w:rPr>
      </w:pPr>
      <w:r>
        <w:rPr>
          <w:rFonts w:ascii="Times New Roman" w:cs="Times New Roman" w:eastAsia="Times New Roman" w:hAnsi="Times New Roman"/>
          <w:sz w:val="18"/>
          <w:szCs w:val="18"/>
          <w:color w:val="auto"/>
        </w:rPr>
        <w:t>Xometry Inc. (“Xometry”, “Company”, “our” or “we”) was incorporated in the State of Delaware in May 2013. Xometry operates a global artificial intelligence (“AI”) powered online manufacturing marketplace and a suite of cloud-based services including Workcenter and Teamspace that are rapidly digitizing the manufacturing industry. Xometry also operates Thomasnet®, a leading North American industrial sourcing platform. Together, these platforms provide manufacturers the critical resources they need to grow their business and makes it easy for buyers to create resilient supply chains. Xometry's marketplace uses proprietary AI to help buyers efficiently source custom-manufactured parts and assemblies and attain instant pricing and lead times. The AI enables our rapidly growing network of manufacturers to select the optimal jobs to fill their capacity. Our suite of cloud-based services and our Thomasnet industrial sourcing platform helps manufacturers and industrial service providers grow their businesses using our advertising, marketing and financial services. Xometry’s corporate headquarters is located in North Bethesda, Maryland.</w:t>
      </w:r>
    </w:p>
    <w:p>
      <w:pPr>
        <w:spacing w:after="0" w:line="187" w:lineRule="exact"/>
        <w:rPr>
          <w:sz w:val="20"/>
          <w:szCs w:val="20"/>
          <w:color w:val="auto"/>
        </w:rPr>
      </w:pPr>
    </w:p>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Xometry’s AI-enabled marketplace, which is available in 18 local languages, is powered by proprietary machine learning algorithms and datasets. Our two-sided marketplace is rapidly digitizing the manufacturing industry, helping customers strengthen their supply chains. Buyers can procure the products they want on demand, and suppliers can reach new customers throughout the world. Our rapidly growing active supplier base enables companies to accelerate their product development and go-to-market strategies, as well as reduce the cost and lead times for ongoing production work. Each interaction on our marketplace provides rich data insights that allow us to continuously improve our AI models and create new products and services, fueling powerful network effects as we scale.</w:t>
      </w:r>
    </w:p>
    <w:p>
      <w:pPr>
        <w:spacing w:after="0" w:line="183" w:lineRule="exact"/>
        <w:rPr>
          <w:sz w:val="20"/>
          <w:szCs w:val="20"/>
          <w:color w:val="auto"/>
        </w:rPr>
      </w:pPr>
    </w:p>
    <w:p>
      <w:pPr>
        <w:ind w:right="260" w:firstLine="637"/>
        <w:spacing w:after="0" w:line="257" w:lineRule="auto"/>
        <w:rPr>
          <w:sz w:val="20"/>
          <w:szCs w:val="20"/>
          <w:color w:val="auto"/>
        </w:rPr>
      </w:pPr>
      <w:r>
        <w:rPr>
          <w:rFonts w:ascii="Times New Roman" w:cs="Times New Roman" w:eastAsia="Times New Roman" w:hAnsi="Times New Roman"/>
          <w:sz w:val="18"/>
          <w:szCs w:val="18"/>
          <w:color w:val="auto"/>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 as well as larger production orders of single parts.</w:t>
      </w:r>
    </w:p>
    <w:p>
      <w:pPr>
        <w:spacing w:after="0" w:line="153" w:lineRule="exact"/>
        <w:rPr>
          <w:sz w:val="20"/>
          <w:szCs w:val="20"/>
          <w:color w:val="auto"/>
        </w:rPr>
      </w:pPr>
    </w:p>
    <w:p>
      <w:pPr>
        <w:ind w:right="60" w:firstLine="644"/>
        <w:spacing w:after="0" w:line="276" w:lineRule="auto"/>
        <w:rPr>
          <w:sz w:val="20"/>
          <w:szCs w:val="20"/>
          <w:color w:val="auto"/>
        </w:rPr>
      </w:pPr>
      <w:r>
        <w:rPr>
          <w:rFonts w:ascii="Times New Roman" w:cs="Times New Roman" w:eastAsia="Times New Roman" w:hAnsi="Times New Roman"/>
          <w:sz w:val="18"/>
          <w:szCs w:val="18"/>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57" w:lineRule="exact"/>
        <w:rPr>
          <w:sz w:val="20"/>
          <w:szCs w:val="20"/>
          <w:color w:val="auto"/>
        </w:rPr>
      </w:pPr>
    </w:p>
    <w:p>
      <w:pPr>
        <w:ind w:firstLine="637"/>
        <w:spacing w:after="0" w:line="257" w:lineRule="auto"/>
        <w:rPr>
          <w:sz w:val="20"/>
          <w:szCs w:val="20"/>
          <w:color w:val="auto"/>
        </w:rPr>
      </w:pPr>
      <w:r>
        <w:rPr>
          <w:rFonts w:ascii="Times New Roman" w:cs="Times New Roman" w:eastAsia="Times New Roman" w:hAnsi="Times New Roman"/>
          <w:sz w:val="18"/>
          <w:szCs w:val="18"/>
          <w:color w:val="auto"/>
        </w:rPr>
        <w:t>Our business benefits from a virtuous network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p>
    <w:p>
      <w:pPr>
        <w:spacing w:after="0" w:line="180" w:lineRule="exact"/>
        <w:rPr>
          <w:sz w:val="20"/>
          <w:szCs w:val="20"/>
          <w:color w:val="auto"/>
        </w:rPr>
      </w:pPr>
    </w:p>
    <w:p>
      <w:pPr>
        <w:ind w:right="100" w:firstLine="637"/>
        <w:spacing w:after="0" w:line="253" w:lineRule="auto"/>
        <w:rPr>
          <w:sz w:val="20"/>
          <w:szCs w:val="20"/>
          <w:color w:val="auto"/>
        </w:rPr>
      </w:pPr>
      <w:r>
        <w:rPr>
          <w:rFonts w:ascii="Times New Roman" w:cs="Times New Roman" w:eastAsia="Times New Roman" w:hAnsi="Times New Roman"/>
          <w:sz w:val="18"/>
          <w:szCs w:val="18"/>
          <w:color w:val="auto"/>
        </w:rPr>
        <w:t>We define “buyers” as individuals who have placed an order to purchase custom-manufactured, on-demand parts or assemblies on our marketplace. Our buyers include engineers, product designers, procurement and supply chain personnel, entrepreneurs, technicians and business owners from small businesses to Fortune 500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marketplace for a buyer or have utilized our supplier services, including our financial services or the purchase of tools and materials.</w:t>
      </w:r>
    </w:p>
    <w:p>
      <w:pPr>
        <w:spacing w:after="0" w:line="183" w:lineRule="exact"/>
        <w:rPr>
          <w:sz w:val="20"/>
          <w:szCs w:val="20"/>
          <w:color w:val="auto"/>
        </w:rPr>
      </w:pPr>
    </w:p>
    <w:p>
      <w:pPr>
        <w:ind w:firstLine="637"/>
        <w:spacing w:after="0" w:line="270" w:lineRule="auto"/>
        <w:rPr>
          <w:sz w:val="20"/>
          <w:szCs w:val="20"/>
          <w:color w:val="auto"/>
        </w:rPr>
      </w:pPr>
      <w:r>
        <w:rPr>
          <w:rFonts w:ascii="Times New Roman" w:cs="Times New Roman" w:eastAsia="Times New Roman" w:hAnsi="Times New Roman"/>
          <w:sz w:val="17"/>
          <w:szCs w:val="17"/>
          <w:color w:val="auto"/>
        </w:rPr>
        <w:t>The majority of our revenue is derived from the sale of part(s) and assemblies to our customers on our marketplace, which we refer to as marketplace revenue. The suppliers on our platform offer a diversified and expanding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93"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8"/>
          <w:szCs w:val="18"/>
          <w:color w:val="auto"/>
        </w:rPr>
        <w:t>buyers. We enable buyers to source these processes to meet complex and specific design and order needs across several industries, including Aerospace, Industrial, Medical Devices, Automotive, Consumer Goods, Defense, Government, Energy, Education and Robotics.</w:t>
      </w:r>
    </w:p>
    <w:p>
      <w:pPr>
        <w:spacing w:after="0" w:line="164" w:lineRule="exact"/>
        <w:rPr>
          <w:sz w:val="20"/>
          <w:szCs w:val="20"/>
          <w:color w:val="auto"/>
        </w:rPr>
      </w:pPr>
    </w:p>
    <w:p>
      <w:pPr>
        <w:ind w:right="20" w:firstLine="637"/>
        <w:spacing w:after="0" w:line="252"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utilization by providing access to an extensive, diverse base of buyers. We also offer suppliers supporting products and services to meet their unique needs. The Thomasnet product sourcing and supplier discovery platform provides access to in-depth profiles of 500,000 North American suppliers. Thomas’ suite of advertising services provides suppliers with tailored marketing campaigns to maximize their visibility and enhance engagement with potential buyers. Thomas’ in-house digital marketing agency, Thomas Marketing Services, offers a range of essential digital marketing services to generate leads and boost the awareness and reach of suppliers. In addition, our supplier services include financial service products to facilitate faster payments and a cloud-based manufacturing execution system (“Workcenter”) to help suppliers optimize their productivity.</w:t>
      </w:r>
    </w:p>
    <w:p>
      <w:pPr>
        <w:spacing w:after="0" w:line="18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fluctuations in inflation and interest rates, volatile market conditions, impacts from tariffs, the Russia-Ukraine war, conflict in the Middle East and other geopolitical tensions, have led to economic uncertainty globally. Historically, during periods of economic uncertainty and downturns, businesses may slow spending on information technology and manufacturing, which may impact our business and our customers’ businesses.</w:t>
      </w:r>
    </w:p>
    <w:p>
      <w:pPr>
        <w:spacing w:after="0" w:line="77" w:lineRule="exact"/>
        <w:rPr>
          <w:sz w:val="20"/>
          <w:szCs w:val="20"/>
          <w:color w:val="auto"/>
        </w:rPr>
      </w:pPr>
    </w:p>
    <w:p>
      <w:pPr>
        <w:ind w:right="20" w:firstLine="637"/>
        <w:spacing w:after="0" w:line="257" w:lineRule="auto"/>
        <w:rPr>
          <w:sz w:val="20"/>
          <w:szCs w:val="20"/>
          <w:color w:val="auto"/>
        </w:rPr>
      </w:pPr>
      <w:r>
        <w:rPr>
          <w:rFonts w:ascii="Times New Roman" w:cs="Times New Roman" w:eastAsia="Times New Roman" w:hAnsi="Times New Roman"/>
          <w:sz w:val="18"/>
          <w:szCs w:val="18"/>
          <w:color w:val="auto"/>
        </w:rPr>
        <w:t>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 in our Annual Report on Form 10-K for the year ended December 31, 2024.</w:t>
      </w:r>
    </w:p>
    <w:p>
      <w:pPr>
        <w:spacing w:after="0" w:line="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15" w:lineRule="exact"/>
        <w:rPr>
          <w:sz w:val="20"/>
          <w:szCs w:val="20"/>
          <w:color w:val="auto"/>
        </w:rPr>
      </w:pPr>
    </w:p>
    <w:p>
      <w:pPr>
        <w:ind w:right="20" w:firstLine="688"/>
        <w:spacing w:after="0" w:line="257" w:lineRule="auto"/>
        <w:rPr>
          <w:sz w:val="20"/>
          <w:szCs w:val="20"/>
          <w:color w:val="auto"/>
        </w:rPr>
      </w:pPr>
      <w:r>
        <w:rPr>
          <w:rFonts w:ascii="Times New Roman" w:cs="Times New Roman" w:eastAsia="Times New Roman" w:hAnsi="Times New Roman"/>
          <w:sz w:val="18"/>
          <w:szCs w:val="18"/>
          <w:color w:val="auto"/>
        </w:rPr>
        <w:t xml:space="preserve">In March 2025, we initiated restructuring actions to help improve efficiency and align resources by reducing our workforce by approximately 5%. The workforce reduction focused on realigning our staffing levels to help us meet the current and future objectives of our business. For the period ended March 31, 2025, we incurred $1.5 million for employee termination costs related to our restructuring. Refer to Note 9,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to of our consolidated financial statements included elsewhere in this Quarterly Report on Form 10-Q.</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Key Marketplace Operational and Business Metrics</w:t>
      </w:r>
    </w:p>
    <w:p>
      <w:pPr>
        <w:spacing w:after="0" w:line="221"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In addition to the measures presented in our condensed consolidated financial statements included elsewhere in this Quarterly Report on Form 10-Q, we use the following key operational and business metrics to help us evaluate our marketplace business, measure our performance, identify trends affecting our business, formulate business plans and develop forecasts, and make strategic decisions: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Buyers</w:t>
      </w:r>
    </w:p>
    <w:p>
      <w:pPr>
        <w:spacing w:after="0" w:line="117" w:lineRule="exact"/>
        <w:rPr>
          <w:sz w:val="20"/>
          <w:szCs w:val="20"/>
          <w:color w:val="auto"/>
        </w:rPr>
      </w:pPr>
    </w:p>
    <w:p>
      <w:pPr>
        <w:ind w:right="480" w:firstLine="637"/>
        <w:spacing w:after="0" w:line="276" w:lineRule="auto"/>
        <w:rPr>
          <w:sz w:val="20"/>
          <w:szCs w:val="20"/>
          <w:color w:val="auto"/>
        </w:rPr>
      </w:pPr>
      <w:r>
        <w:rPr>
          <w:rFonts w:ascii="Times New Roman" w:cs="Times New Roman" w:eastAsia="Times New Roman" w:hAnsi="Times New Roman"/>
          <w:sz w:val="18"/>
          <w:szCs w:val="18"/>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164" w:lineRule="exact"/>
        <w:rPr>
          <w:sz w:val="20"/>
          <w:szCs w:val="20"/>
          <w:color w:val="auto"/>
        </w:rPr>
      </w:pPr>
    </w:p>
    <w:p>
      <w:pPr>
        <w:jc w:val="both"/>
        <w:ind w:right="80" w:firstLine="644"/>
        <w:spacing w:after="0" w:line="261" w:lineRule="auto"/>
        <w:rPr>
          <w:sz w:val="20"/>
          <w:szCs w:val="20"/>
          <w:color w:val="auto"/>
        </w:rPr>
      </w:pPr>
      <w:r>
        <w:rPr>
          <w:rFonts w:ascii="Times New Roman" w:cs="Times New Roman" w:eastAsia="Times New Roman" w:hAnsi="Times New Roman"/>
          <w:sz w:val="18"/>
          <w:szCs w:val="18"/>
          <w:color w:val="auto"/>
        </w:rPr>
        <w:t>Active Buyers has consistently grown over time. The number of Active Buyers on our platform reached 71,454 as of March 31, 2025, up 22% from 58,504 as of March 31, 2024.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124460</wp:posOffset>
            </wp:positionV>
            <wp:extent cx="3639185" cy="41554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639185" cy="415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Revenue from Existing Accounts</w:t>
      </w:r>
    </w:p>
    <w:p>
      <w:pPr>
        <w:spacing w:after="0" w:line="117" w:lineRule="exact"/>
        <w:rPr>
          <w:sz w:val="20"/>
          <w:szCs w:val="20"/>
          <w:color w:val="auto"/>
        </w:rPr>
      </w:pPr>
    </w:p>
    <w:p>
      <w:pPr>
        <w:ind w:right="140" w:firstLine="637"/>
        <w:spacing w:after="0" w:line="253" w:lineRule="auto"/>
        <w:rPr>
          <w:sz w:val="20"/>
          <w:szCs w:val="20"/>
          <w:color w:val="auto"/>
        </w:rPr>
      </w:pPr>
      <w:r>
        <w:rPr>
          <w:rFonts w:ascii="Times New Roman" w:cs="Times New Roman" w:eastAsia="Times New Roman" w:hAnsi="Times New Roman"/>
          <w:sz w:val="18"/>
          <w:szCs w:val="18"/>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199" w:lineRule="exact"/>
        <w:rPr>
          <w:sz w:val="20"/>
          <w:szCs w:val="20"/>
          <w:color w:val="auto"/>
        </w:rPr>
      </w:pPr>
    </w:p>
    <w:p>
      <w:pPr>
        <w:ind w:right="300" w:firstLine="644"/>
        <w:spacing w:after="0" w:line="276" w:lineRule="auto"/>
        <w:rPr>
          <w:sz w:val="20"/>
          <w:szCs w:val="20"/>
          <w:color w:val="auto"/>
        </w:rPr>
      </w:pPr>
      <w:r>
        <w:rPr>
          <w:rFonts w:ascii="Times New Roman" w:cs="Times New Roman" w:eastAsia="Times New Roman" w:hAnsi="Times New Roman"/>
          <w:sz w:val="18"/>
          <w:szCs w:val="18"/>
          <w:color w:val="auto"/>
        </w:rPr>
        <w:t>For the quarter ended March 31, 2025, 98%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115570</wp:posOffset>
            </wp:positionV>
            <wp:extent cx="3647440" cy="41719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647440" cy="417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with Last Twelve-Month Spend of At Least $50,000</w:t>
      </w:r>
    </w:p>
    <w:p>
      <w:pPr>
        <w:spacing w:after="0" w:line="117" w:lineRule="exact"/>
        <w:rPr>
          <w:sz w:val="20"/>
          <w:szCs w:val="20"/>
          <w:color w:val="auto"/>
        </w:rPr>
      </w:pPr>
    </w:p>
    <w:p>
      <w:pPr>
        <w:ind w:firstLine="644"/>
        <w:spacing w:after="0" w:line="257" w:lineRule="auto"/>
        <w:rPr>
          <w:sz w:val="20"/>
          <w:szCs w:val="20"/>
          <w:color w:val="auto"/>
        </w:rPr>
      </w:pPr>
      <w:r>
        <w:rPr>
          <w:rFonts w:ascii="Times New Roman" w:cs="Times New Roman" w:eastAsia="Times New Roman" w:hAnsi="Times New Roman"/>
          <w:sz w:val="18"/>
          <w:szCs w:val="18"/>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1,545 as of March 31, 2025, up 12% from 1,381 as of March 31, 2024.</w:t>
      </w:r>
    </w:p>
    <w:p>
      <w:pPr>
        <w:spacing w:after="0" w:line="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761"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5593715" cy="42570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93715" cy="4257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17" w:lineRule="exact"/>
        <w:rPr>
          <w:sz w:val="20"/>
          <w:szCs w:val="20"/>
          <w:color w:val="auto"/>
        </w:rPr>
      </w:pPr>
    </w:p>
    <w:p>
      <w:pPr>
        <w:ind w:firstLine="637"/>
        <w:spacing w:after="0" w:line="252" w:lineRule="auto"/>
        <w:rPr>
          <w:sz w:val="20"/>
          <w:szCs w:val="20"/>
          <w:color w:val="auto"/>
        </w:rPr>
      </w:pPr>
      <w:r>
        <w:rPr>
          <w:rFonts w:ascii="Times New Roman" w:cs="Times New Roman" w:eastAsia="Times New Roman" w:hAnsi="Times New Roman"/>
          <w:sz w:val="18"/>
          <w:szCs w:val="18"/>
          <w:color w:val="auto"/>
        </w:rPr>
        <w:t>We define Adjusted EBITDA as net loss, adjusted for interest expense, interest and dividend income, other expenses, and certain other non-cash or non-recurring items impacting net loss from time to time, principally comprised of depreciation and amortization, amortization of lease intangible, stock-based compensation, payroll tax expense related to stock-based compensation, lease termination, charitable contributions of common stock, income from an unconsolidated joint venture, restructuring charges, and acquisition and other adjustments not reflective of our ongoing business, such as adjustments related to purchase accounting, the revaluation of contingent consideration, transaction costs and executive severance.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761"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3100" w:type="dxa"/>
            <w:vAlign w:val="bottom"/>
            <w:tcBorders>
              <w:bottom w:val="single" w:sz="8" w:color="auto"/>
            </w:tcBorders>
            <w:gridSpan w:val="4"/>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7380" w:type="dxa"/>
            <w:vAlign w:val="bottom"/>
          </w:tcPr>
          <w:p>
            <w:pPr>
              <w:spacing w:after="0"/>
              <w:rPr>
                <w:sz w:val="12"/>
                <w:szCs w:val="12"/>
                <w:color w:val="auto"/>
              </w:rPr>
            </w:pPr>
          </w:p>
        </w:tc>
        <w:tc>
          <w:tcPr>
            <w:tcW w:w="1080" w:type="dxa"/>
            <w:vAlign w:val="bottom"/>
            <w:tcBorders>
              <w:bottom w:val="single" w:sz="8" w:color="auto"/>
            </w:tcBorders>
          </w:tcPr>
          <w:p>
            <w:pPr>
              <w:jc w:val="right"/>
              <w:ind w:right="3"/>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FF0FC"/>
          </w:tcPr>
          <w:p>
            <w:pPr>
              <w:jc w:val="right"/>
              <w:ind w:right="92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(15,076)</w:t>
            </w:r>
          </w:p>
        </w:tc>
        <w:tc>
          <w:tcPr>
            <w:tcW w:w="1100" w:type="dxa"/>
            <w:vAlign w:val="bottom"/>
            <w:shd w:val="clear" w:color="auto" w:fill="CFF0FC"/>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(16,604)</w:t>
            </w:r>
          </w:p>
        </w:tc>
      </w:tr>
      <w:tr>
        <w:trPr>
          <w:trHeight w:val="21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interest and dividend income and other expenses</w:t>
            </w:r>
          </w:p>
        </w:tc>
        <w:tc>
          <w:tcPr>
            <w:tcW w:w="10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(1,156)</w:t>
            </w:r>
          </w:p>
        </w:tc>
      </w:tr>
      <w:tr>
        <w:trPr>
          <w:trHeight w:val="21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tcPr>
          <w:p>
            <w:pPr>
              <w:spacing w:after="0"/>
              <w:rPr>
                <w:sz w:val="18"/>
                <w:szCs w:val="18"/>
                <w:color w:val="auto"/>
              </w:rPr>
            </w:pPr>
          </w:p>
        </w:tc>
      </w:tr>
      <w:tr>
        <w:trPr>
          <w:trHeight w:val="21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lease intangible</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FF0FC"/>
          </w:tcPr>
          <w:p>
            <w:pPr>
              <w:spacing w:after="0"/>
              <w:rPr>
                <w:sz w:val="18"/>
                <w:szCs w:val="18"/>
                <w:color w:val="auto"/>
              </w:rPr>
            </w:pPr>
          </w:p>
        </w:tc>
      </w:tr>
      <w:tr>
        <w:trPr>
          <w:trHeight w:val="21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tcPr>
          <w:p>
            <w:pPr>
              <w:spacing w:after="0"/>
              <w:rPr>
                <w:sz w:val="18"/>
                <w:szCs w:val="18"/>
                <w:color w:val="auto"/>
              </w:rPr>
            </w:pPr>
          </w:p>
        </w:tc>
      </w:tr>
      <w:tr>
        <w:trPr>
          <w:trHeight w:val="213"/>
        </w:trPr>
        <w:tc>
          <w:tcPr>
            <w:tcW w:w="738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8"/>
                <w:szCs w:val="18"/>
                <w:color w:val="auto"/>
              </w:rPr>
              <w:t>Payroll tax expense related to stock-based compensation</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10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and other</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FF0FC"/>
          </w:tcPr>
          <w:p>
            <w:pPr>
              <w:spacing w:after="0"/>
              <w:rPr>
                <w:sz w:val="18"/>
                <w:szCs w:val="18"/>
                <w:color w:val="auto"/>
              </w:rPr>
            </w:pPr>
          </w:p>
        </w:tc>
      </w:tr>
      <w:tr>
        <w:trPr>
          <w:trHeight w:val="21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Charitable contribution of common stock</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r>
      <w:tr>
        <w:trPr>
          <w:trHeight w:val="21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10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1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3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tcBorders>
              <w:top w:val="single" w:sz="8" w:color="auto"/>
              <w:bottom w:val="single" w:sz="8" w:color="auto"/>
            </w:tcBorders>
            <w:shd w:val="clear" w:color="auto" w:fill="CFF0FC"/>
          </w:tcPr>
          <w:p>
            <w:pPr>
              <w:jc w:val="right"/>
              <w:ind w:right="92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5784215</wp:posOffset>
            </wp:positionH>
            <wp:positionV relativeFrom="paragraph">
              <wp:posOffset>-24765</wp:posOffset>
            </wp:positionV>
            <wp:extent cx="679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-7620</wp:posOffset>
            </wp:positionV>
            <wp:extent cx="679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-168910</wp:posOffset>
            </wp:positionV>
            <wp:extent cx="679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9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9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-168910</wp:posOffset>
            </wp:positionV>
            <wp:extent cx="679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83" w:lineRule="exact"/>
        <w:rPr>
          <w:sz w:val="20"/>
          <w:szCs w:val="20"/>
          <w:color w:val="auto"/>
        </w:rPr>
      </w:pPr>
    </w:p>
    <w:p>
      <w:pPr>
        <w:ind w:firstLine="7"/>
        <w:spacing w:after="0" w:line="255" w:lineRule="auto"/>
        <w:tabs>
          <w:tab w:leader="none" w:pos="214"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second quarter of 2024, we changed the definition of Adjusted EBITDA to exclude payroll tax expense related to stock-based compensation. For prior periods, this amount was considered de minimis and, accordingly, we have not adjusted the Adjusted EBITDA amounts for such periods.</w:t>
      </w:r>
    </w:p>
    <w:p>
      <w:pPr>
        <w:spacing w:after="0" w:line="59"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Adjusted EBITDA was $0.1 million, as compared to Adjusted EBITDA loss of $(7.5) million for the same quarter in 2024. For the quarter ended March 31, 2025, Adjusted EBITDA Margin was 0.1% of revenue, as compared to (6.1)% of revenue for the same quarter in 2024, driven primarily by increased operating efficiencies as we continue to grow our revenue and margins faster than our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(Loss)</w:t>
      </w:r>
    </w:p>
    <w:p>
      <w:pPr>
        <w:spacing w:after="0" w:line="117" w:lineRule="exact"/>
        <w:rPr>
          <w:sz w:val="20"/>
          <w:szCs w:val="20"/>
          <w:color w:val="auto"/>
        </w:rPr>
      </w:pPr>
    </w:p>
    <w:p>
      <w:pPr>
        <w:ind w:right="340" w:firstLine="688"/>
        <w:spacing w:after="0" w:line="252" w:lineRule="auto"/>
        <w:rPr>
          <w:sz w:val="20"/>
          <w:szCs w:val="20"/>
          <w:color w:val="auto"/>
        </w:rPr>
      </w:pPr>
      <w:r>
        <w:rPr>
          <w:rFonts w:ascii="Times New Roman" w:cs="Times New Roman" w:eastAsia="Times New Roman" w:hAnsi="Times New Roman"/>
          <w:sz w:val="18"/>
          <w:szCs w:val="18"/>
          <w:color w:val="auto"/>
        </w:rPr>
        <w:t>We define Non-GAAP net income (loss), as net loss adjusted for depreciation and amortization, stock-based compensation, payroll tax expense related to stock-based compensation, amortization of lease intangible, amortization of deferred costs on convertible notes, charitable contributions of common stock, lease termination, restructuring charges and acquisition and other adjustments not reflective of our ongoing business, such as adjustments related to purchase accounting, the revaluation of contingent consideration, transaction costs and executive severance.</w:t>
      </w:r>
    </w:p>
    <w:tbl>
      <w:tblPr>
        <w:tblLayout w:type="fixed"/>
        <w:tblInd w:w="0" w:type="dxa"/>
        <w:tblCellMar>
          <w:top w:w="0" w:type="dxa"/>
          <w:left w:w="0" w:type="dxa"/>
          <w:bottom w:w="0" w:type="dxa"/>
          <w:right w:w="0" w:type="dxa"/>
        </w:tblCellMar>
      </w:tblPr>
      <w:tr>
        <w:trPr>
          <w:trHeight w:val="195"/>
        </w:trPr>
        <w:tc>
          <w:tcPr>
            <w:tcW w:w="2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980" w:type="dxa"/>
            <w:vAlign w:val="bottom"/>
            <w:gridSpan w:val="4"/>
          </w:tcPr>
          <w:p>
            <w:pPr>
              <w:jc w:val="right"/>
              <w:ind w:right="255"/>
              <w:spacing w:after="0" w:line="195" w:lineRule="exact"/>
              <w:rPr>
                <w:sz w:val="20"/>
                <w:szCs w:val="20"/>
                <w:color w:val="auto"/>
              </w:rPr>
            </w:pPr>
            <w:r>
              <w:rPr>
                <w:rFonts w:ascii="Times New Roman" w:cs="Times New Roman" w:eastAsia="Times New Roman" w:hAnsi="Times New Roman"/>
                <w:sz w:val="18"/>
                <w:szCs w:val="18"/>
                <w:b w:val="1"/>
                <w:bCs w:val="1"/>
                <w:color w:val="auto"/>
              </w:rPr>
              <w:t>For the Three Months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268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840" w:type="dxa"/>
            <w:vAlign w:val="bottom"/>
            <w:gridSpan w:val="2"/>
            <w:vMerge w:val="continue"/>
          </w:tcPr>
          <w:p>
            <w:pPr>
              <w:spacing w:after="0"/>
              <w:rPr>
                <w:sz w:val="14"/>
                <w:szCs w:val="14"/>
                <w:color w:val="auto"/>
              </w:rPr>
            </w:pPr>
          </w:p>
        </w:tc>
        <w:tc>
          <w:tcPr>
            <w:tcW w:w="2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80" w:type="dxa"/>
            <w:vAlign w:val="bottom"/>
            <w:shd w:val="clear" w:color="auto" w:fill="CFF0FC"/>
          </w:tcPr>
          <w:p>
            <w:pPr>
              <w:spacing w:after="0"/>
              <w:rPr>
                <w:sz w:val="20"/>
                <w:szCs w:val="20"/>
                <w:color w:val="auto"/>
              </w:rPr>
            </w:pPr>
          </w:p>
        </w:tc>
        <w:tc>
          <w:tcPr>
            <w:tcW w:w="3740" w:type="dxa"/>
            <w:vAlign w:val="bottom"/>
            <w:gridSpan w:val="2"/>
            <w:shd w:val="clear" w:color="auto" w:fill="CFF0FC"/>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(15,076)</w:t>
            </w:r>
          </w:p>
        </w:tc>
        <w:tc>
          <w:tcPr>
            <w:tcW w:w="1080" w:type="dxa"/>
            <w:vAlign w:val="bottom"/>
            <w:shd w:val="clear" w:color="auto" w:fill="CFF0FC"/>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(16,604)</w:t>
            </w:r>
          </w:p>
        </w:tc>
        <w:tc>
          <w:tcPr>
            <w:tcW w:w="0" w:type="dxa"/>
            <w:vAlign w:val="bottom"/>
          </w:tcPr>
          <w:p>
            <w:pPr>
              <w:spacing w:after="0"/>
              <w:rPr>
                <w:sz w:val="1"/>
                <w:szCs w:val="1"/>
                <w:color w:val="auto"/>
              </w:rPr>
            </w:pPr>
          </w:p>
        </w:tc>
      </w:tr>
      <w:tr>
        <w:trPr>
          <w:trHeight w:val="21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(deduct):</w:t>
            </w:r>
          </w:p>
        </w:tc>
        <w:tc>
          <w:tcPr>
            <w:tcW w:w="2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gridSpan w:val="2"/>
            <w:shd w:val="clear" w:color="auto" w:fill="CFF0FC"/>
          </w:tcPr>
          <w:p>
            <w:pPr>
              <w:spacing w:after="0" w:line="213" w:lineRule="exact"/>
              <w:rPr>
                <w:sz w:val="20"/>
                <w:szCs w:val="20"/>
                <w:color w:val="auto"/>
              </w:rPr>
            </w:pPr>
            <w:r>
              <w:rPr>
                <w:rFonts w:ascii="Times New Roman" w:cs="Times New Roman" w:eastAsia="Times New Roman" w:hAnsi="Times New Roman"/>
                <w:sz w:val="18"/>
                <w:szCs w:val="18"/>
                <w:color w:val="auto"/>
              </w:rPr>
              <w:t>Payroll tax expense related to stock-based compensation</w:t>
            </w:r>
            <w:r>
              <w:rPr>
                <w:rFonts w:ascii="Times New Roman" w:cs="Times New Roman" w:eastAsia="Times New Roman" w:hAnsi="Times New Roman"/>
                <w:sz w:val="23"/>
                <w:szCs w:val="23"/>
                <w:color w:val="auto"/>
                <w:vertAlign w:val="superscript"/>
              </w:rPr>
              <w:t>(1)</w:t>
            </w:r>
          </w:p>
        </w:tc>
        <w:tc>
          <w:tcPr>
            <w:tcW w:w="2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lease intangible</w:t>
            </w:r>
          </w:p>
        </w:tc>
        <w:tc>
          <w:tcPr>
            <w:tcW w:w="2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costs on convertible notes</w:t>
            </w:r>
          </w:p>
        </w:tc>
        <w:tc>
          <w:tcPr>
            <w:tcW w:w="2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and other</w:t>
            </w:r>
          </w:p>
        </w:tc>
        <w:tc>
          <w:tcPr>
            <w:tcW w:w="2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Charitable contribution of common stock</w:t>
            </w:r>
          </w:p>
        </w:tc>
        <w:tc>
          <w:tcPr>
            <w:tcW w:w="2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2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268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80" w:type="dxa"/>
            <w:vAlign w:val="bottom"/>
            <w:vMerge w:val="restart"/>
          </w:tcPr>
          <w:p>
            <w:pPr>
              <w:jc w:val="right"/>
              <w:ind w:right="1711"/>
              <w:spacing w:after="0"/>
              <w:rPr>
                <w:sz w:val="20"/>
                <w:szCs w:val="20"/>
                <w:color w:val="auto"/>
              </w:rPr>
            </w:pPr>
            <w:r>
              <w:rPr>
                <w:rFonts w:ascii="Times New Roman" w:cs="Times New Roman" w:eastAsia="Times New Roman" w:hAnsi="Times New Roman"/>
                <w:sz w:val="18"/>
                <w:szCs w:val="18"/>
                <w:color w:val="auto"/>
              </w:rPr>
              <w:t>26</w:t>
            </w: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23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307" w:lineRule="exact"/>
        <w:rPr>
          <w:sz w:val="20"/>
          <w:szCs w:val="20"/>
          <w:color w:val="auto"/>
        </w:rPr>
      </w:pPr>
    </w:p>
    <w:p>
      <w:pPr>
        <w:ind w:firstLine="7"/>
        <w:spacing w:after="0" w:line="255" w:lineRule="auto"/>
        <w:tabs>
          <w:tab w:leader="none" w:pos="214"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second quarter of 2024, we changed the definition of Non-GAAP Net Income (Loss) to exclude payroll tax expense related to stock-based compensation. For prior periods, this amount was considered de minimis and, accordingly, we have not adjusted the Non-GAAP Net Income (Loss) amounts for such periods.</w:t>
      </w:r>
    </w:p>
    <w:p>
      <w:pPr>
        <w:spacing w:after="0" w:line="165"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Non-GAAP net income was $0.8 million, as compared to Non-GAAP net loss of $(5.7) million for the same quarter in 2024. For the quarter ended March 31, 2025, Non-GAAP net income (loss) was 0.6% of revenue, as compared to (4.7)% of revenue for the same quarter in 2024.</w:t>
      </w:r>
    </w:p>
    <w:p>
      <w:pPr>
        <w:spacing w:after="0" w:line="178"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Adjusted EBITDA and Non-GAAP net income (loss) are non-GAAP financial measures that we use, in addition to our GAAP financial measures, to evaluate our business. We have included Adjusted EBITDA and Non-GAAP net income (loss) in this filing because they are key measures used by our management to evaluate our operating performance. Accordingly, we believe that Adjusted EBITDA and Non-GAAP net income (loss) provide useful information to investors and others in understanding and evaluating our operating results in the same manner as our management team and board of directors. Our calculation of Adjusted EBITDA and Non-GAAP net income (loss) may differ from similarly titled non-GAAP measures, if any, reported by our peer companies and therefore may not serve as an accurate basis of comparison among companies. Adjusted EBITDA and Non-GAAP net income (loss) should not be considered in isolation from, or as a substitute for, financial information prepared in accordance with GAAP.</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7" w:lineRule="exact"/>
        <w:rPr>
          <w:sz w:val="20"/>
          <w:szCs w:val="20"/>
          <w:color w:val="auto"/>
        </w:rPr>
      </w:pPr>
    </w:p>
    <w:p>
      <w:pPr>
        <w:ind w:right="100" w:firstLine="637"/>
        <w:spacing w:after="0" w:line="257" w:lineRule="auto"/>
        <w:rPr>
          <w:sz w:val="20"/>
          <w:szCs w:val="20"/>
          <w:color w:val="auto"/>
        </w:rPr>
      </w:pPr>
      <w:r>
        <w:rPr>
          <w:rFonts w:ascii="Times New Roman" w:cs="Times New Roman" w:eastAsia="Times New Roman" w:hAnsi="Times New Roman"/>
          <w:sz w:val="18"/>
          <w:szCs w:val="18"/>
          <w:color w:val="auto"/>
        </w:rPr>
        <w:t>Our marketplace revenue is primarily comprised of sales of parts and assemblies to customers through our platform. Buyers purchase specialized CNC manufacturing, sheet metal manufacturing, 3D printing, injection molding, urethane casting, tube cutting, tube bending and finishing services. Customer purchases range from rapid prototyping of single parts to high-volume production on our marketplace. These products are primarily manufactured by our network of suppliers.</w:t>
      </w:r>
    </w:p>
    <w:p>
      <w:pPr>
        <w:spacing w:after="0" w:line="73" w:lineRule="exact"/>
        <w:rPr>
          <w:sz w:val="20"/>
          <w:szCs w:val="20"/>
          <w:color w:val="auto"/>
        </w:rPr>
      </w:pPr>
    </w:p>
    <w:p>
      <w:pPr>
        <w:ind w:right="220" w:firstLine="637"/>
        <w:spacing w:after="0" w:line="276" w:lineRule="auto"/>
        <w:rPr>
          <w:sz w:val="20"/>
          <w:szCs w:val="20"/>
          <w:color w:val="auto"/>
        </w:rPr>
      </w:pPr>
      <w:r>
        <w:rPr>
          <w:rFonts w:ascii="Times New Roman" w:cs="Times New Roman" w:eastAsia="Times New Roman" w:hAnsi="Times New Roman"/>
          <w:sz w:val="18"/>
          <w:szCs w:val="18"/>
          <w:color w:val="auto"/>
        </w:rPr>
        <w:t>Supplier services revenue includes the sale of marketing and advertising services, and to a lesser extent financial service products and SaaS-based solutions.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7" w:lineRule="exact"/>
        <w:rPr>
          <w:sz w:val="20"/>
          <w:szCs w:val="20"/>
          <w:color w:val="auto"/>
        </w:rPr>
      </w:pPr>
    </w:p>
    <w:p>
      <w:pPr>
        <w:ind w:right="20" w:firstLine="637"/>
        <w:spacing w:after="0" w:line="257" w:lineRule="auto"/>
        <w:rPr>
          <w:sz w:val="20"/>
          <w:szCs w:val="20"/>
          <w:color w:val="auto"/>
        </w:rPr>
      </w:pPr>
      <w:r>
        <w:rPr>
          <w:rFonts w:ascii="Times New Roman" w:cs="Times New Roman" w:eastAsia="Times New Roman" w:hAnsi="Times New Roman"/>
          <w:sz w:val="18"/>
          <w:szCs w:val="18"/>
          <w:color w:val="auto"/>
        </w:rPr>
        <w:t>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we expect cost of revenue to decline as a percentage of revenue over time.</w:t>
      </w:r>
    </w:p>
    <w:p>
      <w:pPr>
        <w:spacing w:after="0" w:line="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Cost of revenue for supplier services primarily consists of internal and external production costs and website hosting.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17" w:lineRule="exact"/>
        <w:rPr>
          <w:sz w:val="20"/>
          <w:szCs w:val="20"/>
          <w:color w:val="auto"/>
        </w:rPr>
      </w:pPr>
    </w:p>
    <w:p>
      <w:pPr>
        <w:ind w:right="20" w:firstLine="637"/>
        <w:spacing w:after="0" w:line="261" w:lineRule="auto"/>
        <w:rPr>
          <w:sz w:val="20"/>
          <w:szCs w:val="20"/>
          <w:color w:val="auto"/>
        </w:rPr>
      </w:pPr>
      <w:r>
        <w:rPr>
          <w:rFonts w:ascii="Times New Roman" w:cs="Times New Roman" w:eastAsia="Times New Roman" w:hAnsi="Times New Roman"/>
          <w:sz w:val="18"/>
          <w:szCs w:val="18"/>
          <w:color w:val="auto"/>
        </w:rPr>
        <w:t>Gross profit, or revenue less cost of revenue, is primarily affected by the growth of our revenue. Our gross profit margin is primarily affected by liquidity of our suppliers’ network and the efficiency of our pricing and will be benefited by increasing the use of existing supplier services and the variety of supplier services offerings over time.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right="440" w:firstLine="637"/>
        <w:spacing w:after="0" w:line="276" w:lineRule="auto"/>
        <w:rPr>
          <w:sz w:val="20"/>
          <w:szCs w:val="20"/>
          <w:color w:val="auto"/>
        </w:rPr>
      </w:pPr>
      <w:r>
        <w:rPr>
          <w:rFonts w:ascii="Times New Roman" w:cs="Times New Roman" w:eastAsia="Times New Roman" w:hAnsi="Times New Roman"/>
          <w:sz w:val="18"/>
          <w:szCs w:val="18"/>
          <w:color w:val="auto"/>
        </w:rPr>
        <w:t>Our operating expenses consist of sales and marketing, operations and support, product development, general and administrative functions and impairment of assets.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17" w:lineRule="exact"/>
        <w:rPr>
          <w:sz w:val="20"/>
          <w:szCs w:val="20"/>
          <w:color w:val="auto"/>
        </w:rPr>
      </w:pPr>
    </w:p>
    <w:p>
      <w:pPr>
        <w:ind w:right="20" w:firstLine="637"/>
        <w:spacing w:after="0" w:line="253"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the costs of our digital marketing strategies, branding costs and other advertising costs, certain depreciation and amortization expense, contract acquisition costs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near-term sales and marketing expenses may fluctuate from period-to-period based on the timing of our investments in our sales and marketing functions as these investments may vary in scope and scale over future periods.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17" w:lineRule="exact"/>
        <w:rPr>
          <w:sz w:val="20"/>
          <w:szCs w:val="20"/>
          <w:color w:val="auto"/>
        </w:rPr>
      </w:pPr>
    </w:p>
    <w:p>
      <w:pPr>
        <w:ind w:right="40" w:firstLine="637"/>
        <w:spacing w:after="0" w:line="257" w:lineRule="auto"/>
        <w:rPr>
          <w:sz w:val="20"/>
          <w:szCs w:val="20"/>
          <w:color w:val="auto"/>
        </w:rPr>
      </w:pPr>
      <w:r>
        <w:rPr>
          <w:rFonts w:ascii="Times New Roman" w:cs="Times New Roman" w:eastAsia="Times New Roman" w:hAnsi="Times New Roman"/>
          <w:sz w:val="18"/>
          <w:szCs w:val="18"/>
          <w:color w:val="auto"/>
        </w:rPr>
        <w:t>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restructuring charges, certain depreciation and amortization expense and software costs used in delivering buyer and suppliers services. We expect operations and support expense to</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93"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7"/>
          <w:szCs w:val="17"/>
          <w:color w:val="auto"/>
        </w:rPr>
        <w:t>increase in absolute dollars in the future, though in the near-term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17" w:lineRule="exact"/>
        <w:rPr>
          <w:sz w:val="20"/>
          <w:szCs w:val="20"/>
          <w:color w:val="auto"/>
        </w:rPr>
      </w:pPr>
    </w:p>
    <w:p>
      <w:pPr>
        <w:ind w:right="120" w:firstLine="637"/>
        <w:spacing w:after="0" w:line="254" w:lineRule="auto"/>
        <w:rPr>
          <w:sz w:val="20"/>
          <w:szCs w:val="20"/>
          <w:color w:val="auto"/>
        </w:rPr>
      </w:pPr>
      <w:r>
        <w:rPr>
          <w:rFonts w:ascii="Times New Roman" w:cs="Times New Roman" w:eastAsia="Times New Roman" w:hAnsi="Times New Roman"/>
          <w:sz w:val="18"/>
          <w:szCs w:val="18"/>
          <w:color w:val="auto"/>
        </w:rPr>
        <w:t>Product development costs that are not eligible for capitalization are expensed as incurred. This account also includes compensation expenses, including stock-based compensation expenses to our employees performing these functions, restructuring charges and certain depreciation and amortization expense. We expect product development expense to increase in absolute dollars in the future, though in the near-term product development expenses may fluctuate from period-to-period based on total revenue levels and the timing of our investments in our product development functions as these investments may vary in scope and scale over future periods.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17" w:lineRule="exact"/>
        <w:rPr>
          <w:sz w:val="20"/>
          <w:szCs w:val="20"/>
          <w:color w:val="auto"/>
        </w:rPr>
      </w:pPr>
    </w:p>
    <w:p>
      <w:pPr>
        <w:jc w:val="both"/>
        <w:ind w:right="360" w:firstLine="637"/>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compensation expenses, including stock-based compensation expenses, for executive, finance, legal and other administrative personnel, professional service fees, restructuring charges and certain depreciation and amortization expense. We expect general and administrative expenses to fluctuate as a result of operating as a public company.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expense consists of interest incurred on our outstanding borrowings under our outstanding convertible notes or other borrowings.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and dividend income consists of interest and dividends on our cash, cash equivalents and marketable securities.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expenses consist primarily of realized foreign exchange gains and/or losses and other expenses.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Unconsolidated Joint Venture</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from unconsolidated joint venture consists of our share of the joint venture's income.</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2025 and 2024</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tcBorders>
              <w:bottom w:val="single" w:sz="8" w:color="auto"/>
            </w:tcBorders>
            <w:gridSpan w:val="6"/>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gridSpan w:val="2"/>
          </w:tcPr>
          <w:p>
            <w:pPr>
              <w:jc w:val="right"/>
              <w:ind w:right="51"/>
              <w:spacing w:after="0" w:line="140" w:lineRule="exact"/>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589"/>
              <w:spacing w:after="0" w:line="140"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060" w:type="dxa"/>
            <w:vAlign w:val="bottom"/>
            <w:gridSpan w:val="3"/>
            <w:shd w:val="clear" w:color="auto" w:fill="CFF0FC"/>
          </w:tcPr>
          <w:p>
            <w:pPr>
              <w:jc w:val="right"/>
              <w:ind w:right="74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150,971</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78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122,690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94,640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56,331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47,902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Operations and support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Product development</w:t>
            </w:r>
          </w:p>
        </w:tc>
        <w:tc>
          <w:tcPr>
            <w:tcW w:w="2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14,922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9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71,722</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65,759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2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2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income</w:t>
            </w:r>
          </w:p>
        </w:tc>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(15,076)</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Benefit for income taxes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(15,076)</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140" w:type="dxa"/>
            <w:vAlign w:val="bottom"/>
            <w:gridSpan w:val="2"/>
            <w:shd w:val="clear" w:color="auto" w:fill="CFF0FC"/>
          </w:tcPr>
          <w:p>
            <w:pPr>
              <w:spacing w:after="0"/>
              <w:rPr>
                <w:sz w:val="19"/>
                <w:szCs w:val="19"/>
                <w:color w:val="auto"/>
              </w:rPr>
            </w:pPr>
          </w:p>
        </w:tc>
        <w:tc>
          <w:tcPr>
            <w:tcW w:w="920" w:type="dxa"/>
            <w:vAlign w:val="bottom"/>
            <w:shd w:val="clear" w:color="auto" w:fill="CFF0FC"/>
          </w:tcPr>
          <w:p>
            <w:pPr>
              <w:jc w:val="right"/>
              <w:ind w:right="74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100" w:type="dxa"/>
            <w:vAlign w:val="bottom"/>
            <w:gridSpan w:val="2"/>
            <w:shd w:val="clear" w:color="auto" w:fill="CFF0FC"/>
          </w:tcPr>
          <w:p>
            <w:pPr>
              <w:jc w:val="right"/>
              <w:ind w:right="78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FF0FC"/>
            </w:tcBorders>
            <w:shd w:val="clear" w:color="auto" w:fill="CFF0FC"/>
          </w:tcPr>
          <w:p>
            <w:pPr>
              <w:spacing w:after="0" w:line="20" w:lineRule="exact"/>
              <w:rPr>
                <w:sz w:val="1"/>
                <w:szCs w:val="1"/>
                <w:color w:val="auto"/>
              </w:rPr>
            </w:pPr>
          </w:p>
        </w:tc>
        <w:tc>
          <w:tcPr>
            <w:tcW w:w="2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1220" w:type="dxa"/>
            <w:vAlign w:val="bottom"/>
            <w:gridSpan w:val="12"/>
          </w:tcPr>
          <w:p>
            <w:pPr>
              <w:jc w:val="right"/>
              <w:ind w:right="500"/>
              <w:spacing w:after="0" w:line="169" w:lineRule="exact"/>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expressed as a percentage of total revenue for the periods indicated: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165"/>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89"/>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45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9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Operations and support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Product development</w:t>
            </w:r>
          </w:p>
        </w:tc>
        <w:tc>
          <w:tcPr>
            <w:tcW w:w="2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580" w:type="dxa"/>
            <w:vAlign w:val="bottom"/>
            <w:vMerge w:val="continue"/>
            <w:shd w:val="clear" w:color="auto" w:fill="CFF0FC"/>
          </w:tcPr>
          <w:p>
            <w:pPr>
              <w:spacing w:after="0"/>
              <w:rPr>
                <w:sz w:val="17"/>
                <w:szCs w:val="17"/>
                <w:color w:val="auto"/>
              </w:rPr>
            </w:pPr>
          </w:p>
        </w:tc>
        <w:tc>
          <w:tcPr>
            <w:tcW w:w="2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80" w:type="dxa"/>
            <w:vAlign w:val="bottom"/>
            <w:shd w:val="clear" w:color="auto" w:fill="CFF0FC"/>
          </w:tcPr>
          <w:p>
            <w:pPr>
              <w:spacing w:after="0" w:line="20" w:lineRule="exact"/>
              <w:rPr>
                <w:sz w:val="1"/>
                <w:szCs w:val="1"/>
                <w:color w:val="auto"/>
              </w:rPr>
            </w:pPr>
          </w:p>
        </w:tc>
        <w:tc>
          <w:tcPr>
            <w:tcW w:w="2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2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2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FF0FC"/>
          </w:tcPr>
          <w:p>
            <w:pPr>
              <w:spacing w:after="0" w:line="20" w:lineRule="exact"/>
              <w:rPr>
                <w:sz w:val="1"/>
                <w:szCs w:val="1"/>
                <w:color w:val="auto"/>
              </w:rPr>
            </w:pPr>
          </w:p>
        </w:tc>
        <w:tc>
          <w:tcPr>
            <w:tcW w:w="2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income</w:t>
            </w:r>
          </w:p>
        </w:tc>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Benefit for income taxes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3"/>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3"/>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vMerge w:val="continue"/>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514"/>
        </w:trPr>
        <w:tc>
          <w:tcPr>
            <w:tcW w:w="20" w:type="dxa"/>
            <w:vAlign w:val="bottom"/>
          </w:tcPr>
          <w:p>
            <w:pPr>
              <w:spacing w:after="0"/>
              <w:rPr>
                <w:sz w:val="24"/>
                <w:szCs w:val="24"/>
                <w:color w:val="auto"/>
              </w:rPr>
            </w:pPr>
          </w:p>
        </w:tc>
        <w:tc>
          <w:tcPr>
            <w:tcW w:w="4580" w:type="dxa"/>
            <w:vAlign w:val="bottom"/>
            <w:tcBorders>
              <w:top w:val="single" w:sz="8" w:color="CFF0FC"/>
            </w:tcBorders>
          </w:tcPr>
          <w:p>
            <w:pPr>
              <w:spacing w:after="0"/>
              <w:rPr>
                <w:sz w:val="24"/>
                <w:szCs w:val="24"/>
                <w:color w:val="auto"/>
              </w:rPr>
            </w:pPr>
          </w:p>
        </w:tc>
        <w:tc>
          <w:tcPr>
            <w:tcW w:w="2900" w:type="dxa"/>
            <w:vAlign w:val="bottom"/>
            <w:tcBorders>
              <w:top w:val="single" w:sz="8" w:color="CFF0FC"/>
            </w:tcBorders>
          </w:tcPr>
          <w:p>
            <w:pPr>
              <w:jc w:val="right"/>
              <w:ind w:right="1691"/>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20" w:type="dxa"/>
            <w:vAlign w:val="bottom"/>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-6045835</wp:posOffset>
            </wp:positionV>
            <wp:extent cx="93345" cy="1778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3345" cy="177800"/>
                    </a:xfrm>
                    <a:prstGeom prst="rect">
                      <a:avLst/>
                    </a:prstGeom>
                    <a:noFill/>
                  </pic:spPr>
                </pic:pic>
              </a:graphicData>
            </a:graphic>
          </wp:anchor>
        </w:drawing>
        <w:drawing>
          <wp:anchor simplePos="0" relativeHeight="251657728" behindDoc="1" locked="0" layoutInCell="0" allowOverlap="1">
            <wp:simplePos x="0" y="0"/>
            <wp:positionH relativeFrom="column">
              <wp:posOffset>7058025</wp:posOffset>
            </wp:positionH>
            <wp:positionV relativeFrom="paragraph">
              <wp:posOffset>-6045835</wp:posOffset>
            </wp:positionV>
            <wp:extent cx="93345" cy="1778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3345" cy="17780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-5068570</wp:posOffset>
            </wp:positionV>
            <wp:extent cx="679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-5068570</wp:posOffset>
            </wp:positionV>
            <wp:extent cx="679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-4222115</wp:posOffset>
            </wp:positionV>
            <wp:extent cx="679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-4205605</wp:posOffset>
            </wp:positionV>
            <wp:extent cx="679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-4222115</wp:posOffset>
            </wp:positionV>
            <wp:extent cx="679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-4205605</wp:posOffset>
            </wp:positionV>
            <wp:extent cx="679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5767070</wp:posOffset>
            </wp:positionH>
            <wp:positionV relativeFrom="paragraph">
              <wp:posOffset>-3350895</wp:posOffset>
            </wp:positionV>
            <wp:extent cx="1441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6994525</wp:posOffset>
            </wp:positionH>
            <wp:positionV relativeFrom="paragraph">
              <wp:posOffset>-3350895</wp:posOffset>
            </wp:positionV>
            <wp:extent cx="1441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5754370</wp:posOffset>
            </wp:positionH>
            <wp:positionV relativeFrom="paragraph">
              <wp:posOffset>-2677795</wp:posOffset>
            </wp:positionV>
            <wp:extent cx="169545" cy="1778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69545" cy="177800"/>
                    </a:xfrm>
                    <a:prstGeom prst="rect">
                      <a:avLst/>
                    </a:prstGeom>
                    <a:noFill/>
                  </pic:spPr>
                </pic:pic>
              </a:graphicData>
            </a:graphic>
          </wp:anchor>
        </w:drawing>
        <w:drawing>
          <wp:anchor simplePos="0" relativeHeight="251657728" behindDoc="1" locked="0" layoutInCell="0" allowOverlap="1">
            <wp:simplePos x="0" y="0"/>
            <wp:positionH relativeFrom="column">
              <wp:posOffset>6981825</wp:posOffset>
            </wp:positionH>
            <wp:positionV relativeFrom="paragraph">
              <wp:posOffset>-2677795</wp:posOffset>
            </wp:positionV>
            <wp:extent cx="169545" cy="1778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69545" cy="177800"/>
                    </a:xfrm>
                    <a:prstGeom prst="rect">
                      <a:avLst/>
                    </a:prstGeom>
                    <a:noFill/>
                  </pic:spPr>
                </pic:pic>
              </a:graphicData>
            </a:graphic>
          </wp:anchor>
        </w:drawing>
        <w:drawing>
          <wp:anchor simplePos="0" relativeHeight="251657728" behindDoc="1" locked="0" layoutInCell="0" allowOverlap="1">
            <wp:simplePos x="0" y="0"/>
            <wp:positionH relativeFrom="column">
              <wp:posOffset>5767070</wp:posOffset>
            </wp:positionH>
            <wp:positionV relativeFrom="paragraph">
              <wp:posOffset>-1700530</wp:posOffset>
            </wp:positionV>
            <wp:extent cx="14414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6994525</wp:posOffset>
            </wp:positionH>
            <wp:positionV relativeFrom="paragraph">
              <wp:posOffset>-1700530</wp:posOffset>
            </wp:positionV>
            <wp:extent cx="14414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5767070</wp:posOffset>
            </wp:positionH>
            <wp:positionV relativeFrom="paragraph">
              <wp:posOffset>-854075</wp:posOffset>
            </wp:positionV>
            <wp:extent cx="14414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5767070</wp:posOffset>
            </wp:positionH>
            <wp:positionV relativeFrom="paragraph">
              <wp:posOffset>-836930</wp:posOffset>
            </wp:positionV>
            <wp:extent cx="14414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6994525</wp:posOffset>
            </wp:positionH>
            <wp:positionV relativeFrom="paragraph">
              <wp:posOffset>-854075</wp:posOffset>
            </wp:positionV>
            <wp:extent cx="14414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6994525</wp:posOffset>
            </wp:positionH>
            <wp:positionV relativeFrom="paragraph">
              <wp:posOffset>-836930</wp:posOffset>
            </wp:positionV>
            <wp:extent cx="1441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44145"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333"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and SaaS products.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and cost of revenue is presented in the following tables for the three months ended March 31, 2025 and 2024 (in thousands):</w:t>
      </w:r>
    </w:p>
    <w:p>
      <w:pPr>
        <w:spacing w:after="0" w:line="25" w:lineRule="exact"/>
        <w:rPr>
          <w:sz w:val="20"/>
          <w:szCs w:val="20"/>
          <w:color w:val="auto"/>
        </w:rPr>
      </w:pPr>
    </w:p>
    <w:p>
      <w:pPr>
        <w:jc w:val="center"/>
        <w:ind w:left="384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6" w:lineRule="exact"/>
        <w:rPr>
          <w:sz w:val="20"/>
          <w:szCs w:val="20"/>
          <w:color w:val="auto"/>
        </w:rPr>
      </w:pPr>
    </w:p>
    <w:p>
      <w:pPr>
        <w:jc w:val="center"/>
        <w:ind w:left="384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tcPr>
          <w:p>
            <w:pPr>
              <w:jc w:val="right"/>
              <w:ind w:right="1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1360" w:type="dxa"/>
            <w:vAlign w:val="bottom"/>
            <w:shd w:val="clear" w:color="auto" w:fill="CFF0FC"/>
          </w:tcPr>
          <w:p>
            <w:pPr>
              <w:spacing w:after="0"/>
              <w:rPr>
                <w:sz w:val="17"/>
                <w:szCs w:val="17"/>
                <w:color w:val="auto"/>
              </w:rPr>
            </w:pPr>
          </w:p>
        </w:tc>
        <w:tc>
          <w:tcPr>
            <w:tcW w:w="24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840" w:type="dxa"/>
            <w:vAlign w:val="bottom"/>
            <w:gridSpan w:val="2"/>
          </w:tcPr>
          <w:p>
            <w:pPr>
              <w:jc w:val="right"/>
              <w:ind w:right="23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136,353</w:t>
            </w:r>
          </w:p>
        </w:tc>
        <w:tc>
          <w:tcPr>
            <w:tcW w:w="8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107,186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6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93,046</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40" w:type="dxa"/>
            <w:vAlign w:val="bottom"/>
            <w:gridSpan w:val="2"/>
          </w:tcPr>
          <w:p>
            <w:pPr>
              <w:jc w:val="right"/>
              <w:ind w:right="23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43,307</w:t>
            </w:r>
          </w:p>
        </w:tc>
        <w:tc>
          <w:tcPr>
            <w:tcW w:w="8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Gross Margin</w:t>
            </w:r>
          </w:p>
        </w:tc>
        <w:tc>
          <w:tcPr>
            <w:tcW w:w="1360" w:type="dxa"/>
            <w:vAlign w:val="bottom"/>
            <w:shd w:val="clear" w:color="auto" w:fill="CFF0FC"/>
          </w:tcPr>
          <w:p>
            <w:pPr>
              <w:spacing w:after="0"/>
              <w:rPr>
                <w:sz w:val="16"/>
                <w:szCs w:val="16"/>
                <w:color w:val="auto"/>
              </w:rPr>
            </w:pPr>
          </w:p>
        </w:tc>
        <w:tc>
          <w:tcPr>
            <w:tcW w:w="24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600" w:type="dxa"/>
            <w:vAlign w:val="bottom"/>
            <w:gridSpan w:val="2"/>
            <w:shd w:val="clear" w:color="auto" w:fill="CFF0FC"/>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42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Supplier services</w:t>
            </w:r>
          </w:p>
        </w:tc>
        <w:tc>
          <w:tcPr>
            <w:tcW w:w="1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840" w:type="dxa"/>
            <w:vAlign w:val="bottom"/>
            <w:gridSpan w:val="2"/>
            <w:shd w:val="clear" w:color="auto" w:fill="CFF0FC"/>
          </w:tcPr>
          <w:p>
            <w:pPr>
              <w:jc w:val="right"/>
              <w:ind w:right="23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14,618</w:t>
            </w:r>
          </w:p>
        </w:tc>
        <w:tc>
          <w:tcPr>
            <w:tcW w:w="82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40" w:type="dxa"/>
            <w:vAlign w:val="bottom"/>
            <w:gridSpan w:val="2"/>
            <w:shd w:val="clear" w:color="auto" w:fill="CFF0FC"/>
          </w:tcPr>
          <w:p>
            <w:pPr>
              <w:jc w:val="right"/>
              <w:ind w:right="23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13,024</w:t>
            </w:r>
          </w:p>
        </w:tc>
        <w:tc>
          <w:tcPr>
            <w:tcW w:w="82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13,623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4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4819650</wp:posOffset>
            </wp:positionH>
            <wp:positionV relativeFrom="paragraph">
              <wp:posOffset>-1162685</wp:posOffset>
            </wp:positionV>
            <wp:extent cx="1016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7036435</wp:posOffset>
            </wp:positionH>
            <wp:positionV relativeFrom="paragraph">
              <wp:posOffset>-1162685</wp:posOffset>
            </wp:positionV>
            <wp:extent cx="1016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-172085</wp:posOffset>
            </wp:positionV>
            <wp:extent cx="1016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-155575</wp:posOffset>
            </wp:positionV>
            <wp:extent cx="1016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7036435</wp:posOffset>
            </wp:positionH>
            <wp:positionV relativeFrom="paragraph">
              <wp:posOffset>-172085</wp:posOffset>
            </wp:positionV>
            <wp:extent cx="1016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7036435</wp:posOffset>
            </wp:positionH>
            <wp:positionV relativeFrom="paragraph">
              <wp:posOffset>-155575</wp:posOffset>
            </wp:positionV>
            <wp:extent cx="1016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1600" cy="825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3" w:lineRule="exact"/>
        <w:rPr>
          <w:sz w:val="20"/>
          <w:szCs w:val="20"/>
          <w:color w:val="auto"/>
        </w:rPr>
      </w:pPr>
    </w:p>
    <w:p>
      <w:pPr>
        <w:ind w:right="20" w:firstLine="637"/>
        <w:spacing w:after="0" w:line="254" w:lineRule="auto"/>
        <w:rPr>
          <w:sz w:val="20"/>
          <w:szCs w:val="20"/>
          <w:color w:val="auto"/>
        </w:rPr>
      </w:pPr>
      <w:r>
        <w:rPr>
          <w:rFonts w:ascii="Times New Roman" w:cs="Times New Roman" w:eastAsia="Times New Roman" w:hAnsi="Times New Roman"/>
          <w:sz w:val="18"/>
          <w:szCs w:val="18"/>
          <w:color w:val="auto"/>
        </w:rPr>
        <w:t>Total revenue increased $28.3 million, or 23%, from $122.7 million for the three months ended March 31, 2024 to $151.0 million for the three months ended March 31, 2025. This growth was a result of an increase in marketplace revenue, partially offset by a decrease in supplier services revenue. Marketplace revenue increased $29.2 million, or 27%, from $107.2 million for the three months ended March 31, 2024 to $136.4 million for the three months ended March 31, 2025. The increase in marketplace revenue was primarily due to increased buyer activity on the platform, particularly with respect to enterprise customers for the three months ended March 31, 2025 as compared to the prior year period.</w:t>
      </w:r>
    </w:p>
    <w:p>
      <w:pPr>
        <w:spacing w:after="0" w:line="184" w:lineRule="exact"/>
        <w:rPr>
          <w:sz w:val="20"/>
          <w:szCs w:val="20"/>
          <w:color w:val="auto"/>
        </w:rPr>
      </w:pPr>
    </w:p>
    <w:p>
      <w:pPr>
        <w:jc w:val="both"/>
        <w:ind w:right="300" w:firstLine="637"/>
        <w:spacing w:after="0" w:line="261" w:lineRule="auto"/>
        <w:rPr>
          <w:sz w:val="20"/>
          <w:szCs w:val="20"/>
          <w:color w:val="auto"/>
        </w:rPr>
      </w:pPr>
      <w:r>
        <w:rPr>
          <w:rFonts w:ascii="Times New Roman" w:cs="Times New Roman" w:eastAsia="Times New Roman" w:hAnsi="Times New Roman"/>
          <w:sz w:val="18"/>
          <w:szCs w:val="18"/>
          <w:color w:val="auto"/>
        </w:rPr>
        <w:t>Supplier services revenue decreased $0.9 million, or 6% from $15.5 million for the three months ended March 31, 2024 to $14.6 million for the three months ended March 31, 2025. The decrease in revenue was due to reductions in Thomas advertising and marketing services and to a lesser extent a decrease in Thomas non-core services partly offset by growth in financial services.</w:t>
      </w:r>
    </w:p>
    <w:p>
      <w:pPr>
        <w:spacing w:after="0" w:line="178" w:lineRule="exact"/>
        <w:rPr>
          <w:sz w:val="20"/>
          <w:szCs w:val="20"/>
          <w:color w:val="auto"/>
        </w:rPr>
      </w:pPr>
    </w:p>
    <w:p>
      <w:pPr>
        <w:ind w:right="420" w:firstLine="637"/>
        <w:spacing w:after="0" w:line="276" w:lineRule="auto"/>
        <w:rPr>
          <w:sz w:val="20"/>
          <w:szCs w:val="20"/>
          <w:color w:val="auto"/>
        </w:rPr>
      </w:pPr>
      <w:r>
        <w:rPr>
          <w:rFonts w:ascii="Times New Roman" w:cs="Times New Roman" w:eastAsia="Times New Roman" w:hAnsi="Times New Roman"/>
          <w:sz w:val="18"/>
          <w:szCs w:val="18"/>
          <w:color w:val="auto"/>
        </w:rPr>
        <w:t>Total revenue for the three months ended March 31, 2025 and 2024 was $127.8 million and $103.4 million, respectively, for the U.S. operating segment and $23.2 million and $19.3 million, respectively, for the International operating segment.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3" w:lineRule="exact"/>
        <w:rPr>
          <w:sz w:val="20"/>
          <w:szCs w:val="20"/>
          <w:color w:val="auto"/>
        </w:rPr>
      </w:pPr>
    </w:p>
    <w:p>
      <w:pPr>
        <w:ind w:right="120" w:firstLine="637"/>
        <w:spacing w:after="0" w:line="257" w:lineRule="auto"/>
        <w:rPr>
          <w:sz w:val="20"/>
          <w:szCs w:val="20"/>
          <w:color w:val="auto"/>
        </w:rPr>
      </w:pPr>
      <w:r>
        <w:rPr>
          <w:rFonts w:ascii="Times New Roman" w:cs="Times New Roman" w:eastAsia="Times New Roman" w:hAnsi="Times New Roman"/>
          <w:sz w:val="18"/>
          <w:szCs w:val="18"/>
          <w:color w:val="auto"/>
        </w:rPr>
        <w:t>Total cost of revenue increased $19.9 million, or 27%, from $74.8 million for the three months ended March 31, 2024 to $94.6 million for the three months ended March 31, 2025. This increase was primarily the result of an increase in marketplace cost of revenue. Total cost of revenue from marketplace and supplier services for the three months ended March 31, 2025 was $93.0 million and $1.6 million, respectively, as compared to $72.9 million and $1.9 million, respectively, for the three months ended March 31, 2024.</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Marketplace cost of revenue was driven by order growth and increased activity on our marketplace.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3" w:lineRule="exact"/>
        <w:rPr>
          <w:sz w:val="20"/>
          <w:szCs w:val="20"/>
          <w:color w:val="auto"/>
        </w:rPr>
      </w:pPr>
    </w:p>
    <w:p>
      <w:pPr>
        <w:ind w:right="280" w:firstLine="637"/>
        <w:spacing w:after="0" w:line="306" w:lineRule="auto"/>
        <w:rPr>
          <w:sz w:val="20"/>
          <w:szCs w:val="20"/>
          <w:color w:val="auto"/>
        </w:rPr>
      </w:pPr>
      <w:r>
        <w:rPr>
          <w:rFonts w:ascii="Times New Roman" w:cs="Times New Roman" w:eastAsia="Times New Roman" w:hAnsi="Times New Roman"/>
          <w:sz w:val="17"/>
          <w:szCs w:val="17"/>
          <w:color w:val="auto"/>
        </w:rPr>
        <w:t>Gross profit increased $8.4 million, or 18%, from $47.9 million for the three months ended March 31, 2024 to $56.3 million for the three months ended March 31, 2025. The increase in gross profit was primarily due to a 26% increase in marketplace gross profit as compared to the prior year period.</w:t>
      </w:r>
    </w:p>
    <w:p>
      <w:pPr>
        <w:spacing w:after="0" w:line="141" w:lineRule="exact"/>
        <w:rPr>
          <w:sz w:val="20"/>
          <w:szCs w:val="20"/>
          <w:color w:val="auto"/>
        </w:rPr>
      </w:pPr>
    </w:p>
    <w:p>
      <w:pPr>
        <w:ind w:right="460" w:firstLine="637"/>
        <w:spacing w:after="0" w:line="306" w:lineRule="auto"/>
        <w:rPr>
          <w:sz w:val="20"/>
          <w:szCs w:val="20"/>
          <w:color w:val="auto"/>
        </w:rPr>
      </w:pPr>
      <w:r>
        <w:rPr>
          <w:rFonts w:ascii="Times New Roman" w:cs="Times New Roman" w:eastAsia="Times New Roman" w:hAnsi="Times New Roman"/>
          <w:sz w:val="17"/>
          <w:szCs w:val="17"/>
          <w:color w:val="auto"/>
        </w:rPr>
        <w:t>Total gross margin was 37.3% for three months ended March 31, 2025 as compared to 39.0% for the three months ended March 31, 2024. The decrease is primarily driven by faster growth and associated mix shift to marketplace revenue which has lower gross margin than supplier services.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199" w:lineRule="exact"/>
        <w:rPr>
          <w:sz w:val="20"/>
          <w:szCs w:val="20"/>
          <w:color w:val="auto"/>
        </w:rPr>
      </w:pPr>
    </w:p>
    <w:p>
      <w:pPr>
        <w:ind w:right="140" w:firstLine="637"/>
        <w:spacing w:after="0" w:line="276" w:lineRule="auto"/>
        <w:rPr>
          <w:sz w:val="20"/>
          <w:szCs w:val="20"/>
          <w:color w:val="auto"/>
        </w:rPr>
      </w:pPr>
      <w:r>
        <w:rPr>
          <w:rFonts w:ascii="Times New Roman" w:cs="Times New Roman" w:eastAsia="Times New Roman" w:hAnsi="Times New Roman"/>
          <w:sz w:val="18"/>
          <w:szCs w:val="18"/>
          <w:color w:val="auto"/>
        </w:rPr>
        <w:t>Gross margin for marketplace was 31.8% for the three months ended March 31, 2025, as compared to 32.0% for the three months ended March 31, 2024. The decrease was primarily driven by lower international gross margin.</w:t>
      </w:r>
    </w:p>
    <w:p>
      <w:pPr>
        <w:spacing w:after="0" w:line="164" w:lineRule="exact"/>
        <w:rPr>
          <w:sz w:val="20"/>
          <w:szCs w:val="20"/>
          <w:color w:val="auto"/>
        </w:rPr>
      </w:pPr>
    </w:p>
    <w:p>
      <w:pPr>
        <w:jc w:val="both"/>
        <w:ind w:right="300" w:firstLine="637"/>
        <w:spacing w:after="0" w:line="261" w:lineRule="auto"/>
        <w:rPr>
          <w:sz w:val="20"/>
          <w:szCs w:val="20"/>
          <w:color w:val="auto"/>
        </w:rPr>
      </w:pPr>
      <w:r>
        <w:rPr>
          <w:rFonts w:ascii="Times New Roman" w:cs="Times New Roman" w:eastAsia="Times New Roman" w:hAnsi="Times New Roman"/>
          <w:sz w:val="18"/>
          <w:szCs w:val="18"/>
          <w:color w:val="auto"/>
        </w:rPr>
        <w:t>Gross margin for our supplier services was 89.1% for the three months ended March 31, 2025, as compared to 87.9% for the three months ended March 31, 2024. The increase in gross margin for supplier services is primarily due to a higher mix of advertising and marketing services revenue and the wind down of Thomas non-core services.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5" w:lineRule="exact"/>
        <w:rPr>
          <w:sz w:val="20"/>
          <w:szCs w:val="20"/>
          <w:color w:val="auto"/>
        </w:rPr>
      </w:pPr>
    </w:p>
    <w:p>
      <w:pPr>
        <w:ind w:right="100" w:firstLine="637"/>
        <w:spacing w:after="0" w:line="262" w:lineRule="auto"/>
        <w:rPr>
          <w:sz w:val="20"/>
          <w:szCs w:val="20"/>
          <w:color w:val="auto"/>
        </w:rPr>
      </w:pPr>
      <w:r>
        <w:rPr>
          <w:rFonts w:ascii="Times New Roman" w:cs="Times New Roman" w:eastAsia="Times New Roman" w:hAnsi="Times New Roman"/>
          <w:sz w:val="18"/>
          <w:szCs w:val="18"/>
          <w:color w:val="auto"/>
        </w:rPr>
        <w:t>Sales and marketing expense decreased $0.8 million, or 3%, from $27.2 million for the three months ended March 31, 2024 to $26.4 million for the three months ended March 31, 2025, primarily due to lower commissions and marketing and advertising expense. These decreases were offset by additional sales and marketing employees and their compensation costs, including stock-based compensation and travel and entertainment costs. As a percent of total revenue, sales and marketing expenses decreased to 17.5% for the three months ended March 31, 2025 from 22.2% for the three months ended March 31, 2024.</w:t>
      </w:r>
    </w:p>
    <w:p>
      <w:pPr>
        <w:spacing w:after="0" w:line="70" w:lineRule="exact"/>
        <w:rPr>
          <w:sz w:val="20"/>
          <w:szCs w:val="20"/>
          <w:color w:val="auto"/>
        </w:rPr>
      </w:pPr>
    </w:p>
    <w:p>
      <w:pPr>
        <w:ind w:firstLine="644"/>
        <w:spacing w:after="0" w:line="276" w:lineRule="auto"/>
        <w:rPr>
          <w:sz w:val="20"/>
          <w:szCs w:val="20"/>
          <w:color w:val="auto"/>
        </w:rPr>
      </w:pPr>
      <w:r>
        <w:rPr>
          <w:rFonts w:ascii="Times New Roman" w:cs="Times New Roman" w:eastAsia="Times New Roman" w:hAnsi="Times New Roman"/>
          <w:sz w:val="18"/>
          <w:szCs w:val="18"/>
          <w:color w:val="auto"/>
        </w:rPr>
        <w:t>Advertising expense decreased 18%, from $8.3 million for the three months ended March 31, 2024 to $6.8 million for the three months ended March 31, 2025 primarily due to decreased marketplace advertising.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Support</w:t>
      </w:r>
    </w:p>
    <w:p>
      <w:pPr>
        <w:spacing w:after="0" w:line="115" w:lineRule="exact"/>
        <w:rPr>
          <w:sz w:val="20"/>
          <w:szCs w:val="20"/>
          <w:color w:val="auto"/>
        </w:rPr>
      </w:pPr>
    </w:p>
    <w:p>
      <w:pPr>
        <w:ind w:right="100" w:firstLine="637"/>
        <w:spacing w:after="0" w:line="257" w:lineRule="auto"/>
        <w:rPr>
          <w:sz w:val="20"/>
          <w:szCs w:val="20"/>
          <w:color w:val="auto"/>
        </w:rPr>
      </w:pPr>
      <w:r>
        <w:rPr>
          <w:rFonts w:ascii="Times New Roman" w:cs="Times New Roman" w:eastAsia="Times New Roman" w:hAnsi="Times New Roman"/>
          <w:sz w:val="18"/>
          <w:szCs w:val="18"/>
          <w:color w:val="auto"/>
        </w:rPr>
        <w:t>Operations and support expense increased $3.0 million, or 22%, from $14.0 million for the three months ended March 31, 2024 to $17.1 million for the three months ended March 31, 2025, primarily due to additional employees and their compensation cost, included stock based compensation, increases due to restructuring costs and consulting expense. As a percent of total revenue, operations and support expenses decreased to 11.3% for the three months ended March 31, 2025 from 11.4% for the three months ended March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115" w:lineRule="exact"/>
        <w:rPr>
          <w:sz w:val="20"/>
          <w:szCs w:val="20"/>
          <w:color w:val="auto"/>
        </w:rPr>
      </w:pPr>
    </w:p>
    <w:p>
      <w:pPr>
        <w:ind w:right="60" w:firstLine="637"/>
        <w:spacing w:after="0" w:line="257" w:lineRule="auto"/>
        <w:rPr>
          <w:sz w:val="20"/>
          <w:szCs w:val="20"/>
          <w:color w:val="auto"/>
        </w:rPr>
      </w:pPr>
      <w:r>
        <w:rPr>
          <w:rFonts w:ascii="Times New Roman" w:cs="Times New Roman" w:eastAsia="Times New Roman" w:hAnsi="Times New Roman"/>
          <w:sz w:val="18"/>
          <w:szCs w:val="18"/>
          <w:color w:val="auto"/>
        </w:rPr>
        <w:t>Product development expense increased $1.6 million, or 16%, from $9.6 million for the three months ended March 31, 2024 to $11.2 million for the three months ended March 31, 2025, primarily as result of increases in amortization expense related to capitalized internal-use software development costs and increases in software costs and increases due to restructuring costs. As a percent of total revenue, product development expenses decreased to 7.4% for the three months ended March 31, 2025 as compared to 7.8% for the three months ended March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5" w:lineRule="exact"/>
        <w:rPr>
          <w:sz w:val="20"/>
          <w:szCs w:val="20"/>
          <w:color w:val="auto"/>
        </w:rPr>
      </w:pPr>
    </w:p>
    <w:p>
      <w:pPr>
        <w:ind w:right="20" w:firstLine="637"/>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 increased $2.1 million, or 14%, from $14.9 million for the three months ended March 31, 2024 to $17.0 million for the three months ended March 31, 2025. The increase was due to an increase in general and administrative employees and their compensation costs, including stock-based compensation, increases in reserves for bad debt, restructuring costs and software and maintenance costs. As a percent of total revenue, general and administrative expenses decreased to 11.3% for the three months ended March 31, 2025 from 12.2% for the three months ended March 31, 2024.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5" w:lineRule="exact"/>
        <w:rPr>
          <w:sz w:val="20"/>
          <w:szCs w:val="20"/>
          <w:color w:val="auto"/>
        </w:rPr>
      </w:pPr>
    </w:p>
    <w:p>
      <w:pPr>
        <w:ind w:right="140" w:firstLine="637"/>
        <w:spacing w:after="0" w:line="276" w:lineRule="auto"/>
        <w:rPr>
          <w:sz w:val="20"/>
          <w:szCs w:val="20"/>
          <w:color w:val="auto"/>
        </w:rPr>
      </w:pPr>
      <w:r>
        <w:rPr>
          <w:rFonts w:ascii="Times New Roman" w:cs="Times New Roman" w:eastAsia="Times New Roman" w:hAnsi="Times New Roman"/>
          <w:sz w:val="18"/>
          <w:szCs w:val="18"/>
          <w:color w:val="auto"/>
        </w:rPr>
        <w:t>Interest expense remained flat at $1.2 million for the three months ended March 31, 2025 and 2024. Interest expense is primarily due to the interest on the 2027 convertible notes issued in February 2022.</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15" w:lineRule="exact"/>
        <w:rPr>
          <w:sz w:val="20"/>
          <w:szCs w:val="20"/>
          <w:color w:val="auto"/>
        </w:rPr>
      </w:pPr>
    </w:p>
    <w:p>
      <w:pPr>
        <w:ind w:right="180" w:firstLine="637"/>
        <w:spacing w:after="0" w:line="276" w:lineRule="auto"/>
        <w:rPr>
          <w:sz w:val="20"/>
          <w:szCs w:val="20"/>
          <w:color w:val="auto"/>
        </w:rPr>
      </w:pPr>
      <w:r>
        <w:rPr>
          <w:rFonts w:ascii="Times New Roman" w:cs="Times New Roman" w:eastAsia="Times New Roman" w:hAnsi="Times New Roman"/>
          <w:sz w:val="18"/>
          <w:szCs w:val="18"/>
          <w:color w:val="auto"/>
        </w:rPr>
        <w:t>Interest and dividend income decreased $0.5 million, or 17%, from $2.7 million for the three months ended March 31, 2024 to $2.3 million for the three months ended March 31, 2025. Interest and dividend income is primarily due to dividend income from our marketable securities</w:t>
      </w:r>
      <w:r>
        <w:rPr>
          <w:rFonts w:ascii="Times New Roman" w:cs="Times New Roman" w:eastAsia="Times New Roman" w:hAnsi="Times New Roman"/>
          <w:sz w:val="18"/>
          <w:szCs w:val="18"/>
          <w:color w:val="FF0000"/>
        </w:rPr>
        <w: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expenses increased by $0.5 million, primarily due to foreign tax expense and refunds.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Unconsolidated Joint Venture</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from unconsolidated joint venture remained flat at $0.1 million for the three months ended March 31, 2025 and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Segment Considerations</w:t>
      </w:r>
    </w:p>
    <w:p>
      <w:pPr>
        <w:spacing w:after="0" w:line="115" w:lineRule="exact"/>
        <w:rPr>
          <w:sz w:val="20"/>
          <w:szCs w:val="20"/>
          <w:color w:val="auto"/>
        </w:rPr>
      </w:pPr>
    </w:p>
    <w:p>
      <w:pPr>
        <w:jc w:val="both"/>
        <w:ind w:right="380" w:firstLine="637"/>
        <w:spacing w:after="0" w:line="261" w:lineRule="auto"/>
        <w:rPr>
          <w:sz w:val="20"/>
          <w:szCs w:val="20"/>
          <w:color w:val="auto"/>
        </w:rPr>
      </w:pPr>
      <w:r>
        <w:rPr>
          <w:rFonts w:ascii="Times New Roman" w:cs="Times New Roman" w:eastAsia="Times New Roman" w:hAnsi="Times New Roman"/>
          <w:sz w:val="18"/>
          <w:szCs w:val="18"/>
          <w:color w:val="auto"/>
        </w:rPr>
        <w:t>Total segment Adjusted EBITDA from our U.S. reportable segment for the three months ended March 31, 2025 and 2024 was $3.0 million and ($5.5) million, respectively. Total segment Adjusted EBITDA from our International reportable segment for the three months ended March 31, 2025 and 2024 was $(2.9) million and $(2.0) million, respectively.</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9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 xml:space="preserve">Refer to Note 5, </w:t>
      </w:r>
      <w:r>
        <w:rPr>
          <w:rFonts w:ascii="Times New Roman" w:cs="Times New Roman" w:eastAsia="Times New Roman" w:hAnsi="Times New Roman"/>
          <w:sz w:val="17"/>
          <w:szCs w:val="17"/>
          <w:i w:val="1"/>
          <w:iCs w:val="1"/>
          <w:color w:val="auto"/>
        </w:rPr>
        <w:t>Segments</w:t>
      </w:r>
      <w:r>
        <w:rPr>
          <w:rFonts w:ascii="Times New Roman" w:cs="Times New Roman" w:eastAsia="Times New Roman" w:hAnsi="Times New Roman"/>
          <w:sz w:val="17"/>
          <w:szCs w:val="17"/>
          <w:color w:val="auto"/>
        </w:rPr>
        <w:t xml:space="preserve"> as we changed our measure of segment profit or loss in 2024 to segment Adjusted EBITDA and recast prior year data.</w:t>
      </w:r>
    </w:p>
    <w:p>
      <w:pPr>
        <w:spacing w:after="0" w:line="3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00"/>
          </w:cols>
          <w:pgMar w:left="320" w:top="761" w:right="5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7"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our equity securities and borrowings under our convertible notes. As of March 31, 2025, our cash and cash equivalents and marketable securities totaled $231.4 million. We believe our existing cash and cash equivalents and marketable securities will be sufficient to support our working capital and capital expenditure requirements for at least the next twelve months.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w:t>
      </w:r>
    </w:p>
    <w:p>
      <w:pPr>
        <w:spacing w:after="0" w:line="78" w:lineRule="exact"/>
        <w:rPr>
          <w:sz w:val="20"/>
          <w:szCs w:val="20"/>
          <w:color w:val="auto"/>
        </w:rPr>
      </w:pPr>
    </w:p>
    <w:p>
      <w:pPr>
        <w:ind w:right="160" w:firstLine="644"/>
        <w:spacing w:after="0" w:line="276" w:lineRule="auto"/>
        <w:rPr>
          <w:sz w:val="20"/>
          <w:szCs w:val="20"/>
          <w:color w:val="auto"/>
        </w:rPr>
      </w:pPr>
      <w:r>
        <w:rPr>
          <w:rFonts w:ascii="Times New Roman" w:cs="Times New Roman" w:eastAsia="Times New Roman" w:hAnsi="Times New Roman"/>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due 2027</w:t>
      </w:r>
    </w:p>
    <w:p>
      <w:pPr>
        <w:spacing w:after="0" w:line="117" w:lineRule="exact"/>
        <w:rPr>
          <w:sz w:val="20"/>
          <w:szCs w:val="20"/>
          <w:color w:val="auto"/>
        </w:rPr>
      </w:pPr>
    </w:p>
    <w:p>
      <w:pPr>
        <w:ind w:firstLine="637"/>
        <w:spacing w:after="0" w:line="257" w:lineRule="auto"/>
        <w:rPr>
          <w:sz w:val="20"/>
          <w:szCs w:val="20"/>
          <w:color w:val="auto"/>
        </w:rPr>
      </w:pPr>
      <w:r>
        <w:rPr>
          <w:rFonts w:ascii="Times New Roman" w:cs="Times New Roman" w:eastAsia="Times New Roman" w:hAnsi="Times New Roman"/>
          <w:sz w:val="18"/>
          <w:szCs w:val="18"/>
          <w:color w:val="auto"/>
        </w:rPr>
        <w:t>In February 2022, we issued $287.5 million aggregate principal amount of 2027 Notes pursuant to an indenture dated February 4, 2022. The 2027 Notes were issued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w:t>
      </w:r>
    </w:p>
    <w:p>
      <w:pPr>
        <w:spacing w:after="0" w:line="73" w:lineRule="exact"/>
        <w:rPr>
          <w:sz w:val="20"/>
          <w:szCs w:val="20"/>
          <w:color w:val="auto"/>
        </w:rPr>
      </w:pPr>
    </w:p>
    <w:p>
      <w:pPr>
        <w:ind w:right="240" w:firstLine="637"/>
        <w:spacing w:after="0" w:line="276" w:lineRule="auto"/>
        <w:rPr>
          <w:sz w:val="20"/>
          <w:szCs w:val="20"/>
          <w:color w:val="auto"/>
        </w:rPr>
      </w:pPr>
      <w:r>
        <w:rPr>
          <w:rFonts w:ascii="Times New Roman" w:cs="Times New Roman" w:eastAsia="Times New Roman" w:hAnsi="Times New Roman"/>
          <w:sz w:val="18"/>
          <w:szCs w:val="18"/>
          <w:color w:val="auto"/>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spacing w:after="0" w:line="57" w:lineRule="exact"/>
        <w:rPr>
          <w:sz w:val="20"/>
          <w:szCs w:val="20"/>
          <w:color w:val="auto"/>
        </w:rPr>
      </w:pPr>
    </w:p>
    <w:p>
      <w:pPr>
        <w:ind w:right="20" w:firstLine="637"/>
        <w:spacing w:after="0" w:line="252" w:lineRule="auto"/>
        <w:rPr>
          <w:sz w:val="20"/>
          <w:szCs w:val="20"/>
          <w:color w:val="auto"/>
        </w:rPr>
      </w:pPr>
      <w:r>
        <w:rPr>
          <w:rFonts w:ascii="Times New Roman" w:cs="Times New Roman" w:eastAsia="Times New Roman" w:hAnsi="Times New Roman"/>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w:t>
      </w:r>
    </w:p>
    <w:p>
      <w:pPr>
        <w:spacing w:after="0" w:line="78" w:lineRule="exact"/>
        <w:rPr>
          <w:sz w:val="20"/>
          <w:szCs w:val="20"/>
          <w:color w:val="auto"/>
        </w:rPr>
      </w:pPr>
    </w:p>
    <w:p>
      <w:pPr>
        <w:ind w:right="20" w:firstLine="637"/>
        <w:spacing w:after="0" w:line="254" w:lineRule="auto"/>
        <w:rPr>
          <w:sz w:val="20"/>
          <w:szCs w:val="20"/>
          <w:color w:val="auto"/>
        </w:rPr>
      </w:pPr>
      <w:r>
        <w:rPr>
          <w:rFonts w:ascii="Times New Roman" w:cs="Times New Roman" w:eastAsia="Times New Roman" w:hAnsi="Times New Roman"/>
          <w:sz w:val="18"/>
          <w:szCs w:val="18"/>
          <w:color w:val="auto"/>
        </w:rPr>
        <w:t>We may redeem for cash all or any portion of the 2027 Notes, at our option, on or after February 5, 2025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 or additional interest, if any.</w:t>
      </w:r>
    </w:p>
    <w:p>
      <w:pPr>
        <w:spacing w:after="0" w:line="77" w:lineRule="exact"/>
        <w:rPr>
          <w:sz w:val="20"/>
          <w:szCs w:val="20"/>
          <w:color w:val="auto"/>
        </w:rPr>
      </w:pPr>
    </w:p>
    <w:p>
      <w:pPr>
        <w:ind w:right="640" w:firstLine="637"/>
        <w:spacing w:after="0" w:line="276" w:lineRule="auto"/>
        <w:rPr>
          <w:sz w:val="20"/>
          <w:szCs w:val="20"/>
          <w:color w:val="auto"/>
        </w:rPr>
      </w:pPr>
      <w:r>
        <w:rPr>
          <w:rFonts w:ascii="Times New Roman" w:cs="Times New Roman" w:eastAsia="Times New Roman" w:hAnsi="Times New Roman"/>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57" w:lineRule="exact"/>
        <w:rPr>
          <w:sz w:val="20"/>
          <w:szCs w:val="20"/>
          <w:color w:val="auto"/>
        </w:rPr>
      </w:pPr>
    </w:p>
    <w:p>
      <w:pPr>
        <w:jc w:val="both"/>
        <w:ind w:left="1020" w:right="340" w:hanging="505"/>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71" w:lineRule="exact"/>
        <w:rPr>
          <w:rFonts w:ascii="Times New Roman" w:cs="Times New Roman" w:eastAsia="Times New Roman" w:hAnsi="Times New Roman"/>
          <w:sz w:val="18"/>
          <w:szCs w:val="18"/>
          <w:color w:val="auto"/>
        </w:rPr>
      </w:pPr>
    </w:p>
    <w:p>
      <w:pPr>
        <w:ind w:left="1020" w:right="80" w:hanging="505"/>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71" w:lineRule="exact"/>
        <w:rPr>
          <w:rFonts w:ascii="Times New Roman" w:cs="Times New Roman" w:eastAsia="Times New Roman" w:hAnsi="Times New Roman"/>
          <w:sz w:val="18"/>
          <w:szCs w:val="18"/>
          <w:color w:val="auto"/>
        </w:rPr>
      </w:pPr>
    </w:p>
    <w:p>
      <w:pPr>
        <w:ind w:left="1020" w:right="160" w:hanging="505"/>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71"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13" w:lineRule="exact"/>
        <w:rPr>
          <w:sz w:val="20"/>
          <w:szCs w:val="20"/>
          <w:color w:val="auto"/>
        </w:rPr>
      </w:pPr>
    </w:p>
    <w:p>
      <w:pPr>
        <w:ind w:right="840" w:firstLine="637"/>
        <w:spacing w:after="0" w:line="276" w:lineRule="auto"/>
        <w:rPr>
          <w:sz w:val="20"/>
          <w:szCs w:val="20"/>
          <w:color w:val="auto"/>
        </w:rPr>
      </w:pPr>
      <w:r>
        <w:rPr>
          <w:rFonts w:ascii="Times New Roman" w:cs="Times New Roman" w:eastAsia="Times New Roman" w:hAnsi="Times New Roman"/>
          <w:sz w:val="18"/>
          <w:szCs w:val="18"/>
          <w:color w:val="auto"/>
        </w:rPr>
        <w:t>On or after November 1, 2026, the 2027 Notes are convertible at any time until the close of business on the second scheduled trading day immediately preceding the maturity date.</w:t>
      </w:r>
    </w:p>
    <w:p>
      <w:pPr>
        <w:spacing w:after="0" w:line="57" w:lineRule="exact"/>
        <w:rPr>
          <w:sz w:val="20"/>
          <w:szCs w:val="20"/>
          <w:color w:val="auto"/>
        </w:rPr>
      </w:pPr>
    </w:p>
    <w:p>
      <w:pPr>
        <w:jc w:val="both"/>
        <w:ind w:right="240" w:firstLine="637"/>
        <w:spacing w:after="0" w:line="261" w:lineRule="auto"/>
        <w:rPr>
          <w:sz w:val="20"/>
          <w:szCs w:val="20"/>
          <w:color w:val="auto"/>
        </w:rPr>
      </w:pPr>
      <w:r>
        <w:rPr>
          <w:rFonts w:ascii="Times New Roman" w:cs="Times New Roman" w:eastAsia="Times New Roman" w:hAnsi="Times New Roman"/>
          <w:sz w:val="18"/>
          <w:szCs w:val="18"/>
          <w:color w:val="auto"/>
        </w:rPr>
        <w:t>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93" w:lineRule="exact"/>
        <w:rPr>
          <w:sz w:val="20"/>
          <w:szCs w:val="20"/>
          <w:color w:val="auto"/>
        </w:rPr>
      </w:pPr>
    </w:p>
    <w:p>
      <w:pPr>
        <w:ind w:right="740" w:firstLine="637"/>
        <w:spacing w:after="0" w:line="276" w:lineRule="auto"/>
        <w:rPr>
          <w:sz w:val="20"/>
          <w:szCs w:val="20"/>
          <w:color w:val="auto"/>
        </w:rPr>
      </w:pPr>
      <w:r>
        <w:rPr>
          <w:rFonts w:ascii="Times New Roman" w:cs="Times New Roman" w:eastAsia="Times New Roman" w:hAnsi="Times New Roman"/>
          <w:sz w:val="18"/>
          <w:szCs w:val="18"/>
          <w:color w:val="auto"/>
        </w:rPr>
        <w:t>We accounted for the issuance of the 2027 Notes as a single liability measured at its amortized cost, as no other embedded features require bifurcation and recognition as derivatives.</w:t>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March 31, 2025, the 2027 Notes have a carrying value of $284.1 million with an effective annual interest rate of 1.6%.</w:t>
      </w:r>
    </w:p>
    <w:p>
      <w:pPr>
        <w:spacing w:after="0" w:line="113" w:lineRule="exact"/>
        <w:rPr>
          <w:sz w:val="20"/>
          <w:szCs w:val="20"/>
          <w:color w:val="auto"/>
        </w:rPr>
      </w:pPr>
    </w:p>
    <w:p>
      <w:pPr>
        <w:ind w:right="640" w:firstLine="637"/>
        <w:spacing w:after="0" w:line="276" w:lineRule="auto"/>
        <w:rPr>
          <w:sz w:val="20"/>
          <w:szCs w:val="20"/>
          <w:color w:val="auto"/>
        </w:rPr>
      </w:pPr>
      <w:r>
        <w:rPr>
          <w:rFonts w:ascii="Times New Roman" w:cs="Times New Roman" w:eastAsia="Times New Roman" w:hAnsi="Times New Roman"/>
          <w:sz w:val="18"/>
          <w:szCs w:val="18"/>
          <w:color w:val="auto"/>
        </w:rPr>
        <w:t>We may, from time to time, repurchase our convertible senior notes using cash on hand, either on the open market or in privately negotiated transactions.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ind w:right="160" w:firstLine="637"/>
        <w:spacing w:after="0" w:line="276" w:lineRule="auto"/>
        <w:rPr>
          <w:sz w:val="20"/>
          <w:szCs w:val="20"/>
          <w:color w:val="auto"/>
        </w:rPr>
      </w:pPr>
      <w:r>
        <w:rPr>
          <w:rFonts w:ascii="Times New Roman" w:cs="Times New Roman" w:eastAsia="Times New Roman" w:hAnsi="Times New Roman"/>
          <w:sz w:val="18"/>
          <w:szCs w:val="18"/>
          <w:color w:val="auto"/>
        </w:rPr>
        <w:t>The following table presents a summary of our cash flows from operating, investing, and financing activities for the three months ended March 31, 2025 and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0"/>
        </w:trPr>
        <w:tc>
          <w:tcPr>
            <w:tcW w:w="55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0" w:type="dxa"/>
            <w:vAlign w:val="bottom"/>
            <w:tcBorders>
              <w:bottom w:val="single" w:sz="8" w:color="auto"/>
            </w:tcBorders>
          </w:tcPr>
          <w:p>
            <w:pPr>
              <w:jc w:val="right"/>
              <w:ind w:right="9"/>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Borders>
              <w:bottom w:val="single" w:sz="8" w:color="auto"/>
            </w:tcBorders>
          </w:tcPr>
          <w:p>
            <w:pPr>
              <w:jc w:val="right"/>
              <w:ind w:right="3"/>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0"/>
        </w:trPr>
        <w:tc>
          <w:tcPr>
            <w:tcW w:w="55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b w:val="1"/>
                <w:bCs w:val="1"/>
                <w:color w:val="auto"/>
              </w:rPr>
              <w:t>(in</w:t>
            </w:r>
          </w:p>
        </w:tc>
        <w:tc>
          <w:tcPr>
            <w:tcW w:w="1360" w:type="dxa"/>
            <w:vAlign w:val="bottom"/>
            <w:gridSpan w:val="2"/>
          </w:tcPr>
          <w:p>
            <w:pPr>
              <w:jc w:val="center"/>
              <w:ind w:right="623"/>
              <w:spacing w:after="0" w:line="140"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20" w:type="dxa"/>
            <w:vAlign w:val="bottom"/>
            <w:gridSpan w:val="2"/>
            <w:shd w:val="clear" w:color="auto" w:fill="CFF0FC"/>
          </w:tcPr>
          <w:p>
            <w:pPr>
              <w:jc w:val="right"/>
              <w:ind w:right="82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49"/>
              <w:spacing w:after="0"/>
              <w:rPr>
                <w:sz w:val="20"/>
                <w:szCs w:val="20"/>
                <w:color w:val="auto"/>
              </w:rPr>
            </w:pPr>
            <w:r>
              <w:rPr>
                <w:rFonts w:ascii="Times New Roman" w:cs="Times New Roman" w:eastAsia="Times New Roman" w:hAnsi="Times New Roman"/>
                <w:sz w:val="18"/>
                <w:szCs w:val="18"/>
                <w:color w:val="auto"/>
              </w:rPr>
              <w:t>(3,691)</w:t>
            </w:r>
          </w:p>
        </w:tc>
        <w:tc>
          <w:tcPr>
            <w:tcW w:w="1080" w:type="dxa"/>
            <w:vAlign w:val="bottom"/>
            <w:shd w:val="clear" w:color="auto" w:fill="CFF0FC"/>
          </w:tcPr>
          <w:p>
            <w:pPr>
              <w:jc w:val="right"/>
              <w:ind w:right="92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(11,734)</w:t>
            </w:r>
          </w:p>
        </w:tc>
      </w:tr>
      <w:tr>
        <w:trPr>
          <w:trHeight w:val="21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149"/>
              <w:spacing w:after="0"/>
              <w:rPr>
                <w:sz w:val="20"/>
                <w:szCs w:val="20"/>
                <w:color w:val="auto"/>
              </w:rPr>
            </w:pPr>
            <w:r>
              <w:rPr>
                <w:rFonts w:ascii="Times New Roman" w:cs="Times New Roman" w:eastAsia="Times New Roman" w:hAnsi="Times New Roman"/>
                <w:sz w:val="18"/>
                <w:szCs w:val="18"/>
                <w:color w:val="auto"/>
              </w:rPr>
              <w:t>(3,686)</w:t>
            </w:r>
          </w:p>
        </w:tc>
        <w:tc>
          <w:tcPr>
            <w:tcW w:w="10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2,927</w:t>
            </w:r>
          </w:p>
        </w:tc>
      </w:tr>
      <w:tr>
        <w:trPr>
          <w:trHeight w:val="21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9"/>
              <w:spacing w:after="0"/>
              <w:rPr>
                <w:sz w:val="20"/>
                <w:szCs w:val="20"/>
                <w:color w:val="auto"/>
              </w:rPr>
            </w:pPr>
            <w:r>
              <w:rPr>
                <w:rFonts w:ascii="Times New Roman" w:cs="Times New Roman" w:eastAsia="Times New Roman" w:hAnsi="Times New Roman"/>
                <w:sz w:val="18"/>
                <w:szCs w:val="18"/>
                <w:color w:val="auto"/>
              </w:rPr>
              <w:t>510</w:t>
            </w:r>
          </w:p>
        </w:tc>
        <w:tc>
          <w:tcPr>
            <w:tcW w:w="10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1,233</w:t>
            </w: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7" w:lineRule="exact"/>
        <w:rPr>
          <w:sz w:val="20"/>
          <w:szCs w:val="20"/>
          <w:color w:val="auto"/>
        </w:rPr>
      </w:pPr>
    </w:p>
    <w:p>
      <w:pPr>
        <w:ind w:right="60" w:firstLine="637"/>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2025, net cash used in operating activities was $3.7 million, primarily due to a net loss of $(15.1) million adjusted for non-cash charges of $13.6 million and a net decrease in our operating assets and liabilities of $(2.2) million. The non-cash adjustments primarily relate to stock-based compensation of $7.3 million, depreciation and amortization of $4.2 million and a $1.1 million of reduction to our right of use lease assets. The net decrease in operating assets and liabilities is primarily driven by the changes in accounts receivable of $13.4 million due to increased sales, changes in other assets of $2.0 million, changes in lease liabilities of $1.5 million and changes in prepaid expenses of $1.5 million offset by changes in accounts payable of $15.0 million due to timing of payments and changes in contract liabilities of $1.9 million.</w:t>
      </w:r>
    </w:p>
    <w:p>
      <w:pPr>
        <w:spacing w:after="0" w:line="77" w:lineRule="exact"/>
        <w:rPr>
          <w:sz w:val="20"/>
          <w:szCs w:val="20"/>
          <w:color w:val="auto"/>
        </w:rPr>
      </w:pPr>
    </w:p>
    <w:p>
      <w:pPr>
        <w:ind w:right="60" w:firstLine="637"/>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2024, net cash used in operating activities was $11.7 million, primarily due to a net loss of $(16.6) million adjusted for non-cash charges of $11.1 million and a net decrease in our operating assets and liabilities of $(6.3) million. The non-cash adjustments primarily relate to stock-based compensation of $6.0 million, depreciation and amortization of $3.2 million, and $1.1 million of reduction to our right of use lease assets. The net decrease in operating assets and liabilities is primarily driven by changes in accounts payable of $10.6 million due to the timing of payments and lease liabilities of $1.7 million, offset by changes in accrued expenses of $4.4 million and contract liabilities of $2.3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7" w:lineRule="exact"/>
        <w:rPr>
          <w:sz w:val="20"/>
          <w:szCs w:val="20"/>
          <w:color w:val="auto"/>
        </w:rPr>
      </w:pPr>
    </w:p>
    <w:p>
      <w:pPr>
        <w:jc w:val="both"/>
        <w:ind w:right="220" w:firstLine="637"/>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net cash used by investing activities was $3.7 million, primarily due to the purchase of property and equipment (which includes the internal-use software development costs) of $5.5 million and the purchase of marketable securities of $2.3 million offset by the sale of marketable securities of $4.0 million.</w:t>
      </w:r>
    </w:p>
    <w:p>
      <w:pPr>
        <w:spacing w:after="0" w:line="71" w:lineRule="exact"/>
        <w:rPr>
          <w:sz w:val="20"/>
          <w:szCs w:val="20"/>
          <w:color w:val="auto"/>
        </w:rPr>
      </w:pPr>
    </w:p>
    <w:p>
      <w:pPr>
        <w:jc w:val="both"/>
        <w:ind w:right="120" w:firstLine="637"/>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net cash provided by investing activities was $2.9 million, primarily due to the proceeds from the sale of marketable securities of $10.0 million offset by the purchase of property and equipment (which includes internal-use software development costs) of $4.3 million and $2.7 million for the purchase of marketable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7" w:lineRule="exact"/>
        <w:rPr>
          <w:sz w:val="20"/>
          <w:szCs w:val="20"/>
          <w:color w:val="auto"/>
        </w:rPr>
      </w:pPr>
    </w:p>
    <w:p>
      <w:pPr>
        <w:ind w:right="320" w:firstLine="637"/>
        <w:spacing w:after="0" w:line="276" w:lineRule="auto"/>
        <w:rPr>
          <w:sz w:val="20"/>
          <w:szCs w:val="20"/>
          <w:color w:val="auto"/>
        </w:rPr>
      </w:pPr>
      <w:r>
        <w:rPr>
          <w:rFonts w:ascii="Times New Roman" w:cs="Times New Roman" w:eastAsia="Times New Roman" w:hAnsi="Times New Roman"/>
          <w:sz w:val="18"/>
          <w:szCs w:val="18"/>
          <w:color w:val="auto"/>
        </w:rPr>
        <w:t>For the three months ended March 31, 2025, net cash provided by financing activities was $0.5 million, relating to proceeds from the exercise of stock options.</w:t>
      </w:r>
    </w:p>
    <w:p>
      <w:pPr>
        <w:spacing w:after="0" w:line="57" w:lineRule="exact"/>
        <w:rPr>
          <w:sz w:val="20"/>
          <w:szCs w:val="20"/>
          <w:color w:val="auto"/>
        </w:rPr>
      </w:pPr>
    </w:p>
    <w:p>
      <w:pPr>
        <w:ind w:right="320" w:firstLine="637"/>
        <w:spacing w:after="0" w:line="276" w:lineRule="auto"/>
        <w:rPr>
          <w:sz w:val="20"/>
          <w:szCs w:val="20"/>
          <w:color w:val="auto"/>
        </w:rPr>
      </w:pPr>
      <w:r>
        <w:rPr>
          <w:rFonts w:ascii="Times New Roman" w:cs="Times New Roman" w:eastAsia="Times New Roman" w:hAnsi="Times New Roman"/>
          <w:sz w:val="18"/>
          <w:szCs w:val="18"/>
          <w:color w:val="auto"/>
        </w:rPr>
        <w:t>For the three months ended March 31, 2024, net cash provided by financing activities was $1.2 million, relating to proceeds from the exercise of stock options.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5" w:lineRule="exact"/>
        <w:rPr>
          <w:sz w:val="20"/>
          <w:szCs w:val="20"/>
          <w:color w:val="auto"/>
        </w:rPr>
      </w:pPr>
    </w:p>
    <w:p>
      <w:pPr>
        <w:ind w:right="60" w:firstLine="644"/>
        <w:spacing w:after="0" w:line="270" w:lineRule="auto"/>
        <w:rPr>
          <w:sz w:val="20"/>
          <w:szCs w:val="20"/>
          <w:color w:val="auto"/>
        </w:rPr>
      </w:pPr>
      <w:r>
        <w:rPr>
          <w:rFonts w:ascii="Times New Roman" w:cs="Times New Roman" w:eastAsia="Times New Roman" w:hAnsi="Times New Roman"/>
          <w:sz w:val="17"/>
          <w:szCs w:val="17"/>
          <w:color w:val="auto"/>
        </w:rPr>
        <w:t>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For additional information about our critical accounting policies and estimates, see the disclosure included in our Annual Report on Form 10-K for the year ended December 31,</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9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 xml:space="preserve">2024 as well as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xml:space="preserve"> in the notes to the condensed consolidated financial statements included in Part I, Item 1, of this Quarterly Report on Form 10-Q. There have been no material changes to our critical accounting policies and accounting estimates as compared to those disclosed in our Annual Report on Form 10-K for the year ended December 31, 2024.</w:t>
      </w:r>
    </w:p>
    <w:p>
      <w:pPr>
        <w:spacing w:after="0" w:line="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3" w:lineRule="exact"/>
        <w:rPr>
          <w:sz w:val="20"/>
          <w:szCs w:val="20"/>
          <w:color w:val="auto"/>
        </w:rPr>
      </w:pPr>
    </w:p>
    <w:p>
      <w:pPr>
        <w:ind w:right="40" w:firstLine="644"/>
        <w:spacing w:after="0" w:line="263" w:lineRule="auto"/>
        <w:rPr>
          <w:sz w:val="20"/>
          <w:szCs w:val="20"/>
          <w:color w:val="auto"/>
        </w:rPr>
      </w:pPr>
      <w:r>
        <w:rPr>
          <w:rFonts w:ascii="Times New Roman" w:cs="Times New Roman" w:eastAsia="Times New Roman" w:hAnsi="Times New Roman"/>
          <w:sz w:val="18"/>
          <w:szCs w:val="18"/>
          <w:color w:val="auto"/>
        </w:rPr>
        <w:t xml:space="preserve">For a description of our recently adopted accounting pronouncements and recently issued accounting standards not yet adopted, see Note 2,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 and Summary of Significant Accounting Policies </w:t>
      </w:r>
      <w:r>
        <w:rPr>
          <w:rFonts w:ascii="Times New Roman" w:cs="Times New Roman" w:eastAsia="Times New Roman" w:hAnsi="Times New Roman"/>
          <w:sz w:val="18"/>
          <w:szCs w:val="18"/>
          <w:color w:val="auto"/>
        </w:rPr>
        <w:t>in the notes to the condensed consolidated financial statements included in Part I, Item 1,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1" w:lineRule="exact"/>
        <w:rPr>
          <w:sz w:val="20"/>
          <w:szCs w:val="20"/>
          <w:color w:val="auto"/>
        </w:rPr>
      </w:pPr>
    </w:p>
    <w:p>
      <w:pPr>
        <w:jc w:val="both"/>
        <w:ind w:right="100" w:firstLine="637"/>
        <w:spacing w:after="0" w:line="257"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17" w:lineRule="exact"/>
        <w:rPr>
          <w:sz w:val="20"/>
          <w:szCs w:val="20"/>
          <w:color w:val="auto"/>
        </w:rPr>
      </w:pPr>
    </w:p>
    <w:p>
      <w:pPr>
        <w:ind w:right="200" w:firstLine="637"/>
        <w:spacing w:after="0" w:line="253" w:lineRule="auto"/>
        <w:rPr>
          <w:sz w:val="20"/>
          <w:szCs w:val="20"/>
          <w:color w:val="auto"/>
        </w:rPr>
      </w:pPr>
      <w:r>
        <w:rPr>
          <w:rFonts w:ascii="Times New Roman" w:cs="Times New Roman" w:eastAsia="Times New Roman" w:hAnsi="Times New Roman"/>
          <w:sz w:val="18"/>
          <w:szCs w:val="18"/>
          <w:color w:val="auto"/>
        </w:rPr>
        <w:t>Our U.S.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 Outside the U.S., our International operations generate approximately 15% of our revenues for the three months ended March 31, 2025, of which a majority is generated in Euros. If the average exchange rate of Euros changed unfavorably by 10%, our revenues for the three months ended March 31, 2025 would have decreased by 1.2%. During the three months ended March 31, 2025, our revenues were not materially impacted as the average exchange rate remained consistent between the three months ended March 31, 2024 and March 31,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7"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If our costs were to become subject to significant inflationary pressures such as those caused by geopolitical tensions, we may not be able to fully offset such higher costs through price increases. Our inability or failure to do so could harm our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7" w:lineRule="exact"/>
        <w:rPr>
          <w:sz w:val="20"/>
          <w:szCs w:val="20"/>
          <w:color w:val="auto"/>
        </w:rPr>
      </w:pPr>
    </w:p>
    <w:p>
      <w:pPr>
        <w:ind w:right="80" w:firstLine="637"/>
        <w:spacing w:after="0" w:line="252"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8" w:lineRule="exact"/>
        <w:rPr>
          <w:sz w:val="20"/>
          <w:szCs w:val="20"/>
          <w:color w:val="auto"/>
        </w:rPr>
      </w:pPr>
    </w:p>
    <w:p>
      <w:pPr>
        <w:ind w:right="360" w:firstLine="637"/>
        <w:spacing w:after="0" w:line="257" w:lineRule="auto"/>
        <w:rPr>
          <w:sz w:val="20"/>
          <w:szCs w:val="20"/>
          <w:color w:val="auto"/>
        </w:rPr>
      </w:pPr>
      <w:r>
        <w:rPr>
          <w:rFonts w:ascii="Times New Roman" w:cs="Times New Roman" w:eastAsia="Times New Roman" w:hAnsi="Times New Roman"/>
          <w:sz w:val="18"/>
          <w:szCs w:val="18"/>
          <w:color w:val="auto"/>
        </w:rPr>
        <w:t>Pursuant to Rules 13a-15(e) and 15d-15(e) under the Exchange Act, our management, with the participation of our Chief Executive Officer and Chief Financial Officer, performed an evaluation of the effectiveness of our disclosure controls and procedures as of March 31, 2025. Based on such evaluation, our Chief Executive Officer and Chief Financial Officer concluded that our disclosure controls and procedures were effective at a reasonable assurance level as of March 31, 2025.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200" w:firstLine="637"/>
        <w:spacing w:after="0" w:line="261"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identified in connection with the evaluation required by Rule 13a-15(d) and 15d-15(d) of the Exchange Act that occurred during the quarter ended March 31, 2025,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17" w:lineRule="exact"/>
        <w:rPr>
          <w:sz w:val="20"/>
          <w:szCs w:val="20"/>
          <w:color w:val="auto"/>
        </w:rPr>
      </w:pPr>
    </w:p>
    <w:p>
      <w:pPr>
        <w:jc w:val="both"/>
        <w:ind w:right="200" w:firstLine="637"/>
        <w:spacing w:after="0" w:line="257"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9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1" w:lineRule="exact"/>
        <w:rPr>
          <w:sz w:val="20"/>
          <w:szCs w:val="20"/>
          <w:color w:val="auto"/>
        </w:rPr>
      </w:pPr>
    </w:p>
    <w:p>
      <w:pPr>
        <w:ind w:right="180" w:firstLine="644"/>
        <w:spacing w:after="0" w:line="257" w:lineRule="auto"/>
        <w:rPr>
          <w:sz w:val="20"/>
          <w:szCs w:val="20"/>
          <w:color w:val="auto"/>
        </w:rPr>
      </w:pPr>
      <w:r>
        <w:rPr>
          <w:rFonts w:ascii="Times New Roman" w:cs="Times New Roman" w:eastAsia="Times New Roman" w:hAnsi="Times New Roman"/>
          <w:sz w:val="18"/>
          <w:szCs w:val="18"/>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80" w:lineRule="exact"/>
        <w:rPr>
          <w:sz w:val="20"/>
          <w:szCs w:val="20"/>
          <w:color w:val="auto"/>
        </w:rPr>
      </w:pPr>
    </w:p>
    <w:p>
      <w:pPr>
        <w:ind w:right="100" w:firstLine="644"/>
        <w:spacing w:after="0" w:line="276" w:lineRule="auto"/>
        <w:rPr>
          <w:sz w:val="20"/>
          <w:szCs w:val="20"/>
          <w:color w:val="auto"/>
        </w:rPr>
      </w:pPr>
      <w:r>
        <w:rPr>
          <w:rFonts w:ascii="Times New Roman" w:cs="Times New Roman" w:eastAsia="Times New Roman" w:hAnsi="Times New Roman"/>
          <w:sz w:val="18"/>
          <w:szCs w:val="18"/>
          <w:color w:val="auto"/>
        </w:rPr>
        <w:t>For the period ended March 31, 2025, there were no material legal proceedings brought against us nor were there any material developments to any ongoing legal proceedings which constituted reportable events.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1" w:lineRule="exact"/>
        <w:rPr>
          <w:sz w:val="20"/>
          <w:szCs w:val="20"/>
          <w:color w:val="auto"/>
        </w:rPr>
      </w:pPr>
    </w:p>
    <w:p>
      <w:pPr>
        <w:ind w:firstLine="644"/>
        <w:spacing w:after="0" w:line="216" w:lineRule="exact"/>
        <w:rPr>
          <w:sz w:val="20"/>
          <w:szCs w:val="20"/>
          <w:color w:val="auto"/>
        </w:rPr>
      </w:pPr>
      <w:r>
        <w:rPr>
          <w:rFonts w:ascii="Times New Roman" w:cs="Times New Roman" w:eastAsia="Times New Roman" w:hAnsi="Times New Roman"/>
          <w:sz w:val="18"/>
          <w:szCs w:val="18"/>
          <w:color w:val="auto"/>
        </w:rPr>
        <w:t>Investing in our Class A common stock involves a high degree of risk. You should carefully consider the risks and uncertainties described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 under Part I, Item 1A, "Risk Factors,”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spacing w:after="0" w:line="157" w:lineRule="exact"/>
        <w:rPr>
          <w:sz w:val="20"/>
          <w:szCs w:val="20"/>
          <w:color w:val="auto"/>
        </w:rPr>
      </w:pPr>
    </w:p>
    <w:p>
      <w:pPr>
        <w:ind w:right="180" w:firstLine="644"/>
        <w:spacing w:after="0" w:line="237" w:lineRule="exact"/>
        <w:rPr>
          <w:sz w:val="20"/>
          <w:szCs w:val="20"/>
          <w:color w:val="auto"/>
        </w:rPr>
      </w:pPr>
      <w:r>
        <w:rPr>
          <w:rFonts w:ascii="Times New Roman" w:cs="Times New Roman" w:eastAsia="Times New Roman" w:hAnsi="Times New Roman"/>
          <w:sz w:val="18"/>
          <w:szCs w:val="18"/>
          <w:color w:val="auto"/>
        </w:rPr>
        <w:t>Other than as set forth below, there have been no material changes to our risk factors as previously disclosed in Item 1A. contained in Part I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could adversely impact our business, results of operations and financial condition.</w:t>
      </w:r>
    </w:p>
    <w:p>
      <w:pPr>
        <w:spacing w:after="0" w:line="223" w:lineRule="exact"/>
        <w:rPr>
          <w:sz w:val="20"/>
          <w:szCs w:val="20"/>
          <w:color w:val="auto"/>
        </w:rPr>
      </w:pPr>
    </w:p>
    <w:p>
      <w:pPr>
        <w:ind w:right="20" w:firstLine="731"/>
        <w:spacing w:after="0" w:line="249" w:lineRule="auto"/>
        <w:rPr>
          <w:sz w:val="20"/>
          <w:szCs w:val="20"/>
          <w:color w:val="auto"/>
        </w:rPr>
      </w:pPr>
      <w:r>
        <w:rPr>
          <w:rFonts w:ascii="Times New Roman" w:cs="Times New Roman" w:eastAsia="Times New Roman" w:hAnsi="Times New Roman"/>
          <w:sz w:val="18"/>
          <w:szCs w:val="18"/>
          <w:color w:val="auto"/>
        </w:rPr>
        <w:t>The recent announcements of substantial new tariffs and other restrictive trade policies have created a dynamic and unpredictable trade landscape, which may adversely impact our business. Current or future tariffs or other restrictive trade measures may raise the cost of raw materials, components or finished goods. We derive the majority of our revenue from the sale of parts and assemblies to our customers on our marketplace. Our business is therefore dependent upon the availability and price of raw materials, tools and components for assembly in various countries around the world. To the extent that significant tariffs, sanctions or similar restrictions are placed on certain goods imported into the United States or tariffs and similar measures, including retaliatory measures, are imposed by foreign governments, we could also face significant challenges in maintaining our cost-effectiveness, and we and our network of suppliers may be required to raise prices, thereby making our marketplace less attractive to buyers. To the extent suppliers increase their costs and we are unable to sufficiently pass such price increases on to our customers, or if the level of demand for the products and services we offer decreases as a result of any price increases, we may not be able to achieve or maintain profitability or otherwise maintain our historical margins. Our suppliers, and we as a result, may experience supply chain disruptions as a result of increased costs and uncertainty, including risks to the long-term viability of such suppliers, which may impact our ability to meet customer demand or cause reputational harm if we are unable to deliver products on expected timelines or if any price increases are poorly received by customers. In addition, many of our customers operate businesses that may be impacted by trade policies, which may result in decreased demand on our marketplace or extended sales cycles as customers assess the impact of evolving trade policies on their operations and face increased costs or decreased revenue due to tariffs and trade restrictions. As a result of the foregoing factors, our business, financial condition and results of operations could be materially and adversely affected.</w:t>
      </w:r>
    </w:p>
    <w:p>
      <w:pPr>
        <w:spacing w:after="0" w:line="191" w:lineRule="exact"/>
        <w:rPr>
          <w:sz w:val="20"/>
          <w:szCs w:val="20"/>
          <w:color w:val="auto"/>
        </w:rPr>
      </w:pPr>
    </w:p>
    <w:p>
      <w:pPr>
        <w:ind w:right="120" w:firstLine="731"/>
        <w:spacing w:after="0" w:line="254" w:lineRule="auto"/>
        <w:rPr>
          <w:sz w:val="20"/>
          <w:szCs w:val="20"/>
          <w:color w:val="auto"/>
        </w:rPr>
      </w:pPr>
      <w:r>
        <w:rPr>
          <w:rFonts w:ascii="Times New Roman" w:cs="Times New Roman" w:eastAsia="Times New Roman" w:hAnsi="Times New Roman"/>
          <w:sz w:val="18"/>
          <w:szCs w:val="18"/>
          <w:color w:val="auto"/>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products on our marketplace, delay purchases or renewals, limit expansion opportunities with customers, limit our access to capital, or otherwise negatively impact our business and operations. Ongoing tariff, trade restrictions and macroeconomic uncertainty has and may continue to contribute to volatility in the price of our Class A common stock.</w:t>
      </w:r>
    </w:p>
    <w:p>
      <w:pPr>
        <w:spacing w:after="0" w:line="184" w:lineRule="exact"/>
        <w:rPr>
          <w:sz w:val="20"/>
          <w:szCs w:val="20"/>
          <w:color w:val="auto"/>
        </w:rPr>
      </w:pPr>
    </w:p>
    <w:p>
      <w:pPr>
        <w:ind w:right="200" w:firstLine="731"/>
        <w:spacing w:after="0" w:line="261"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U.S. or foreign jurisdictions related to compliance with trade regulations. In addition, retaliatory trade policies or anti-U.S. sentiment in certain regions whether driven by trade tensions, political disagreements, or</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regulatory concerns may make customers, governments and investors more hesitant to engage with, purchase from or invest in U.S. firms. This may lead to increased preference for local competitors, changes to government procurement policies, heightened regulatory scrutiny, decreased intellectual property protections, delays in regulatory approvals or other retaliatory regulatory non-tariff policies, which may result in heightened international legal and operational risks and difficulties in attracting and retaining non-U.S. customers, suppliers, employees, partners and investors. Further, international suppliers may elect not to continue engaging us, limiting our sourcing options and increasing our dependency on domestic suppliers.</w:t>
      </w:r>
    </w:p>
    <w:p>
      <w:pPr>
        <w:spacing w:after="0" w:line="187" w:lineRule="exact"/>
        <w:rPr>
          <w:sz w:val="20"/>
          <w:szCs w:val="20"/>
          <w:color w:val="auto"/>
        </w:rPr>
      </w:pPr>
    </w:p>
    <w:p>
      <w:pPr>
        <w:ind w:firstLine="731"/>
        <w:spacing w:after="0" w:line="257" w:lineRule="auto"/>
        <w:rPr>
          <w:sz w:val="20"/>
          <w:szCs w:val="20"/>
          <w:color w:val="auto"/>
        </w:rPr>
      </w:pPr>
      <w:r>
        <w:rPr>
          <w:rFonts w:ascii="Times New Roman" w:cs="Times New Roman" w:eastAsia="Times New Roman" w:hAnsi="Times New Roman"/>
          <w:sz w:val="18"/>
          <w:szCs w:val="18"/>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in our Annual Report for the fiscal year ended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2" w:lineRule="exact"/>
        <w:rPr>
          <w:sz w:val="20"/>
          <w:szCs w:val="20"/>
          <w:color w:val="auto"/>
        </w:rPr>
      </w:pPr>
    </w:p>
    <w:p>
      <w:pPr>
        <w:ind w:right="20" w:firstLine="749"/>
        <w:spacing w:after="0" w:line="276" w:lineRule="auto"/>
        <w:rPr>
          <w:sz w:val="20"/>
          <w:szCs w:val="20"/>
          <w:color w:val="auto"/>
        </w:rPr>
      </w:pPr>
      <w:r>
        <w:rPr>
          <w:rFonts w:ascii="Times New Roman" w:cs="Times New Roman" w:eastAsia="Times New Roman" w:hAnsi="Times New Roman"/>
          <w:sz w:val="18"/>
          <w:szCs w:val="18"/>
          <w:color w:val="auto"/>
        </w:rPr>
        <w:t>In January 2025, pursuant to our January 2023 acquisition of Tridi, we issued 16,716 shares of Class A common stock with a value of $0.6 million as contingent consideration to the former owners of Tridi.</w:t>
      </w:r>
    </w:p>
    <w:p>
      <w:pPr>
        <w:spacing w:after="0" w:line="137" w:lineRule="exact"/>
        <w:rPr>
          <w:sz w:val="20"/>
          <w:szCs w:val="20"/>
          <w:color w:val="auto"/>
        </w:rPr>
      </w:pPr>
    </w:p>
    <w:p>
      <w:pPr>
        <w:ind w:right="600" w:firstLine="749"/>
        <w:spacing w:after="0" w:line="276" w:lineRule="auto"/>
        <w:rPr>
          <w:sz w:val="20"/>
          <w:szCs w:val="20"/>
          <w:color w:val="auto"/>
        </w:rPr>
      </w:pPr>
      <w:r>
        <w:rPr>
          <w:rFonts w:ascii="Times New Roman" w:cs="Times New Roman" w:eastAsia="Times New Roman" w:hAnsi="Times New Roman"/>
          <w:sz w:val="18"/>
          <w:szCs w:val="18"/>
          <w:color w:val="auto"/>
        </w:rPr>
        <w:t>The issuance of these shares was exempt from registration under the Securities Act in reliance on Section 4(a)(2) of the Securities Act as a transaction by an issuer not involving any public offering.</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1" w:lineRule="exact"/>
        <w:rPr>
          <w:sz w:val="20"/>
          <w:szCs w:val="20"/>
          <w:color w:val="auto"/>
        </w:rPr>
      </w:pPr>
    </w:p>
    <w:p>
      <w:pPr>
        <w:ind w:right="380" w:firstLine="644"/>
        <w:spacing w:after="0" w:line="276" w:lineRule="auto"/>
        <w:rPr>
          <w:sz w:val="20"/>
          <w:szCs w:val="20"/>
          <w:color w:val="auto"/>
        </w:rPr>
      </w:pPr>
      <w:r>
        <w:rPr>
          <w:rFonts w:ascii="Times New Roman" w:cs="Times New Roman" w:eastAsia="Times New Roman" w:hAnsi="Times New Roman"/>
          <w:sz w:val="18"/>
          <w:szCs w:val="18"/>
          <w:color w:val="auto"/>
        </w:rPr>
        <w:t>During our last fiscal quarter, none of our directors and officers (as defined in Rule 16a-1(f) under the Securities and Exchange Act of 1934, as amended) adopted or terminated the contracts, instructions or written plans for the purchase or sale of the Company’s securities.</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1" w:lineRule="exact"/>
        <w:rPr>
          <w:sz w:val="20"/>
          <w:szCs w:val="20"/>
          <w:color w:val="auto"/>
        </w:rPr>
      </w:pPr>
    </w:p>
    <w:p>
      <w:pPr>
        <w:ind w:right="700" w:firstLine="644"/>
        <w:spacing w:after="0" w:line="276" w:lineRule="auto"/>
        <w:rPr>
          <w:sz w:val="20"/>
          <w:szCs w:val="20"/>
          <w:color w:val="auto"/>
        </w:rPr>
      </w:pPr>
      <w:r>
        <w:rPr>
          <w:rFonts w:ascii="Times New Roman" w:cs="Times New Roman" w:eastAsia="Times New Roman" w:hAnsi="Times New Roman"/>
          <w:sz w:val="18"/>
          <w:szCs w:val="18"/>
          <w:color w:val="auto"/>
        </w:rPr>
        <w:t>The documents listed in the Exhibit Index of this Quarterly Report on Form 10-Q are herein incorporated by reference or are filed with this Quarterly Report on Form 10-Q, in each case as indicated therein (numbered in accordance with Item 601 of Regulation S-K).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5600" w:type="dxa"/>
            <w:vAlign w:val="bottom"/>
            <w:gridSpan w:val="10"/>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10080" w:type="dxa"/>
            <w:vAlign w:val="bottom"/>
            <w:gridSpan w:val="12"/>
          </w:tcPr>
          <w:p>
            <w:pPr>
              <w:spacing w:after="0"/>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Amended and Restated Certificate of Incorporation of Xometry, Inc., (incorporated herein by reference to Exhibit 3.1 to the Company’s</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80" w:type="dxa"/>
            <w:vAlign w:val="bottom"/>
            <w:gridSpan w:val="12"/>
          </w:tcPr>
          <w:p>
            <w:pPr>
              <w:spacing w:after="0" w:line="194"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Current Report on Form 8-K (File No. 001-40546), filed with the SEC on July 2, 2021).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6"/>
                <w:szCs w:val="16"/>
                <w:color w:val="auto"/>
              </w:rPr>
            </w:pPr>
          </w:p>
        </w:tc>
        <w:tc>
          <w:tcPr>
            <w:tcW w:w="10080" w:type="dxa"/>
            <w:vAlign w:val="bottom"/>
            <w:gridSpan w:val="12"/>
          </w:tcPr>
          <w:p>
            <w:pPr>
              <w:spacing w:after="0" w:line="194" w:lineRule="exact"/>
              <w:rPr>
                <w:rFonts w:ascii="Times New Roman" w:cs="Times New Roman" w:eastAsia="Times New Roman" w:hAnsi="Times New Roman"/>
                <w:sz w:val="18"/>
                <w:szCs w:val="18"/>
                <w:color w:val="0000FF"/>
                <w:w w:val="99"/>
              </w:rPr>
            </w:pPr>
            <w:hyperlink r:id="rId307">
              <w:r>
                <w:rPr>
                  <w:rFonts w:ascii="Times New Roman" w:cs="Times New Roman" w:eastAsia="Times New Roman" w:hAnsi="Times New Roman"/>
                  <w:sz w:val="18"/>
                  <w:szCs w:val="18"/>
                  <w:color w:val="0000FF"/>
                  <w:w w:val="99"/>
                </w:rPr>
                <w:t>Amended and Restated Bylaws of Xometry, Inc., (incorporated herein by reference to Exhibit 3.2 to the Company’s Current Report on Form</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80" w:type="dxa"/>
            <w:vAlign w:val="bottom"/>
            <w:gridSpan w:val="12"/>
          </w:tcPr>
          <w:p>
            <w:pPr>
              <w:spacing w:after="0" w:line="194"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8-K (File No. 001-40546), filed with the SEC on July 2, 2021).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6"/>
                <w:szCs w:val="16"/>
                <w:color w:val="auto"/>
              </w:rPr>
            </w:pPr>
          </w:p>
        </w:tc>
        <w:tc>
          <w:tcPr>
            <w:tcW w:w="10080" w:type="dxa"/>
            <w:vAlign w:val="bottom"/>
            <w:gridSpan w:val="12"/>
          </w:tcPr>
          <w:p>
            <w:pPr>
              <w:spacing w:after="0" w:line="194"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Employment Agreement by and between Xometry, Inc. and Sanjeev Singh Sahni (incorporated herein by reference to Exhibit 10.22 to the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FF"/>
            </w:tcBorders>
            <w:gridSpan w:val="2"/>
            <w:shd w:val="clear" w:color="auto" w:fill="0000FF"/>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80" w:type="dxa"/>
            <w:vAlign w:val="bottom"/>
            <w:gridSpan w:val="12"/>
          </w:tcPr>
          <w:p>
            <w:pPr>
              <w:spacing w:after="0" w:line="194"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Company’s Annual Report on Form 10-K (File No. 001-40546), filed with the SEC on February 25, 2025).</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FF"/>
            </w:tcBorders>
            <w:gridSpan w:val="2"/>
            <w:shd w:val="clear" w:color="auto" w:fill="0000FF"/>
          </w:tcPr>
          <w:p>
            <w:pPr>
              <w:spacing w:after="0" w:line="20" w:lineRule="exact"/>
              <w:rPr>
                <w:sz w:val="1"/>
                <w:szCs w:val="1"/>
                <w:color w:val="auto"/>
              </w:rPr>
            </w:pPr>
          </w:p>
        </w:tc>
        <w:tc>
          <w:tcPr>
            <w:tcW w:w="2700" w:type="dxa"/>
            <w:vAlign w:val="bottom"/>
            <w:tcBorders>
              <w:right w:val="single" w:sz="8" w:color="0000EE"/>
            </w:tcBorders>
            <w:gridSpan w:val="2"/>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6"/>
                <w:szCs w:val="16"/>
                <w:color w:val="auto"/>
              </w:rPr>
            </w:pPr>
          </w:p>
        </w:tc>
        <w:tc>
          <w:tcPr>
            <w:tcW w:w="10080" w:type="dxa"/>
            <w:vAlign w:val="bottom"/>
            <w:gridSpan w:val="12"/>
          </w:tcPr>
          <w:p>
            <w:pPr>
              <w:spacing w:after="0" w:line="194" w:lineRule="exact"/>
              <w:rPr>
                <w:rFonts w:ascii="Times New Roman" w:cs="Times New Roman" w:eastAsia="Times New Roman" w:hAnsi="Times New Roman"/>
                <w:sz w:val="18"/>
                <w:szCs w:val="18"/>
                <w:color w:val="0000FF"/>
                <w:w w:val="98"/>
              </w:rPr>
            </w:pPr>
            <w:hyperlink r:id="rId309">
              <w:r>
                <w:rPr>
                  <w:rFonts w:ascii="Times New Roman" w:cs="Times New Roman" w:eastAsia="Times New Roman" w:hAnsi="Times New Roman"/>
                  <w:sz w:val="18"/>
                  <w:szCs w:val="18"/>
                  <w:color w:val="0000FF"/>
                  <w:w w:val="98"/>
                </w:rPr>
                <w:t>Employment Agreement by and between Xometry, Inc. and Vaidyanathan Raghavan (incorporated herein by reference to Exhibit 10.23 to the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FF"/>
            </w:tcBorders>
            <w:gridSpan w:val="2"/>
            <w:shd w:val="clear" w:color="auto" w:fill="0000FF"/>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80" w:type="dxa"/>
            <w:vAlign w:val="bottom"/>
            <w:gridSpan w:val="12"/>
          </w:tcPr>
          <w:p>
            <w:pPr>
              <w:spacing w:after="0" w:line="194"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Company’s Annual Report on Form 10-K (File No. 001-40546), filed with the SEC on February 25, 2025).</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020" w:type="dxa"/>
            <w:vAlign w:val="bottom"/>
            <w:tcBorders>
              <w:right w:val="single" w:sz="8" w:color="0000EE"/>
            </w:tcBorders>
            <w:gridSpan w:val="2"/>
            <w:shd w:val="clear" w:color="auto" w:fill="0000EE"/>
          </w:tcPr>
          <w:p>
            <w:pPr>
              <w:spacing w:after="0" w:line="20" w:lineRule="exact"/>
              <w:rPr>
                <w:sz w:val="1"/>
                <w:szCs w:val="1"/>
                <w:color w:val="auto"/>
              </w:rPr>
            </w:pPr>
          </w:p>
        </w:tc>
        <w:tc>
          <w:tcPr>
            <w:tcW w:w="2700" w:type="dxa"/>
            <w:vAlign w:val="bottom"/>
            <w:tcBorders>
              <w:right w:val="single" w:sz="8" w:color="0000EE"/>
            </w:tcBorders>
            <w:gridSpan w:val="2"/>
            <w:shd w:val="clear" w:color="auto" w:fill="0000EE"/>
          </w:tcPr>
          <w:p>
            <w:pPr>
              <w:spacing w:after="0" w:line="20" w:lineRule="exact"/>
              <w:rPr>
                <w:sz w:val="1"/>
                <w:szCs w:val="1"/>
                <w:color w:val="auto"/>
              </w:rPr>
            </w:pPr>
          </w:p>
        </w:tc>
        <w:tc>
          <w:tcPr>
            <w:tcW w:w="1840" w:type="dxa"/>
            <w:vAlign w:val="bottom"/>
            <w:tcBorders>
              <w:left w:val="single" w:sz="8" w:color="0000EE"/>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6"/>
                <w:szCs w:val="16"/>
                <w:color w:val="auto"/>
              </w:rPr>
            </w:pPr>
          </w:p>
        </w:tc>
        <w:tc>
          <w:tcPr>
            <w:tcW w:w="1008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FF"/>
            </w:tcBorders>
            <w:gridSpan w:val="2"/>
            <w:shd w:val="clear" w:color="auto" w:fill="0000FF"/>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8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gridSpan w:val="2"/>
            <w:shd w:val="clear" w:color="auto" w:fill="0000FF"/>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6"/>
                <w:szCs w:val="16"/>
                <w:color w:val="auto"/>
              </w:rPr>
            </w:pPr>
          </w:p>
        </w:tc>
        <w:tc>
          <w:tcPr>
            <w:tcW w:w="1008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560" w:type="dxa"/>
            <w:vAlign w:val="bottom"/>
            <w:gridSpan w:val="5"/>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8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gridSpan w:val="2"/>
            <w:shd w:val="clear" w:color="auto" w:fill="0000FF"/>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6"/>
                <w:szCs w:val="16"/>
                <w:color w:val="auto"/>
              </w:rPr>
            </w:pPr>
          </w:p>
        </w:tc>
        <w:tc>
          <w:tcPr>
            <w:tcW w:w="1008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00" w:type="dxa"/>
            <w:vAlign w:val="bottom"/>
            <w:gridSpan w:val="8"/>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8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00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6"/>
                <w:szCs w:val="16"/>
                <w:color w:val="auto"/>
              </w:rPr>
            </w:pPr>
          </w:p>
        </w:tc>
        <w:tc>
          <w:tcPr>
            <w:tcW w:w="1008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900" w:type="dxa"/>
            <w:vAlign w:val="bottom"/>
            <w:gridSpan w:val="9"/>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8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18"/>
                <w:szCs w:val="18"/>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0"/>
                <w:szCs w:val="20"/>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4400" w:firstLine="7"/>
        <w:spacing w:after="0" w:line="394" w:lineRule="auto"/>
        <w:tabs>
          <w:tab w:leader="none" w:pos="113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520" w:right="560" w:hanging="514"/>
        <w:spacing w:after="0" w:line="250" w:lineRule="auto"/>
        <w:tabs>
          <w:tab w:leader="none" w:pos="4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-622300</wp:posOffset>
            </wp:positionV>
            <wp:extent cx="9480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94805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8083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ind w:right="860" w:firstLine="509"/>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XOMETRY, INC.</w:t>
      </w:r>
    </w:p>
    <w:p>
      <w:pPr>
        <w:spacing w:after="0" w:line="219"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15875</wp:posOffset>
            </wp:positionV>
            <wp:extent cx="330898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tabs>
          <w:tab w:leader="none" w:pos="5680" w:val="left"/>
          <w:tab w:leader="none" w:pos="810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Miln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15875</wp:posOffset>
            </wp:positionV>
            <wp:extent cx="330898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Miln</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7"/>
          <w:szCs w:val="17"/>
          <w:b w:val="1"/>
          <w:bCs w:val="1"/>
          <w:color w:val="auto"/>
        </w:rPr>
        <w:t>(Principal Financial and Accounting Officer)</w:t>
      </w:r>
    </w:p>
    <w:p>
      <w:pPr>
        <w:spacing w:after="0" w:line="3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962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340"/>
          </w:cols>
          <w:pgMar w:left="320" w:top="761" w:right="1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Randolph Altschuler, certify that:</w:t>
      </w:r>
    </w:p>
    <w:p>
      <w:pPr>
        <w:spacing w:after="0" w:line="219" w:lineRule="exact"/>
        <w:rPr>
          <w:sz w:val="20"/>
          <w:szCs w:val="20"/>
          <w:color w:val="auto"/>
        </w:rPr>
      </w:pPr>
    </w:p>
    <w:p>
      <w:pPr>
        <w:ind w:left="520" w:hanging="513"/>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Xometry, Inc.;</w:t>
      </w:r>
    </w:p>
    <w:p>
      <w:pPr>
        <w:spacing w:after="0" w:line="219" w:lineRule="exact"/>
        <w:rPr>
          <w:rFonts w:ascii="Times New Roman" w:cs="Times New Roman" w:eastAsia="Times New Roman" w:hAnsi="Times New Roman"/>
          <w:sz w:val="18"/>
          <w:szCs w:val="18"/>
          <w:color w:val="auto"/>
        </w:rPr>
      </w:pPr>
    </w:p>
    <w:p>
      <w:pPr>
        <w:jc w:val="both"/>
        <w:ind w:left="520" w:right="400" w:hanging="513"/>
        <w:spacing w:after="0" w:line="26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360" w:hanging="513"/>
        <w:spacing w:after="0" w:line="27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520" w:right="380" w:hanging="513"/>
        <w:spacing w:after="0" w:line="26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20" w:hanging="480"/>
        <w:spacing w:after="0" w:line="261" w:lineRule="auto"/>
        <w:tabs>
          <w:tab w:leader="none" w:pos="8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440" w:hanging="480"/>
        <w:spacing w:after="0" w:line="261" w:lineRule="auto"/>
        <w:tabs>
          <w:tab w:leader="none" w:pos="8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620" w:hanging="480"/>
        <w:spacing w:after="0" w:line="306" w:lineRule="auto"/>
        <w:tabs>
          <w:tab w:leader="none" w:pos="89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left="1020" w:right="300" w:hanging="480"/>
        <w:spacing w:after="0" w:line="261" w:lineRule="auto"/>
        <w:tabs>
          <w:tab w:leader="none" w:pos="8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00" w:hanging="513"/>
        <w:spacing w:after="0" w:line="27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020" w:right="160" w:hanging="480"/>
        <w:spacing w:after="0" w:line="276" w:lineRule="auto"/>
        <w:tabs>
          <w:tab w:leader="none" w:pos="8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1020" w:right="140" w:hanging="480"/>
        <w:spacing w:after="0" w:line="276" w:lineRule="auto"/>
        <w:tabs>
          <w:tab w:leader="none" w:pos="8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15875</wp:posOffset>
            </wp:positionV>
            <wp:extent cx="330898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871220</wp:posOffset>
            </wp:positionV>
            <wp:extent cx="715962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Miln, certify that:</w:t>
      </w:r>
    </w:p>
    <w:p>
      <w:pPr>
        <w:spacing w:after="0" w:line="219" w:lineRule="exact"/>
        <w:rPr>
          <w:sz w:val="20"/>
          <w:szCs w:val="20"/>
          <w:color w:val="auto"/>
        </w:rPr>
      </w:pPr>
    </w:p>
    <w:p>
      <w:pPr>
        <w:ind w:left="520" w:hanging="513"/>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Xometry, Inc.;</w:t>
      </w:r>
    </w:p>
    <w:p>
      <w:pPr>
        <w:spacing w:after="0" w:line="219" w:lineRule="exact"/>
        <w:rPr>
          <w:rFonts w:ascii="Times New Roman" w:cs="Times New Roman" w:eastAsia="Times New Roman" w:hAnsi="Times New Roman"/>
          <w:sz w:val="18"/>
          <w:szCs w:val="18"/>
          <w:color w:val="auto"/>
        </w:rPr>
      </w:pPr>
    </w:p>
    <w:p>
      <w:pPr>
        <w:jc w:val="both"/>
        <w:ind w:left="520" w:right="400" w:hanging="513"/>
        <w:spacing w:after="0" w:line="261"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360" w:hanging="513"/>
        <w:spacing w:after="0" w:line="27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520" w:right="380" w:hanging="513"/>
        <w:spacing w:after="0" w:line="261"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20" w:hanging="480"/>
        <w:spacing w:after="0" w:line="261" w:lineRule="auto"/>
        <w:tabs>
          <w:tab w:leader="none" w:pos="8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440" w:hanging="480"/>
        <w:spacing w:after="0" w:line="261" w:lineRule="auto"/>
        <w:tabs>
          <w:tab w:leader="none" w:pos="8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620" w:hanging="480"/>
        <w:spacing w:after="0" w:line="306" w:lineRule="auto"/>
        <w:tabs>
          <w:tab w:leader="none" w:pos="89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left="1020" w:right="300" w:hanging="480"/>
        <w:spacing w:after="0" w:line="261" w:lineRule="auto"/>
        <w:tabs>
          <w:tab w:leader="none" w:pos="8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00" w:hanging="513"/>
        <w:spacing w:after="0" w:line="27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020" w:right="160" w:hanging="480"/>
        <w:spacing w:after="0" w:line="276" w:lineRule="auto"/>
        <w:tabs>
          <w:tab w:leader="none" w:pos="8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1020" w:right="140" w:hanging="480"/>
        <w:spacing w:after="0" w:line="276" w:lineRule="auto"/>
        <w:tabs>
          <w:tab w:leader="none" w:pos="8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5680" w:val="left"/>
          <w:tab w:leader="none" w:pos="810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Miln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15875</wp:posOffset>
            </wp:positionV>
            <wp:extent cx="330898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Miln</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735330</wp:posOffset>
            </wp:positionV>
            <wp:extent cx="715962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Xometry, Inc. (the “Company”) on Form 10-Q for the period ended March 31, 2025 as filed with the Securities and Exchange Commission on the date hereof (the “Report”), I certify, pursuant to 18 U.S.C. § 1350, as adopted pursuant to § 906 of the Sarbanes-Oxley Act of 2002, that:</w:t>
      </w:r>
    </w:p>
    <w:p>
      <w:pPr>
        <w:spacing w:after="0" w:line="178" w:lineRule="exact"/>
        <w:rPr>
          <w:sz w:val="20"/>
          <w:szCs w:val="20"/>
          <w:color w:val="auto"/>
        </w:rPr>
      </w:pPr>
    </w:p>
    <w:p>
      <w:pPr>
        <w:ind w:left="900" w:hanging="360"/>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18"/>
          <w:szCs w:val="18"/>
          <w:color w:val="auto"/>
        </w:rPr>
      </w:pPr>
    </w:p>
    <w:p>
      <w:pPr>
        <w:ind w:left="900" w:right="2060" w:hanging="449"/>
        <w:spacing w:after="0" w:line="276" w:lineRule="auto"/>
        <w:tabs>
          <w:tab w:leader="none" w:pos="8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15875</wp:posOffset>
            </wp:positionV>
            <wp:extent cx="330898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735330</wp:posOffset>
            </wp:positionV>
            <wp:extent cx="715962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Xometry, Inc. (the “Company”) on Form 10-Q for the period ended March 31, 2025 as filed with the Securities and Exchange Commission on the date hereof (the “Report”), I certify, pursuant to 18 U.S.C. § 1350, as adopted pursuant to § 906 of the Sarbanes-Oxley Act of 2002, that:</w:t>
      </w:r>
    </w:p>
    <w:p>
      <w:pPr>
        <w:spacing w:after="0" w:line="178" w:lineRule="exact"/>
        <w:rPr>
          <w:sz w:val="20"/>
          <w:szCs w:val="20"/>
          <w:color w:val="auto"/>
        </w:rPr>
      </w:pPr>
    </w:p>
    <w:p>
      <w:pPr>
        <w:ind w:left="900" w:hanging="360"/>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18"/>
          <w:szCs w:val="18"/>
          <w:color w:val="auto"/>
        </w:rPr>
      </w:pPr>
    </w:p>
    <w:p>
      <w:pPr>
        <w:ind w:left="900" w:hanging="360"/>
        <w:spacing w:after="0"/>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8" w:lineRule="exact"/>
        <w:rPr>
          <w:sz w:val="20"/>
          <w:szCs w:val="20"/>
          <w:color w:val="auto"/>
        </w:rPr>
      </w:pPr>
    </w:p>
    <w:p>
      <w:pPr>
        <w:spacing w:after="0"/>
        <w:tabs>
          <w:tab w:leader="none" w:pos="5680" w:val="left"/>
          <w:tab w:leader="none" w:pos="810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Miln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15875</wp:posOffset>
            </wp:positionV>
            <wp:extent cx="330898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Miln</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871220</wp:posOffset>
            </wp:positionV>
            <wp:extent cx="715962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lowerRoman"/>
      <w:start w:val="3"/>
    </w:lvl>
  </w:abstractNum>
  <w:abstractNum w:abstractNumId="5">
    <w:nsid w:val="431BD7B7"/>
    <w:multiLevelType w:val="hybridMultilevel"/>
    <w:lvl w:ilvl="0">
      <w:lvlJc w:val="left"/>
      <w:lvlText w:val="(%1)"/>
      <w:numFmt w:val="lowerLetter"/>
      <w:start w:val="11"/>
    </w:lvl>
  </w:abstractNum>
  <w:abstractNum w:abstractNumId="6">
    <w:nsid w:val="3F2DBA31"/>
    <w:multiLevelType w:val="hybridMultilevel"/>
    <w:lvl w:ilvl="0">
      <w:lvlJc w:val="left"/>
      <w:lvlText w:val="(%1)"/>
      <w:numFmt w:val="lowerLetter"/>
      <w:start w:val="12"/>
    </w:lvl>
  </w:abstractNum>
  <w:abstractNum w:abstractNumId="7">
    <w:nsid w:val="7C83E458"/>
    <w:multiLevelType w:val="hybridMultilevel"/>
    <w:lvl w:ilvl="0">
      <w:lvlJc w:val="left"/>
      <w:lvlText w:val="(%1)"/>
      <w:numFmt w:val="lowerLetter"/>
      <w:start w:val="13"/>
    </w:lvl>
  </w:abstractNum>
  <w:abstractNum w:abstractNumId="8">
    <w:nsid w:val="257130A3"/>
    <w:multiLevelType w:val="hybridMultilevel"/>
    <w:lvl w:ilvl="0">
      <w:lvlJc w:val="left"/>
      <w:lvlText w:val="(%1)"/>
      <w:numFmt w:val="lowerLetter"/>
      <w:start w:val="14"/>
    </w:lvl>
  </w:abstractNum>
  <w:abstractNum w:abstractNumId="9">
    <w:nsid w:val="62BBD95A"/>
    <w:multiLevelType w:val="hybridMultilevel"/>
    <w:lvl w:ilvl="0">
      <w:lvlJc w:val="left"/>
      <w:lvlText w:val="(%1)"/>
      <w:numFmt w:val="lowerLetter"/>
      <w:start w:val="15"/>
    </w:lvl>
  </w:abstractNum>
  <w:abstractNum w:abstractNumId="10">
    <w:nsid w:val="436C6125"/>
    <w:multiLevelType w:val="hybridMultilevel"/>
    <w:lvl w:ilvl="0">
      <w:lvlJc w:val="left"/>
      <w:lvlText w:val="(%1)"/>
      <w:numFmt w:val="lowerLetter"/>
      <w:start w:val="16"/>
    </w:lvl>
  </w:abstractNum>
  <w:abstractNum w:abstractNumId="11">
    <w:nsid w:val="628C895D"/>
    <w:multiLevelType w:val="hybridMultilevel"/>
    <w:lvl w:ilvl="0">
      <w:lvlJc w:val="left"/>
      <w:lvlText w:val="(%1)"/>
      <w:numFmt w:val="lowerLetter"/>
      <w:start w:val="17"/>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lowerLetter"/>
      <w:start w:val="18"/>
    </w:lvl>
  </w:abstractNum>
  <w:abstractNum w:abstractNumId="14">
    <w:nsid w:val="2443A858"/>
    <w:multiLevelType w:val="hybridMultilevel"/>
    <w:lvl w:ilvl="0">
      <w:lvlJc w:val="left"/>
      <w:lvlText w:val="(%1)"/>
      <w:numFmt w:val="lowerLetter"/>
      <w:start w:val="19"/>
    </w:lvl>
  </w:abstractNum>
  <w:abstractNum w:abstractNumId="15">
    <w:nsid w:val="2D1D5AE9"/>
    <w:multiLevelType w:val="hybridMultilevel"/>
    <w:lvl w:ilvl="0">
      <w:lvlJc w:val="left"/>
      <w:lvlText w:val="(%1)"/>
      <w:numFmt w:val="lowerLetter"/>
      <w:start w:val="20"/>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lvl w:ilvl="1">
      <w:lvlJc w:val="left"/>
      <w:lvlText w:val="%2"/>
      <w:numFmt w:val="decimal"/>
      <w:start w:val="104"/>
    </w:lvl>
  </w:abstractNum>
  <w:abstractNum w:abstractNumId="24">
    <w:nsid w:val="71F32454"/>
    <w:multiLevelType w:val="hybridMultilevel"/>
    <w:lvl w:ilvl="0">
      <w:lvlJc w:val="left"/>
      <w:lvlText w:val="**"/>
      <w:numFmt w:val="bullet"/>
      <w:start w:val="1"/>
    </w:lvl>
    <w:lvl w:ilvl="1">
      <w:lvlJc w:val="left"/>
      <w:lvlText w:val="%2"/>
      <w:numFmt w:val="decimal"/>
      <w:start w:val="1"/>
    </w:lvl>
  </w:abstractNum>
  <w:abstractNum w:abstractNumId="25">
    <w:nsid w:val="2CA88611"/>
    <w:multiLevelType w:val="hybridMultilevel"/>
    <w:lvl w:ilvl="0">
      <w:lvlJc w:val="left"/>
      <w:lvlText w:val="%1."/>
      <w:numFmt w:val="decimal"/>
      <w:start w:val="1"/>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decimal"/>
      <w:start w:val="1"/>
    </w:lvl>
  </w:abstractNum>
  <w:abstractNum w:abstractNumId="28">
    <w:nsid w:val="3A95F874"/>
    <w:multiLevelType w:val="hybridMultilevel"/>
    <w:lvl w:ilvl="0">
      <w:lvlJc w:val="left"/>
      <w:lvlText w:val="(%1)"/>
      <w:numFmt w:val="decimal"/>
      <w:start w:val="2"/>
    </w:lvl>
    <w:lvl w:ilvl="1">
      <w:lvlJc w:val="left"/>
      <w:lvlText w:val="%2"/>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06" Type="http://schemas.openxmlformats.org/officeDocument/2006/relationships/hyperlink" Target="https://www.sec.gov/Archives/edgar/data/0001657573/000119312521207643/d184650dex31.htm" TargetMode="External"/><Relationship Id="rId307" Type="http://schemas.openxmlformats.org/officeDocument/2006/relationships/hyperlink" Target="https://www.sec.gov/Archives/edgar/data/0001657573/000119312521207643/d184650dex32.htm" TargetMode="External"/><Relationship Id="rId308" Type="http://schemas.openxmlformats.org/officeDocument/2006/relationships/hyperlink" Target="https://www.sec.gov/Archives/edgar/data/1657573/000095017025026655/xmtr-ex10_22.htm" TargetMode="External"/><Relationship Id="rId309" Type="http://schemas.openxmlformats.org/officeDocument/2006/relationships/hyperlink" Target="https://www.sec.gov/Archives/edgar/data/1657573/000095017025026655/xmtr-ex10_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2025-05-06T15:29:43Z</dcterms:created>
  <dcterms:modified xsi:type="dcterms:W3CDTF">2025-05-06T15:29:43Z</dcterms:modified>
</cp:coreProperties>
</file>