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00"/>
          </w:cols>
          <w:pgMar w:left="460" w:top="225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Zuriff Laurence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2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25"/>
          </w:cols>
          <w:pgMar w:left="460" w:top="225" w:right="47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25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9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50.7195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948,400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49.8667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947,812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49.0563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946,612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47.813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945,665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50.722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296,321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49.8669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296,128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49.0558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295,732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47.8182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295,420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50.722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296,321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49.8669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296,128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2020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ectPr>
          <w:pgSz w:w="11900" w:h="16838" w:orient="portrait"/>
          <w:cols w:equalWidth="0" w:num="1">
            <w:col w:w="10960"/>
          </w:cols>
          <w:pgMar w:left="460" w:top="225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10526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1052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0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0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(8)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49.0557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295,732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0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(8)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47.8182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295,420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50.7103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296,204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49.8659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296,001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49.0532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295,597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47.8104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295,275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50.7179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190,004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49.8679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189,415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1,199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49.0559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188,216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47.8137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187,269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4852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48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187" w:right="359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960" w:type="dxa"/>
            <w:vAlign w:val="bottom"/>
            <w:gridSpan w:val="9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7Title.Title Sharesand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30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Represents shares sold in a transaction that was effected automatically pursuant to a Rule 10b5-1 trading plan adopted by the reporting person at least 30 days prior to the trading date.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40" w:firstLine="7"/>
        <w:spacing w:after="0" w:line="28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843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8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price reported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in Column 4 is a weighted average price. These shares were sold in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multiple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transactions at prices ranging from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$50.535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to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.</w:t>
      </w:r>
      <w:r>
        <w:rPr>
          <w:rFonts w:ascii="Arial" w:cs="Arial" w:eastAsia="Arial" w:hAnsi="Arial"/>
          <w:sz w:val="10"/>
          <w:szCs w:val="10"/>
          <w:color w:val="008000"/>
        </w:rPr>
        <w:t>$50.79, inclusive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.Thereporting person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undertakes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to provide to Xometry, Inc., any security holder of Xometry, Inc. or the staff of the Securities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Diposed</w:t>
      </w:r>
      <w:r>
        <w:rPr>
          <w:rFonts w:ascii="Arial" w:cs="Arial" w:eastAsia="Arial" w:hAnsi="Arial"/>
          <w:sz w:val="10"/>
          <w:szCs w:val="10"/>
          <w:color w:val="008000"/>
        </w:rPr>
        <w:t>andExchange Commission, upon request,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3and</w:t>
      </w:r>
      <w:r>
        <w:rPr>
          <w:rFonts w:ascii="Arial" w:cs="Arial" w:eastAsia="Arial" w:hAnsi="Arial"/>
          <w:sz w:val="10"/>
          <w:szCs w:val="10"/>
          <w:color w:val="008000"/>
        </w:rPr>
        <w:t>full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4)</w:t>
      </w:r>
      <w:r>
        <w:rPr>
          <w:rFonts w:ascii="Arial" w:cs="Arial" w:eastAsia="Arial" w:hAnsi="Arial"/>
          <w:sz w:val="10"/>
          <w:szCs w:val="10"/>
          <w:color w:val="008000"/>
        </w:rPr>
        <w:t>information regarding the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Reported</w:t>
      </w:r>
      <w:r>
        <w:rPr>
          <w:rFonts w:ascii="Arial" w:cs="Arial" w:eastAsia="Arial" w:hAnsi="Arial"/>
          <w:sz w:val="10"/>
          <w:szCs w:val="10"/>
          <w:color w:val="008000"/>
        </w:rPr>
        <w:t>number of shares sold at each separate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4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price in the ranges set forth in footnotes (2), (3), (4), (5) and (7) to this Form 4.</w:t>
            </w: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The price reported in Column 4 is a weighted average price. These shares were sold in multiple transactions at prices ranging from $49.52 to $50.50,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4.</w:t>
            </w: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$48.60 to $49.48,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5.</w:t>
            </w: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$47.48 to $48.23,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6.</w:t>
            </w: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Represents shares sold in a transaction that was effected automatically pursuant to a Rule 10b-5 trading plan adopted by the Jason Eric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3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ZuriffTrust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7.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8000"/>
              </w:rPr>
              <w:t>The price reported in Column 4 is a weighted average price. These shares were sold in multiple transactions at prices ranging from $50.535 to $50.79,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8.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>Represents shares sold in a transaction that was effected automatically pursuant to a Rule 10b-5 trading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6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 xml:space="preserve"> plan adopted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6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>bytheSophia Anna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6"/>
              </w:rPr>
              <w:t>of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 xml:space="preserve"> Zuriff 2020 Trust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9.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Represents shares sold in a transaction that was effected automatically pursuant to a Rule 10b-5 trading plan adopted by the Zuriff Family 2020 Trust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05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10. Represents shares sold in a transaction that was effected automatically pursuant to a Rule 10b-5 trading plan adopted by ZFI Capital, L.P.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022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2022-01-27T19:03:48Z</dcterms:created>
  <dcterms:modified xsi:type="dcterms:W3CDTF">2022-01-27T19:03:48Z</dcterms:modified>
</cp:coreProperties>
</file>