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U.S. Securities and Exchange Commission on July 2, 2021</w:t>
      </w:r>
    </w:p>
    <w:p>
      <w:pPr>
        <w:spacing w:after="0" w:line="11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Xometry,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680" w:type="dxa"/>
        <w:tblCellMar>
          <w:top w:w="0" w:type="dxa"/>
          <w:left w:w="0" w:type="dxa"/>
          <w:bottom w:w="0" w:type="dxa"/>
          <w:right w:w="0" w:type="dxa"/>
        </w:tblCellMar>
      </w:tblPr>
      <w:tr>
        <w:trPr>
          <w:trHeight w:val="212"/>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240" w:type="dxa"/>
            <w:vAlign w:val="bottom"/>
            <w:gridSpan w:val="3"/>
          </w:tcPr>
          <w:p>
            <w:pPr>
              <w:jc w:val="right"/>
              <w:ind w:right="274"/>
              <w:spacing w:after="0"/>
              <w:rPr>
                <w:sz w:val="20"/>
                <w:szCs w:val="20"/>
                <w:color w:val="auto"/>
              </w:rPr>
            </w:pPr>
            <w:r>
              <w:rPr>
                <w:rFonts w:ascii="Arial" w:cs="Arial" w:eastAsia="Arial" w:hAnsi="Arial"/>
                <w:sz w:val="18"/>
                <w:szCs w:val="18"/>
                <w:b w:val="1"/>
                <w:bCs w:val="1"/>
                <w:color w:val="auto"/>
              </w:rPr>
              <w:t>32-0415449</w:t>
            </w:r>
          </w:p>
        </w:tc>
      </w:tr>
      <w:tr>
        <w:trPr>
          <w:trHeight w:val="148"/>
        </w:trPr>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80" w:type="dxa"/>
            <w:vAlign w:val="bottom"/>
          </w:tcPr>
          <w:p>
            <w:pPr>
              <w:jc w:val="center"/>
              <w:ind w:left="79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80" w:type="dxa"/>
            <w:vAlign w:val="bottom"/>
          </w:tcPr>
          <w:p>
            <w:pPr>
              <w:jc w:val="center"/>
              <w:ind w:left="794"/>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gridSpan w:val="2"/>
          </w:tcPr>
          <w:p>
            <w:pPr>
              <w:jc w:val="center"/>
              <w:ind w:right="2394"/>
              <w:spacing w:after="0"/>
              <w:rPr>
                <w:sz w:val="20"/>
                <w:szCs w:val="20"/>
                <w:color w:val="auto"/>
              </w:rPr>
            </w:pPr>
            <w:r>
              <w:rPr>
                <w:rFonts w:ascii="Arial" w:cs="Arial" w:eastAsia="Arial" w:hAnsi="Arial"/>
                <w:sz w:val="18"/>
                <w:szCs w:val="18"/>
                <w:b w:val="1"/>
                <w:bCs w:val="1"/>
                <w:color w:val="auto"/>
                <w:w w:val="87"/>
              </w:rPr>
              <w:t>7529 Standish Place</w:t>
            </w: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2"/>
          </w:tcPr>
          <w:p>
            <w:pPr>
              <w:jc w:val="center"/>
              <w:ind w:right="2374"/>
              <w:spacing w:after="0"/>
              <w:rPr>
                <w:sz w:val="20"/>
                <w:szCs w:val="20"/>
                <w:color w:val="auto"/>
              </w:rPr>
            </w:pPr>
            <w:r>
              <w:rPr>
                <w:rFonts w:ascii="Arial" w:cs="Arial" w:eastAsia="Arial" w:hAnsi="Arial"/>
                <w:sz w:val="18"/>
                <w:szCs w:val="18"/>
                <w:b w:val="1"/>
                <w:bCs w:val="1"/>
                <w:color w:val="auto"/>
                <w:w w:val="88"/>
              </w:rPr>
              <w:t>Suite 200</w:t>
            </w: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2"/>
          </w:tcPr>
          <w:p>
            <w:pPr>
              <w:jc w:val="center"/>
              <w:ind w:right="2374"/>
              <w:spacing w:after="0"/>
              <w:rPr>
                <w:sz w:val="20"/>
                <w:szCs w:val="20"/>
                <w:color w:val="auto"/>
              </w:rPr>
            </w:pPr>
            <w:r>
              <w:rPr>
                <w:rFonts w:ascii="Arial" w:cs="Arial" w:eastAsia="Arial" w:hAnsi="Arial"/>
                <w:sz w:val="18"/>
                <w:szCs w:val="18"/>
                <w:b w:val="1"/>
                <w:bCs w:val="1"/>
                <w:color w:val="auto"/>
                <w:w w:val="92"/>
              </w:rPr>
              <w:t>Derwood, MD 20855</w:t>
            </w:r>
          </w:p>
        </w:tc>
      </w:tr>
      <w:tr>
        <w:trPr>
          <w:trHeight w:val="212"/>
        </w:trPr>
        <w:tc>
          <w:tcPr>
            <w:tcW w:w="2220" w:type="dxa"/>
            <w:vAlign w:val="bottom"/>
          </w:tcPr>
          <w:p>
            <w:pPr>
              <w:spacing w:after="0"/>
              <w:rPr>
                <w:sz w:val="18"/>
                <w:szCs w:val="18"/>
                <w:color w:val="auto"/>
              </w:rPr>
            </w:pPr>
          </w:p>
        </w:tc>
        <w:tc>
          <w:tcPr>
            <w:tcW w:w="2760" w:type="dxa"/>
            <w:vAlign w:val="bottom"/>
            <w:gridSpan w:val="2"/>
          </w:tcPr>
          <w:p>
            <w:pPr>
              <w:jc w:val="center"/>
              <w:ind w:left="353"/>
              <w:spacing w:after="0"/>
              <w:rPr>
                <w:sz w:val="20"/>
                <w:szCs w:val="20"/>
                <w:color w:val="auto"/>
              </w:rPr>
            </w:pPr>
            <w:r>
              <w:rPr>
                <w:rFonts w:ascii="Arial" w:cs="Arial" w:eastAsia="Arial" w:hAnsi="Arial"/>
                <w:sz w:val="18"/>
                <w:szCs w:val="18"/>
                <w:b w:val="1"/>
                <w:bCs w:val="1"/>
                <w:color w:val="auto"/>
                <w:w w:val="90"/>
              </w:rPr>
              <w:t>(240) 335-7914</w:t>
            </w:r>
          </w:p>
        </w:tc>
        <w:tc>
          <w:tcPr>
            <w:tcW w:w="2480" w:type="dxa"/>
            <w:vAlign w:val="bottom"/>
          </w:tcPr>
          <w:p>
            <w:pPr>
              <w:spacing w:after="0"/>
              <w:rPr>
                <w:sz w:val="18"/>
                <w:szCs w:val="18"/>
                <w:color w:val="auto"/>
              </w:rPr>
            </w:pPr>
          </w:p>
        </w:tc>
      </w:tr>
      <w:tr>
        <w:trPr>
          <w:trHeight w:val="186"/>
        </w:trPr>
        <w:tc>
          <w:tcPr>
            <w:tcW w:w="2220" w:type="dxa"/>
            <w:vAlign w:val="bottom"/>
          </w:tcPr>
          <w:p>
            <w:pPr>
              <w:spacing w:after="0"/>
              <w:rPr>
                <w:sz w:val="16"/>
                <w:szCs w:val="16"/>
                <w:color w:val="auto"/>
              </w:rPr>
            </w:pPr>
          </w:p>
        </w:tc>
        <w:tc>
          <w:tcPr>
            <w:tcW w:w="5240" w:type="dxa"/>
            <w:vAlign w:val="bottom"/>
            <w:gridSpan w:val="3"/>
          </w:tcPr>
          <w:p>
            <w:pPr>
              <w:jc w:val="center"/>
              <w:ind w:right="1954"/>
              <w:spacing w:after="0"/>
              <w:rPr>
                <w:sz w:val="20"/>
                <w:szCs w:val="20"/>
                <w:color w:val="auto"/>
              </w:rPr>
            </w:pPr>
            <w:r>
              <w:rPr>
                <w:rFonts w:ascii="Arial" w:cs="Arial" w:eastAsia="Arial" w:hAnsi="Arial"/>
                <w:sz w:val="14"/>
                <w:szCs w:val="14"/>
                <w:b w:val="1"/>
                <w:bCs w:val="1"/>
                <w:color w:val="auto"/>
                <w:w w:val="91"/>
              </w:rPr>
              <w:t>(Address of principal executive offices) (Zip code)</w:t>
            </w:r>
          </w:p>
        </w:tc>
      </w:tr>
      <w:tr>
        <w:trPr>
          <w:trHeight w:val="399"/>
        </w:trPr>
        <w:tc>
          <w:tcPr>
            <w:tcW w:w="7460" w:type="dxa"/>
            <w:vAlign w:val="bottom"/>
            <w:gridSpan w:val="4"/>
          </w:tcPr>
          <w:p>
            <w:pPr>
              <w:jc w:val="center"/>
              <w:ind w:left="94"/>
              <w:spacing w:after="0"/>
              <w:rPr>
                <w:sz w:val="20"/>
                <w:szCs w:val="20"/>
                <w:color w:val="auto"/>
              </w:rPr>
            </w:pPr>
            <w:r>
              <w:rPr>
                <w:rFonts w:ascii="Arial" w:cs="Arial" w:eastAsia="Arial" w:hAnsi="Arial"/>
                <w:sz w:val="18"/>
                <w:szCs w:val="18"/>
                <w:b w:val="1"/>
                <w:bCs w:val="1"/>
                <w:color w:val="auto"/>
                <w:w w:val="92"/>
              </w:rPr>
              <w:t>Nextline Manufacturing Corp. 2014 Stock Option Plan</w:t>
            </w:r>
          </w:p>
        </w:tc>
      </w:tr>
      <w:tr>
        <w:trPr>
          <w:trHeight w:val="216"/>
        </w:trPr>
        <w:tc>
          <w:tcPr>
            <w:tcW w:w="2220" w:type="dxa"/>
            <w:vAlign w:val="bottom"/>
          </w:tcPr>
          <w:p>
            <w:pPr>
              <w:spacing w:after="0"/>
              <w:rPr>
                <w:sz w:val="18"/>
                <w:szCs w:val="18"/>
                <w:color w:val="auto"/>
              </w:rPr>
            </w:pPr>
          </w:p>
        </w:tc>
        <w:tc>
          <w:tcPr>
            <w:tcW w:w="5240" w:type="dxa"/>
            <w:vAlign w:val="bottom"/>
            <w:gridSpan w:val="3"/>
          </w:tcPr>
          <w:p>
            <w:pPr>
              <w:jc w:val="center"/>
              <w:ind w:right="1934"/>
              <w:spacing w:after="0"/>
              <w:rPr>
                <w:sz w:val="20"/>
                <w:szCs w:val="20"/>
                <w:color w:val="auto"/>
              </w:rPr>
            </w:pPr>
            <w:r>
              <w:rPr>
                <w:rFonts w:ascii="Arial" w:cs="Arial" w:eastAsia="Arial" w:hAnsi="Arial"/>
                <w:sz w:val="18"/>
                <w:szCs w:val="18"/>
                <w:b w:val="1"/>
                <w:bCs w:val="1"/>
                <w:color w:val="auto"/>
                <w:w w:val="92"/>
              </w:rPr>
              <w:t>Xometry, Inc. 2016 Equity Incentive Plan</w:t>
            </w:r>
          </w:p>
        </w:tc>
      </w:tr>
      <w:tr>
        <w:trPr>
          <w:trHeight w:val="212"/>
        </w:trPr>
        <w:tc>
          <w:tcPr>
            <w:tcW w:w="2220" w:type="dxa"/>
            <w:vAlign w:val="bottom"/>
          </w:tcPr>
          <w:p>
            <w:pPr>
              <w:spacing w:after="0"/>
              <w:rPr>
                <w:sz w:val="18"/>
                <w:szCs w:val="18"/>
                <w:color w:val="auto"/>
              </w:rPr>
            </w:pPr>
          </w:p>
        </w:tc>
        <w:tc>
          <w:tcPr>
            <w:tcW w:w="5240" w:type="dxa"/>
            <w:vAlign w:val="bottom"/>
            <w:gridSpan w:val="3"/>
          </w:tcPr>
          <w:p>
            <w:pPr>
              <w:jc w:val="center"/>
              <w:ind w:right="1934"/>
              <w:spacing w:after="0"/>
              <w:rPr>
                <w:sz w:val="20"/>
                <w:szCs w:val="20"/>
                <w:color w:val="auto"/>
              </w:rPr>
            </w:pPr>
            <w:r>
              <w:rPr>
                <w:rFonts w:ascii="Arial" w:cs="Arial" w:eastAsia="Arial" w:hAnsi="Arial"/>
                <w:sz w:val="18"/>
                <w:szCs w:val="18"/>
                <w:b w:val="1"/>
                <w:bCs w:val="1"/>
                <w:color w:val="auto"/>
                <w:w w:val="92"/>
              </w:rPr>
              <w:t>Xometry, Inc. 2021 Equity Incentive Plan</w:t>
            </w:r>
          </w:p>
        </w:tc>
      </w:tr>
      <w:tr>
        <w:trPr>
          <w:trHeight w:val="186"/>
        </w:trPr>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0" w:type="dxa"/>
            <w:vAlign w:val="bottom"/>
            <w:gridSpan w:val="2"/>
          </w:tcPr>
          <w:p>
            <w:pPr>
              <w:jc w:val="center"/>
              <w:ind w:right="2374"/>
              <w:spacing w:after="0"/>
              <w:rPr>
                <w:sz w:val="20"/>
                <w:szCs w:val="20"/>
                <w:color w:val="auto"/>
              </w:rPr>
            </w:pPr>
            <w:r>
              <w:rPr>
                <w:rFonts w:ascii="Arial" w:cs="Arial" w:eastAsia="Arial" w:hAnsi="Arial"/>
                <w:sz w:val="14"/>
                <w:szCs w:val="14"/>
                <w:b w:val="1"/>
                <w:bCs w:val="1"/>
                <w:color w:val="auto"/>
                <w:w w:val="92"/>
              </w:rPr>
              <w:t>(Full titles of the plans)</w:t>
            </w:r>
          </w:p>
        </w:tc>
      </w:tr>
      <w:tr>
        <w:trPr>
          <w:trHeight w:val="399"/>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gridSpan w:val="2"/>
          </w:tcPr>
          <w:p>
            <w:pPr>
              <w:jc w:val="center"/>
              <w:ind w:right="2394"/>
              <w:spacing w:after="0"/>
              <w:rPr>
                <w:sz w:val="20"/>
                <w:szCs w:val="20"/>
                <w:color w:val="auto"/>
              </w:rPr>
            </w:pPr>
            <w:r>
              <w:rPr>
                <w:rFonts w:ascii="Arial" w:cs="Arial" w:eastAsia="Arial" w:hAnsi="Arial"/>
                <w:sz w:val="18"/>
                <w:szCs w:val="18"/>
                <w:b w:val="1"/>
                <w:bCs w:val="1"/>
                <w:color w:val="auto"/>
                <w:w w:val="90"/>
              </w:rPr>
              <w:t>Randolph Altschuler</w:t>
            </w: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2"/>
          </w:tcPr>
          <w:p>
            <w:pPr>
              <w:jc w:val="center"/>
              <w:ind w:right="2394"/>
              <w:spacing w:after="0"/>
              <w:rPr>
                <w:sz w:val="20"/>
                <w:szCs w:val="20"/>
                <w:color w:val="auto"/>
              </w:rPr>
            </w:pPr>
            <w:r>
              <w:rPr>
                <w:rFonts w:ascii="Arial" w:cs="Arial" w:eastAsia="Arial" w:hAnsi="Arial"/>
                <w:sz w:val="18"/>
                <w:szCs w:val="18"/>
                <w:b w:val="1"/>
                <w:bCs w:val="1"/>
                <w:color w:val="auto"/>
                <w:w w:val="91"/>
              </w:rPr>
              <w:t>Chief Executive Officer</w:t>
            </w: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2"/>
          </w:tcPr>
          <w:p>
            <w:pPr>
              <w:jc w:val="center"/>
              <w:ind w:right="2374"/>
              <w:spacing w:after="0"/>
              <w:rPr>
                <w:sz w:val="20"/>
                <w:szCs w:val="20"/>
                <w:color w:val="auto"/>
              </w:rPr>
            </w:pPr>
            <w:r>
              <w:rPr>
                <w:rFonts w:ascii="Arial" w:cs="Arial" w:eastAsia="Arial" w:hAnsi="Arial"/>
                <w:sz w:val="18"/>
                <w:szCs w:val="18"/>
                <w:b w:val="1"/>
                <w:bCs w:val="1"/>
                <w:color w:val="auto"/>
                <w:w w:val="93"/>
              </w:rPr>
              <w:t>Xometry, Inc.</w:t>
            </w: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2"/>
          </w:tcPr>
          <w:p>
            <w:pPr>
              <w:jc w:val="center"/>
              <w:ind w:right="2394"/>
              <w:spacing w:after="0"/>
              <w:rPr>
                <w:sz w:val="20"/>
                <w:szCs w:val="20"/>
                <w:color w:val="auto"/>
              </w:rPr>
            </w:pPr>
            <w:r>
              <w:rPr>
                <w:rFonts w:ascii="Arial" w:cs="Arial" w:eastAsia="Arial" w:hAnsi="Arial"/>
                <w:sz w:val="18"/>
                <w:szCs w:val="18"/>
                <w:b w:val="1"/>
                <w:bCs w:val="1"/>
                <w:color w:val="auto"/>
                <w:w w:val="87"/>
              </w:rPr>
              <w:t>7529 Standish Place</w:t>
            </w: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2"/>
          </w:tcPr>
          <w:p>
            <w:pPr>
              <w:jc w:val="center"/>
              <w:ind w:right="2374"/>
              <w:spacing w:after="0"/>
              <w:rPr>
                <w:sz w:val="20"/>
                <w:szCs w:val="20"/>
                <w:color w:val="auto"/>
              </w:rPr>
            </w:pPr>
            <w:r>
              <w:rPr>
                <w:rFonts w:ascii="Arial" w:cs="Arial" w:eastAsia="Arial" w:hAnsi="Arial"/>
                <w:sz w:val="18"/>
                <w:szCs w:val="18"/>
                <w:b w:val="1"/>
                <w:bCs w:val="1"/>
                <w:color w:val="auto"/>
                <w:w w:val="88"/>
              </w:rPr>
              <w:t>Suite 200</w:t>
            </w:r>
          </w:p>
        </w:tc>
      </w:tr>
      <w:tr>
        <w:trPr>
          <w:trHeight w:val="216"/>
        </w:trPr>
        <w:tc>
          <w:tcPr>
            <w:tcW w:w="2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0" w:type="dxa"/>
            <w:vAlign w:val="bottom"/>
            <w:gridSpan w:val="2"/>
          </w:tcPr>
          <w:p>
            <w:pPr>
              <w:jc w:val="center"/>
              <w:ind w:right="2374"/>
              <w:spacing w:after="0"/>
              <w:rPr>
                <w:sz w:val="20"/>
                <w:szCs w:val="20"/>
                <w:color w:val="auto"/>
              </w:rPr>
            </w:pPr>
            <w:r>
              <w:rPr>
                <w:rFonts w:ascii="Arial" w:cs="Arial" w:eastAsia="Arial" w:hAnsi="Arial"/>
                <w:sz w:val="18"/>
                <w:szCs w:val="18"/>
                <w:b w:val="1"/>
                <w:bCs w:val="1"/>
                <w:color w:val="auto"/>
                <w:w w:val="92"/>
              </w:rPr>
              <w:t>Derwood, MD 20855</w:t>
            </w:r>
          </w:p>
        </w:tc>
      </w:tr>
      <w:tr>
        <w:trPr>
          <w:trHeight w:val="212"/>
        </w:trPr>
        <w:tc>
          <w:tcPr>
            <w:tcW w:w="2220" w:type="dxa"/>
            <w:vAlign w:val="bottom"/>
          </w:tcPr>
          <w:p>
            <w:pPr>
              <w:spacing w:after="0"/>
              <w:rPr>
                <w:sz w:val="18"/>
                <w:szCs w:val="18"/>
                <w:color w:val="auto"/>
              </w:rPr>
            </w:pPr>
          </w:p>
        </w:tc>
        <w:tc>
          <w:tcPr>
            <w:tcW w:w="2760" w:type="dxa"/>
            <w:vAlign w:val="bottom"/>
            <w:gridSpan w:val="2"/>
          </w:tcPr>
          <w:p>
            <w:pPr>
              <w:jc w:val="center"/>
              <w:ind w:left="353"/>
              <w:spacing w:after="0"/>
              <w:rPr>
                <w:sz w:val="20"/>
                <w:szCs w:val="20"/>
                <w:color w:val="auto"/>
              </w:rPr>
            </w:pPr>
            <w:r>
              <w:rPr>
                <w:rFonts w:ascii="Arial" w:cs="Arial" w:eastAsia="Arial" w:hAnsi="Arial"/>
                <w:sz w:val="18"/>
                <w:szCs w:val="18"/>
                <w:b w:val="1"/>
                <w:bCs w:val="1"/>
                <w:color w:val="auto"/>
                <w:w w:val="90"/>
              </w:rPr>
              <w:t>(240) 335-7914</w:t>
            </w:r>
          </w:p>
        </w:tc>
        <w:tc>
          <w:tcPr>
            <w:tcW w:w="2480" w:type="dxa"/>
            <w:vAlign w:val="bottom"/>
          </w:tcPr>
          <w:p>
            <w:pPr>
              <w:spacing w:after="0"/>
              <w:rPr>
                <w:sz w:val="18"/>
                <w:szCs w:val="18"/>
                <w:color w:val="auto"/>
              </w:rPr>
            </w:pPr>
          </w:p>
        </w:tc>
      </w:tr>
      <w:tr>
        <w:trPr>
          <w:trHeight w:val="186"/>
        </w:trPr>
        <w:tc>
          <w:tcPr>
            <w:tcW w:w="7460" w:type="dxa"/>
            <w:vAlign w:val="bottom"/>
            <w:gridSpan w:val="4"/>
          </w:tcPr>
          <w:p>
            <w:pPr>
              <w:jc w:val="center"/>
              <w:ind w:left="94"/>
              <w:spacing w:after="0"/>
              <w:rPr>
                <w:sz w:val="20"/>
                <w:szCs w:val="20"/>
                <w:color w:val="auto"/>
              </w:rPr>
            </w:pPr>
            <w:r>
              <w:rPr>
                <w:rFonts w:ascii="Arial" w:cs="Arial" w:eastAsia="Arial" w:hAnsi="Arial"/>
                <w:sz w:val="14"/>
                <w:szCs w:val="14"/>
                <w:b w:val="1"/>
                <w:bCs w:val="1"/>
                <w:color w:val="auto"/>
                <w:w w:val="91"/>
              </w:rPr>
              <w:t>(Name, address and telephone number, including area code, of agent for service)</w:t>
            </w:r>
          </w:p>
        </w:tc>
      </w:tr>
      <w:tr>
        <w:trPr>
          <w:trHeight w:val="336"/>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425"/>
        </w:trPr>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0" w:type="dxa"/>
            <w:vAlign w:val="bottom"/>
            <w:gridSpan w:val="2"/>
          </w:tcPr>
          <w:p>
            <w:pPr>
              <w:jc w:val="center"/>
              <w:ind w:right="2374"/>
              <w:spacing w:after="0"/>
              <w:rPr>
                <w:sz w:val="20"/>
                <w:szCs w:val="20"/>
                <w:color w:val="auto"/>
              </w:rPr>
            </w:pPr>
            <w:r>
              <w:rPr>
                <w:rFonts w:ascii="Arial" w:cs="Arial" w:eastAsia="Arial" w:hAnsi="Arial"/>
                <w:sz w:val="18"/>
                <w:szCs w:val="18"/>
                <w:b w:val="1"/>
                <w:bCs w:val="1"/>
                <w:i w:val="1"/>
                <w:iCs w:val="1"/>
                <w:color w:val="auto"/>
                <w:w w:val="84"/>
              </w:rPr>
              <w:t>Copies to:</w:t>
            </w:r>
          </w:p>
        </w:tc>
      </w:tr>
      <w:tr>
        <w:trPr>
          <w:trHeight w:val="319"/>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Eric Blanchard</w:t>
            </w:r>
          </w:p>
        </w:tc>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80" w:type="dxa"/>
            <w:vAlign w:val="bottom"/>
          </w:tcPr>
          <w:p>
            <w:pPr>
              <w:jc w:val="center"/>
              <w:ind w:left="794"/>
              <w:spacing w:after="0"/>
              <w:rPr>
                <w:sz w:val="20"/>
                <w:szCs w:val="20"/>
                <w:color w:val="auto"/>
              </w:rPr>
            </w:pPr>
            <w:r>
              <w:rPr>
                <w:rFonts w:ascii="Arial" w:cs="Arial" w:eastAsia="Arial" w:hAnsi="Arial"/>
                <w:sz w:val="18"/>
                <w:szCs w:val="18"/>
                <w:b w:val="1"/>
                <w:bCs w:val="1"/>
                <w:color w:val="auto"/>
                <w:w w:val="87"/>
              </w:rPr>
              <w:t>James Rallo</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David Peinsipp</w:t>
            </w: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jc w:val="center"/>
              <w:ind w:left="794"/>
              <w:spacing w:after="0"/>
              <w:rPr>
                <w:sz w:val="20"/>
                <w:szCs w:val="20"/>
                <w:color w:val="auto"/>
              </w:rPr>
            </w:pPr>
            <w:r>
              <w:rPr>
                <w:rFonts w:ascii="Arial" w:cs="Arial" w:eastAsia="Arial" w:hAnsi="Arial"/>
                <w:sz w:val="18"/>
                <w:szCs w:val="18"/>
                <w:b w:val="1"/>
                <w:bCs w:val="1"/>
                <w:color w:val="auto"/>
                <w:w w:val="94"/>
              </w:rPr>
              <w:t>Laurence Zuriff</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R. Lincoln</w:t>
            </w: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jc w:val="center"/>
              <w:ind w:left="794"/>
              <w:spacing w:after="0"/>
              <w:rPr>
                <w:sz w:val="20"/>
                <w:szCs w:val="20"/>
                <w:color w:val="auto"/>
              </w:rPr>
            </w:pPr>
            <w:r>
              <w:rPr>
                <w:rFonts w:ascii="Arial" w:cs="Arial" w:eastAsia="Arial" w:hAnsi="Arial"/>
                <w:sz w:val="18"/>
                <w:szCs w:val="18"/>
                <w:b w:val="1"/>
                <w:bCs w:val="1"/>
                <w:color w:val="auto"/>
                <w:w w:val="90"/>
              </w:rPr>
              <w:t>Kristie Scott</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4"/>
              </w:rPr>
              <w:t>Derek O. Colla</w:t>
            </w: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jc w:val="center"/>
              <w:ind w:left="794"/>
              <w:spacing w:after="0"/>
              <w:rPr>
                <w:sz w:val="20"/>
                <w:szCs w:val="20"/>
                <w:color w:val="auto"/>
              </w:rPr>
            </w:pPr>
            <w:r>
              <w:rPr>
                <w:rFonts w:ascii="Arial" w:cs="Arial" w:eastAsia="Arial" w:hAnsi="Arial"/>
                <w:sz w:val="18"/>
                <w:szCs w:val="18"/>
                <w:b w:val="1"/>
                <w:bCs w:val="1"/>
                <w:color w:val="auto"/>
                <w:w w:val="91"/>
              </w:rPr>
              <w:t>Xometry, Inc.</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2"/>
              </w:rPr>
              <w:t>Cooley LLP</w:t>
            </w: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jc w:val="center"/>
              <w:ind w:left="794"/>
              <w:spacing w:after="0"/>
              <w:rPr>
                <w:sz w:val="20"/>
                <w:szCs w:val="20"/>
                <w:color w:val="auto"/>
              </w:rPr>
            </w:pPr>
            <w:r>
              <w:rPr>
                <w:rFonts w:ascii="Arial" w:cs="Arial" w:eastAsia="Arial" w:hAnsi="Arial"/>
                <w:sz w:val="18"/>
                <w:szCs w:val="18"/>
                <w:b w:val="1"/>
                <w:bCs w:val="1"/>
                <w:color w:val="auto"/>
                <w:w w:val="87"/>
              </w:rPr>
              <w:t>7529 Standish Place</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1299 Pennsylvania Ave. NW</w:t>
            </w: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jc w:val="center"/>
              <w:ind w:left="794"/>
              <w:spacing w:after="0"/>
              <w:rPr>
                <w:sz w:val="20"/>
                <w:szCs w:val="20"/>
                <w:color w:val="auto"/>
              </w:rPr>
            </w:pPr>
            <w:r>
              <w:rPr>
                <w:rFonts w:ascii="Arial" w:cs="Arial" w:eastAsia="Arial" w:hAnsi="Arial"/>
                <w:sz w:val="18"/>
                <w:szCs w:val="18"/>
                <w:b w:val="1"/>
                <w:bCs w:val="1"/>
                <w:color w:val="auto"/>
                <w:w w:val="91"/>
              </w:rPr>
              <w:t>Suite 200</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8"/>
              </w:rPr>
              <w:t>Suite 700</w:t>
            </w: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480" w:type="dxa"/>
            <w:vAlign w:val="bottom"/>
          </w:tcPr>
          <w:p>
            <w:pPr>
              <w:jc w:val="center"/>
              <w:ind w:left="794"/>
              <w:spacing w:after="0"/>
              <w:rPr>
                <w:sz w:val="20"/>
                <w:szCs w:val="20"/>
                <w:color w:val="auto"/>
              </w:rPr>
            </w:pPr>
            <w:r>
              <w:rPr>
                <w:rFonts w:ascii="Arial" w:cs="Arial" w:eastAsia="Arial" w:hAnsi="Arial"/>
                <w:sz w:val="18"/>
                <w:szCs w:val="18"/>
                <w:b w:val="1"/>
                <w:bCs w:val="1"/>
                <w:color w:val="auto"/>
                <w:w w:val="94"/>
              </w:rPr>
              <w:t>Derwood, MD 20855</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Washington, DC 20004-2400</w:t>
            </w:r>
          </w:p>
        </w:tc>
        <w:tc>
          <w:tcPr>
            <w:tcW w:w="5240" w:type="dxa"/>
            <w:vAlign w:val="bottom"/>
            <w:gridSpan w:val="3"/>
          </w:tcPr>
          <w:p>
            <w:pPr>
              <w:jc w:val="right"/>
              <w:ind w:right="154"/>
              <w:spacing w:after="0"/>
              <w:rPr>
                <w:sz w:val="20"/>
                <w:szCs w:val="20"/>
                <w:color w:val="auto"/>
              </w:rPr>
            </w:pPr>
            <w:r>
              <w:rPr>
                <w:rFonts w:ascii="Arial" w:cs="Arial" w:eastAsia="Arial" w:hAnsi="Arial"/>
                <w:sz w:val="18"/>
                <w:szCs w:val="18"/>
                <w:b w:val="1"/>
                <w:bCs w:val="1"/>
                <w:color w:val="auto"/>
              </w:rPr>
              <w:t>(240) 335-7914</w:t>
            </w:r>
          </w:p>
        </w:tc>
      </w:tr>
      <w:tr>
        <w:trPr>
          <w:trHeight w:val="234"/>
        </w:trPr>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0"/>
              </w:rPr>
              <w:t>(202) 842-7800</w:t>
            </w:r>
          </w:p>
        </w:tc>
        <w:tc>
          <w:tcPr>
            <w:tcW w:w="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960"/>
          </w:cols>
          <w:pgMar w:left="440" w:top="229" w:right="499" w:bottom="0" w:gutter="0" w:footer="0" w:header="0"/>
        </w:sectPr>
      </w:pPr>
    </w:p>
    <w:bookmarkStart w:id="1" w:name="page2"/>
    <w:bookmarkEnd w:id="1"/>
    <w:p>
      <w:pPr>
        <w:jc w:val="center"/>
        <w:ind w:right="-23"/>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6755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122" w:lineRule="exact"/>
        <w:rPr>
          <w:sz w:val="20"/>
          <w:szCs w:val="20"/>
          <w:color w:val="auto"/>
        </w:rPr>
      </w:pPr>
    </w:p>
    <w:tbl>
      <w:tblPr>
        <w:tblLayout w:type="fixed"/>
        <w:tblInd w:w="4" w:type="dxa"/>
        <w:tblCellMar>
          <w:top w:w="0" w:type="dxa"/>
          <w:left w:w="0" w:type="dxa"/>
          <w:bottom w:w="0" w:type="dxa"/>
          <w:right w:w="0" w:type="dxa"/>
        </w:tblCellMar>
      </w:tblPr>
      <w:tr>
        <w:trPr>
          <w:trHeight w:val="153"/>
        </w:trPr>
        <w:tc>
          <w:tcPr>
            <w:tcW w:w="520" w:type="dxa"/>
            <w:vAlign w:val="bottom"/>
            <w:tcBorders>
              <w:top w:val="single" w:sz="8" w:color="auto"/>
            </w:tcBorders>
          </w:tcPr>
          <w:p>
            <w:pPr>
              <w:spacing w:after="0"/>
              <w:rPr>
                <w:sz w:val="13"/>
                <w:szCs w:val="13"/>
                <w:color w:val="auto"/>
              </w:rPr>
            </w:pPr>
          </w:p>
        </w:tc>
        <w:tc>
          <w:tcPr>
            <w:tcW w:w="4540" w:type="dxa"/>
            <w:vAlign w:val="bottom"/>
            <w:tcBorders>
              <w:top w:val="single" w:sz="8" w:color="auto"/>
              <w:right w:val="single" w:sz="8" w:color="auto"/>
            </w:tcBorders>
          </w:tcPr>
          <w:p>
            <w:pPr>
              <w:spacing w:after="0"/>
              <w:rPr>
                <w:sz w:val="13"/>
                <w:szCs w:val="13"/>
                <w:color w:val="auto"/>
              </w:rPr>
            </w:pPr>
          </w:p>
        </w:tc>
        <w:tc>
          <w:tcPr>
            <w:tcW w:w="1400" w:type="dxa"/>
            <w:vAlign w:val="bottom"/>
            <w:tcBorders>
              <w:top w:val="single" w:sz="8" w:color="auto"/>
              <w:right w:val="single" w:sz="8" w:color="auto"/>
            </w:tcBorders>
            <w:vMerge w:val="restart"/>
          </w:tcPr>
          <w:p>
            <w:pPr>
              <w:jc w:val="center"/>
              <w:ind w:right="178"/>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right w:val="single" w:sz="8" w:color="auto"/>
            </w:tcBorders>
          </w:tcPr>
          <w:p>
            <w:pPr>
              <w:jc w:val="center"/>
              <w:ind w:right="359"/>
              <w:spacing w:after="0" w:line="153" w:lineRule="exact"/>
              <w:rPr>
                <w:sz w:val="20"/>
                <w:szCs w:val="20"/>
                <w:color w:val="auto"/>
              </w:rPr>
            </w:pPr>
            <w:r>
              <w:rPr>
                <w:rFonts w:ascii="Arial" w:cs="Arial" w:eastAsia="Arial" w:hAnsi="Arial"/>
                <w:sz w:val="14"/>
                <w:szCs w:val="14"/>
                <w:b w:val="1"/>
                <w:bCs w:val="1"/>
                <w:color w:val="auto"/>
                <w:w w:val="86"/>
              </w:rPr>
              <w:t>Proposed</w:t>
            </w: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right w:val="single" w:sz="8" w:color="auto"/>
            </w:tcBorders>
          </w:tcPr>
          <w:p>
            <w:pPr>
              <w:jc w:val="center"/>
              <w:ind w:right="318"/>
              <w:spacing w:after="0" w:line="153" w:lineRule="exact"/>
              <w:rPr>
                <w:sz w:val="20"/>
                <w:szCs w:val="20"/>
                <w:color w:val="auto"/>
              </w:rPr>
            </w:pPr>
            <w:r>
              <w:rPr>
                <w:rFonts w:ascii="Arial" w:cs="Arial" w:eastAsia="Arial" w:hAnsi="Arial"/>
                <w:sz w:val="14"/>
                <w:szCs w:val="14"/>
                <w:b w:val="1"/>
                <w:bCs w:val="1"/>
                <w:color w:val="auto"/>
                <w:w w:val="86"/>
              </w:rPr>
              <w:t>Proposed</w:t>
            </w:r>
          </w:p>
        </w:tc>
        <w:tc>
          <w:tcPr>
            <w:tcW w:w="4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4540" w:type="dxa"/>
            <w:vAlign w:val="bottom"/>
            <w:tcBorders>
              <w:right w:val="single" w:sz="8" w:color="auto"/>
            </w:tcBorders>
            <w:vMerge w:val="restart"/>
          </w:tcPr>
          <w:p>
            <w:pPr>
              <w:jc w:val="center"/>
              <w:ind w:right="457"/>
              <w:spacing w:after="0"/>
              <w:rPr>
                <w:sz w:val="20"/>
                <w:szCs w:val="20"/>
                <w:color w:val="auto"/>
              </w:rPr>
            </w:pPr>
            <w:r>
              <w:rPr>
                <w:rFonts w:ascii="Arial" w:cs="Arial" w:eastAsia="Arial" w:hAnsi="Arial"/>
                <w:sz w:val="14"/>
                <w:szCs w:val="14"/>
                <w:b w:val="1"/>
                <w:bCs w:val="1"/>
                <w:color w:val="auto"/>
                <w:w w:val="92"/>
              </w:rPr>
              <w:t>Title of Securities</w:t>
            </w:r>
          </w:p>
        </w:tc>
        <w:tc>
          <w:tcPr>
            <w:tcW w:w="1400" w:type="dxa"/>
            <w:vAlign w:val="bottom"/>
            <w:tcBorders>
              <w:right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Borders>
              <w:right w:val="single" w:sz="8" w:color="auto"/>
            </w:tcBorders>
          </w:tcPr>
          <w:p>
            <w:pPr>
              <w:jc w:val="center"/>
              <w:ind w:right="359"/>
              <w:spacing w:after="0" w:line="149"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Pr>
          <w:p>
            <w:pPr>
              <w:spacing w:after="0"/>
              <w:rPr>
                <w:sz w:val="12"/>
                <w:szCs w:val="12"/>
                <w:color w:val="auto"/>
              </w:rPr>
            </w:pPr>
          </w:p>
        </w:tc>
        <w:tc>
          <w:tcPr>
            <w:tcW w:w="1200" w:type="dxa"/>
            <w:vAlign w:val="bottom"/>
            <w:tcBorders>
              <w:right w:val="single" w:sz="8" w:color="auto"/>
            </w:tcBorders>
          </w:tcPr>
          <w:p>
            <w:pPr>
              <w:jc w:val="center"/>
              <w:ind w:right="318"/>
              <w:spacing w:after="0" w:line="149" w:lineRule="exact"/>
              <w:rPr>
                <w:sz w:val="20"/>
                <w:szCs w:val="20"/>
                <w:color w:val="auto"/>
              </w:rPr>
            </w:pPr>
            <w:r>
              <w:rPr>
                <w:rFonts w:ascii="Arial" w:cs="Arial" w:eastAsia="Arial" w:hAnsi="Arial"/>
                <w:sz w:val="14"/>
                <w:szCs w:val="14"/>
                <w:b w:val="1"/>
                <w:bCs w:val="1"/>
                <w:color w:val="auto"/>
                <w:w w:val="99"/>
              </w:rPr>
              <w:t>Maximum</w:t>
            </w:r>
          </w:p>
        </w:tc>
        <w:tc>
          <w:tcPr>
            <w:tcW w:w="420" w:type="dxa"/>
            <w:vAlign w:val="bottom"/>
          </w:tcPr>
          <w:p>
            <w:pPr>
              <w:spacing w:after="0"/>
              <w:rPr>
                <w:sz w:val="12"/>
                <w:szCs w:val="12"/>
                <w:color w:val="auto"/>
              </w:rPr>
            </w:pP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Amount of</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4540" w:type="dxa"/>
            <w:vAlign w:val="bottom"/>
            <w:tcBorders>
              <w:right w:val="single" w:sz="8" w:color="auto"/>
            </w:tcBorders>
            <w:vMerge w:val="continue"/>
          </w:tcPr>
          <w:p>
            <w:pPr>
              <w:spacing w:after="0"/>
              <w:rPr>
                <w:sz w:val="12"/>
                <w:szCs w:val="12"/>
                <w:color w:val="auto"/>
              </w:rPr>
            </w:pPr>
          </w:p>
        </w:tc>
        <w:tc>
          <w:tcPr>
            <w:tcW w:w="1400" w:type="dxa"/>
            <w:vAlign w:val="bottom"/>
            <w:tcBorders>
              <w:right w:val="single" w:sz="8" w:color="auto"/>
            </w:tcBorders>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 be</w:t>
            </w:r>
          </w:p>
        </w:tc>
        <w:tc>
          <w:tcPr>
            <w:tcW w:w="1400" w:type="dxa"/>
            <w:vAlign w:val="bottom"/>
            <w:tcBorders>
              <w:right w:val="single" w:sz="8" w:color="auto"/>
            </w:tcBorders>
            <w:gridSpan w:val="2"/>
          </w:tcPr>
          <w:p>
            <w:pPr>
              <w:ind w:left="180"/>
              <w:spacing w:after="0" w:line="149" w:lineRule="exact"/>
              <w:rPr>
                <w:sz w:val="20"/>
                <w:szCs w:val="20"/>
                <w:color w:val="auto"/>
              </w:rPr>
            </w:pPr>
            <w:r>
              <w:rPr>
                <w:rFonts w:ascii="Arial" w:cs="Arial" w:eastAsia="Arial" w:hAnsi="Arial"/>
                <w:sz w:val="14"/>
                <w:szCs w:val="14"/>
                <w:b w:val="1"/>
                <w:bCs w:val="1"/>
                <w:color w:val="auto"/>
              </w:rPr>
              <w:t>Offering Price</w:t>
            </w:r>
          </w:p>
        </w:tc>
        <w:tc>
          <w:tcPr>
            <w:tcW w:w="280" w:type="dxa"/>
            <w:vAlign w:val="bottom"/>
          </w:tcPr>
          <w:p>
            <w:pPr>
              <w:spacing w:after="0"/>
              <w:rPr>
                <w:sz w:val="12"/>
                <w:szCs w:val="12"/>
                <w:color w:val="auto"/>
              </w:rPr>
            </w:pPr>
          </w:p>
        </w:tc>
        <w:tc>
          <w:tcPr>
            <w:tcW w:w="1200" w:type="dxa"/>
            <w:vAlign w:val="bottom"/>
            <w:tcBorders>
              <w:right w:val="single" w:sz="8" w:color="auto"/>
            </w:tcBorders>
          </w:tcPr>
          <w:p>
            <w:pPr>
              <w:jc w:val="center"/>
              <w:ind w:right="318"/>
              <w:spacing w:after="0" w:line="149" w:lineRule="exact"/>
              <w:rPr>
                <w:sz w:val="20"/>
                <w:szCs w:val="20"/>
                <w:color w:val="auto"/>
              </w:rPr>
            </w:pPr>
            <w:r>
              <w:rPr>
                <w:rFonts w:ascii="Arial" w:cs="Arial" w:eastAsia="Arial" w:hAnsi="Arial"/>
                <w:sz w:val="14"/>
                <w:szCs w:val="14"/>
                <w:b w:val="1"/>
                <w:bCs w:val="1"/>
                <w:color w:val="auto"/>
                <w:w w:val="92"/>
              </w:rPr>
              <w:t>Aggregate</w:t>
            </w:r>
          </w:p>
        </w:tc>
        <w:tc>
          <w:tcPr>
            <w:tcW w:w="4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16"/>
                <w:szCs w:val="16"/>
                <w:color w:val="auto"/>
              </w:rPr>
            </w:pPr>
          </w:p>
        </w:tc>
        <w:tc>
          <w:tcPr>
            <w:tcW w:w="4540" w:type="dxa"/>
            <w:vAlign w:val="bottom"/>
            <w:tcBorders>
              <w:bottom w:val="single" w:sz="8" w:color="auto"/>
              <w:right w:val="single" w:sz="8" w:color="auto"/>
            </w:tcBorders>
          </w:tcPr>
          <w:p>
            <w:pPr>
              <w:jc w:val="center"/>
              <w:ind w:right="477"/>
              <w:spacing w:after="0"/>
              <w:rPr>
                <w:sz w:val="20"/>
                <w:szCs w:val="20"/>
                <w:color w:val="auto"/>
              </w:rPr>
            </w:pPr>
            <w:r>
              <w:rPr>
                <w:rFonts w:ascii="Arial" w:cs="Arial" w:eastAsia="Arial" w:hAnsi="Arial"/>
                <w:sz w:val="14"/>
                <w:szCs w:val="14"/>
                <w:b w:val="1"/>
                <w:bCs w:val="1"/>
                <w:color w:val="auto"/>
                <w:w w:val="89"/>
              </w:rPr>
              <w:t>to be Registered</w:t>
            </w:r>
          </w:p>
        </w:tc>
        <w:tc>
          <w:tcPr>
            <w:tcW w:w="1400" w:type="dxa"/>
            <w:vAlign w:val="bottom"/>
            <w:tcBorders>
              <w:bottom w:val="single" w:sz="8" w:color="auto"/>
              <w:right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Registered</w:t>
            </w:r>
            <w:r>
              <w:rPr>
                <w:rFonts w:ascii="Arial" w:cs="Arial" w:eastAsia="Arial" w:hAnsi="Arial"/>
                <w:sz w:val="12"/>
                <w:szCs w:val="12"/>
                <w:b w:val="1"/>
                <w:bCs w:val="1"/>
                <w:color w:val="auto"/>
                <w:w w:val="89"/>
              </w:rPr>
              <w:t>(1)</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center"/>
              <w:ind w:right="359"/>
              <w:spacing w:after="0"/>
              <w:rPr>
                <w:sz w:val="20"/>
                <w:szCs w:val="20"/>
                <w:color w:val="auto"/>
              </w:rPr>
            </w:pPr>
            <w:r>
              <w:rPr>
                <w:rFonts w:ascii="Arial" w:cs="Arial" w:eastAsia="Arial" w:hAnsi="Arial"/>
                <w:sz w:val="14"/>
                <w:szCs w:val="14"/>
                <w:b w:val="1"/>
                <w:bCs w:val="1"/>
                <w:color w:val="auto"/>
                <w:w w:val="92"/>
              </w:rPr>
              <w:t>per Share</w:t>
            </w:r>
          </w:p>
        </w:tc>
        <w:tc>
          <w:tcPr>
            <w:tcW w:w="1480" w:type="dxa"/>
            <w:vAlign w:val="bottom"/>
            <w:tcBorders>
              <w:bottom w:val="single" w:sz="8" w:color="auto"/>
              <w:right w:val="single" w:sz="8" w:color="auto"/>
            </w:tcBorders>
            <w:gridSpan w:val="2"/>
          </w:tcPr>
          <w:p>
            <w:pPr>
              <w:jc w:val="center"/>
              <w:ind w:right="38"/>
              <w:spacing w:after="0"/>
              <w:rPr>
                <w:sz w:val="20"/>
                <w:szCs w:val="20"/>
                <w:color w:val="auto"/>
              </w:rPr>
            </w:pPr>
            <w:r>
              <w:rPr>
                <w:rFonts w:ascii="Arial" w:cs="Arial" w:eastAsia="Arial" w:hAnsi="Arial"/>
                <w:sz w:val="14"/>
                <w:szCs w:val="14"/>
                <w:b w:val="1"/>
                <w:bCs w:val="1"/>
                <w:color w:val="auto"/>
                <w:w w:val="94"/>
              </w:rPr>
              <w:t>Offering Price</w:t>
            </w:r>
          </w:p>
        </w:tc>
        <w:tc>
          <w:tcPr>
            <w:tcW w:w="13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Class A Common Stock, par value $0.000001 per share</w:t>
            </w:r>
          </w:p>
        </w:tc>
        <w:tc>
          <w:tcPr>
            <w:tcW w:w="140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 2021</w:t>
            </w:r>
          </w:p>
        </w:tc>
        <w:tc>
          <w:tcPr>
            <w:tcW w:w="4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4,026,588</w:t>
            </w:r>
            <w:r>
              <w:rPr>
                <w:rFonts w:ascii="Arial" w:cs="Arial" w:eastAsia="Arial" w:hAnsi="Arial"/>
                <w:sz w:val="15"/>
                <w:szCs w:val="15"/>
                <w:color w:val="auto"/>
              </w:rPr>
              <w:t>(2)(3)</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8"/>
                <w:szCs w:val="18"/>
                <w:color w:val="auto"/>
              </w:rPr>
              <w:t>44.00</w:t>
            </w:r>
            <w:r>
              <w:rPr>
                <w:rFonts w:ascii="Arial" w:cs="Arial" w:eastAsia="Arial" w:hAnsi="Arial"/>
                <w:sz w:val="15"/>
                <w:szCs w:val="15"/>
                <w:color w:val="auto"/>
              </w:rPr>
              <w:t>(6)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8"/>
                <w:szCs w:val="18"/>
                <w:color w:val="auto"/>
                <w:w w:val="87"/>
              </w:rPr>
              <w:t>177,169,872</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19,329</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 2016</w:t>
            </w:r>
          </w:p>
        </w:tc>
        <w:tc>
          <w:tcPr>
            <w:tcW w:w="4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Equity Incentive Plan</w:t>
            </w:r>
          </w:p>
        </w:tc>
        <w:tc>
          <w:tcPr>
            <w:tcW w:w="140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3,746,612</w:t>
            </w:r>
            <w:r>
              <w:rPr>
                <w:rFonts w:ascii="Arial" w:cs="Arial" w:eastAsia="Arial" w:hAnsi="Arial"/>
                <w:sz w:val="15"/>
                <w:szCs w:val="15"/>
                <w:color w:val="auto"/>
              </w:rPr>
              <w:t>(4)</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8"/>
                <w:szCs w:val="18"/>
                <w:color w:val="auto"/>
              </w:rPr>
              <w:t>6.59</w:t>
            </w:r>
            <w:r>
              <w:rPr>
                <w:rFonts w:ascii="Arial" w:cs="Arial" w:eastAsia="Arial" w:hAnsi="Arial"/>
                <w:sz w:val="15"/>
                <w:szCs w:val="15"/>
                <w:color w:val="auto"/>
              </w:rPr>
              <w:t>(7)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8"/>
                <w:szCs w:val="18"/>
                <w:color w:val="auto"/>
                <w:w w:val="97"/>
              </w:rPr>
              <w:t>24,690,174</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 2014</w:t>
            </w:r>
          </w:p>
        </w:tc>
        <w:tc>
          <w:tcPr>
            <w:tcW w:w="4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Stock Option Plan</w:t>
            </w:r>
          </w:p>
        </w:tc>
        <w:tc>
          <w:tcPr>
            <w:tcW w:w="1400" w:type="dxa"/>
            <w:vAlign w:val="bottom"/>
            <w:tcBorders>
              <w:bottom w:val="single" w:sz="8" w:color="auto"/>
              <w:right w:val="single" w:sz="8" w:color="auto"/>
            </w:tcBorders>
          </w:tcPr>
          <w:p>
            <w:pPr>
              <w:jc w:val="right"/>
              <w:ind w:right="178"/>
              <w:spacing w:after="0"/>
              <w:rPr>
                <w:sz w:val="20"/>
                <w:szCs w:val="20"/>
                <w:color w:val="auto"/>
              </w:rPr>
            </w:pPr>
            <w:r>
              <w:rPr>
                <w:rFonts w:ascii="Arial" w:cs="Arial" w:eastAsia="Arial" w:hAnsi="Arial"/>
                <w:sz w:val="18"/>
                <w:szCs w:val="18"/>
                <w:color w:val="auto"/>
              </w:rPr>
              <w:t>6,600</w:t>
            </w:r>
            <w:r>
              <w:rPr>
                <w:rFonts w:ascii="Arial" w:cs="Arial" w:eastAsia="Arial" w:hAnsi="Arial"/>
                <w:sz w:val="15"/>
                <w:szCs w:val="15"/>
                <w:color w:val="auto"/>
              </w:rPr>
              <w:t>(5)</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8"/>
                <w:szCs w:val="18"/>
                <w:color w:val="auto"/>
              </w:rPr>
              <w:t>0.29</w:t>
            </w:r>
            <w:r>
              <w:rPr>
                <w:rFonts w:ascii="Arial" w:cs="Arial" w:eastAsia="Arial" w:hAnsi="Arial"/>
                <w:sz w:val="15"/>
                <w:szCs w:val="15"/>
                <w:color w:val="auto"/>
              </w:rPr>
              <w:t>(7)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8"/>
                <w:szCs w:val="18"/>
                <w:color w:val="auto"/>
              </w:rPr>
              <w:t>1,914</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54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right"/>
              <w:ind w:right="338"/>
              <w:spacing w:after="0"/>
              <w:rPr>
                <w:sz w:val="20"/>
                <w:szCs w:val="20"/>
                <w:color w:val="auto"/>
              </w:rPr>
            </w:pPr>
            <w:r>
              <w:rPr>
                <w:rFonts w:ascii="Arial" w:cs="Arial" w:eastAsia="Arial" w:hAnsi="Arial"/>
                <w:sz w:val="18"/>
                <w:szCs w:val="18"/>
                <w:color w:val="auto"/>
              </w:rPr>
              <w:t>7,779,800</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right w:val="single" w:sz="8" w:color="auto"/>
            </w:tcBorders>
          </w:tcPr>
          <w:p>
            <w:pPr>
              <w:jc w:val="right"/>
              <w:ind w:right="218"/>
              <w:spacing w:after="0"/>
              <w:rPr>
                <w:sz w:val="20"/>
                <w:szCs w:val="20"/>
                <w:color w:val="auto"/>
              </w:rPr>
            </w:pPr>
            <w:r>
              <w:rPr>
                <w:rFonts w:ascii="Arial" w:cs="Arial" w:eastAsia="Arial" w:hAnsi="Arial"/>
                <w:sz w:val="18"/>
                <w:szCs w:val="18"/>
                <w:color w:val="auto"/>
                <w:w w:val="87"/>
              </w:rPr>
              <w:t>201,861,960</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34"/>
        </w:trPr>
        <w:tc>
          <w:tcPr>
            <w:tcW w:w="52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424" w:right="80"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Class A common stock that become issuable under the plans set forth herein by reason of any stock dividend, stock split, recapitalization, or other similar transaction effected that results in an increase to the number of outstanding shares of Registrant’s Class A common stock.</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Class A common stock reserved for future issuance under the Registrant’s 2021 Equity Incentive Plan (the “</w:t>
      </w:r>
      <w:r>
        <w:rPr>
          <w:rFonts w:ascii="Arial" w:cs="Arial" w:eastAsia="Arial" w:hAnsi="Arial"/>
          <w:sz w:val="16"/>
          <w:szCs w:val="16"/>
          <w:b w:val="1"/>
          <w:bCs w:val="1"/>
          <w:i w:val="1"/>
          <w:iCs w:val="1"/>
          <w:color w:val="auto"/>
        </w:rPr>
        <w:t>2021 Plan</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24" w:right="2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of Class A common stock reserved for issuance under the 2021 Plan will automatically increase on January 1st each year, commencing on January 1, 2022 and ending on (and including) January 1, 2031, in an amount equal to 5% of the total number of shares of the Registrant’s Class A common stock and Class B common stock outstanding on December 31 of the preceding year; provided, however, that the Registrant’s board of directors may act prior to January 1 of a given year to provide that the increase for such year will be a lesser number of shares of Class A common stock.</w:t>
      </w:r>
    </w:p>
    <w:p>
      <w:pPr>
        <w:spacing w:after="0" w:line="1" w:lineRule="exact"/>
        <w:rPr>
          <w:rFonts w:ascii="Arial" w:cs="Arial" w:eastAsia="Arial" w:hAnsi="Arial"/>
          <w:sz w:val="18"/>
          <w:szCs w:val="18"/>
          <w:color w:val="auto"/>
        </w:rPr>
      </w:pPr>
    </w:p>
    <w:p>
      <w:pPr>
        <w:ind w:left="424" w:right="1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the exercise of options outstanding under the Registrant’s 2016 Equity Incentive Plan (the “</w:t>
      </w:r>
      <w:r>
        <w:rPr>
          <w:rFonts w:ascii="Arial" w:cs="Arial" w:eastAsia="Arial" w:hAnsi="Arial"/>
          <w:sz w:val="18"/>
          <w:szCs w:val="18"/>
          <w:b w:val="1"/>
          <w:bCs w:val="1"/>
          <w:i w:val="1"/>
          <w:iCs w:val="1"/>
          <w:color w:val="auto"/>
        </w:rPr>
        <w:t>2016 Plan</w:t>
      </w:r>
      <w:r>
        <w:rPr>
          <w:rFonts w:ascii="Arial" w:cs="Arial" w:eastAsia="Arial" w:hAnsi="Arial"/>
          <w:sz w:val="18"/>
          <w:szCs w:val="18"/>
          <w:color w:val="auto"/>
        </w:rPr>
        <w:t>”) as of the date of this Registration Statement.</w:t>
      </w:r>
    </w:p>
    <w:p>
      <w:pPr>
        <w:ind w:left="424"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the exercise of options outstanding under the Nextline Manufacturing Corp. 2014 Stock Option Plan (the “</w:t>
      </w:r>
      <w:r>
        <w:rPr>
          <w:rFonts w:ascii="Arial" w:cs="Arial" w:eastAsia="Arial" w:hAnsi="Arial"/>
          <w:sz w:val="18"/>
          <w:szCs w:val="18"/>
          <w:b w:val="1"/>
          <w:bCs w:val="1"/>
          <w:i w:val="1"/>
          <w:iCs w:val="1"/>
          <w:color w:val="auto"/>
        </w:rPr>
        <w:t>2014 Plan</w:t>
      </w:r>
      <w:r>
        <w:rPr>
          <w:rFonts w:ascii="Arial" w:cs="Arial" w:eastAsia="Arial" w:hAnsi="Arial"/>
          <w:sz w:val="18"/>
          <w:szCs w:val="18"/>
          <w:color w:val="auto"/>
        </w:rPr>
        <w:t>”) as of the date of this Registration Statement.</w:t>
      </w:r>
    </w:p>
    <w:p>
      <w:pPr>
        <w:ind w:left="424" w:right="1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initial public offering price of $44.00 per share of Class A common stock pursuant to the Registrant’s Registration Statement on Form S-1 (File No. 333-256769) declared effective on June 29, 2021.</w:t>
      </w:r>
    </w:p>
    <w:p>
      <w:pPr>
        <w:spacing w:after="0" w:line="1" w:lineRule="exact"/>
        <w:rPr>
          <w:rFonts w:ascii="Arial" w:cs="Arial" w:eastAsia="Arial" w:hAnsi="Arial"/>
          <w:sz w:val="18"/>
          <w:szCs w:val="18"/>
          <w:color w:val="auto"/>
        </w:rPr>
      </w:pPr>
    </w:p>
    <w:p>
      <w:pPr>
        <w:jc w:val="both"/>
        <w:ind w:left="424" w:right="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The offering price per share and the aggregate offering price are based upon $6.59, which is the weighted-average exercise price for options outstanding under the 2016 Plan and $0.29, which is the weight-average exercise price for options outstanding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121"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1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The following documents filed by Xometry,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are incorporated by reference into this Registration Statement:</w:t>
      </w:r>
    </w:p>
    <w:p>
      <w:pPr>
        <w:spacing w:after="0" w:line="170" w:lineRule="exact"/>
        <w:rPr>
          <w:sz w:val="20"/>
          <w:szCs w:val="20"/>
          <w:color w:val="auto"/>
        </w:rPr>
      </w:pPr>
    </w:p>
    <w:p>
      <w:pPr>
        <w:ind w:left="4" w:right="140" w:hanging="4"/>
        <w:spacing w:after="0" w:line="342" w:lineRule="auto"/>
        <w:tabs>
          <w:tab w:leader="none" w:pos="259"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Amendment No. 1 to the Registrant’s Registration Statement on Form S-1 filed with the Securities and Exchange Commission on April 19, 2021 (File No. 333-256769), which contains the Registrant’s audited financial statements for the latest fiscal year for which such statements have been filed.</w:t>
      </w:r>
    </w:p>
    <w:p>
      <w:pPr>
        <w:spacing w:after="0" w:line="123" w:lineRule="exact"/>
        <w:rPr>
          <w:rFonts w:ascii="Arial" w:cs="Arial" w:eastAsia="Arial" w:hAnsi="Arial"/>
          <w:sz w:val="16"/>
          <w:szCs w:val="16"/>
          <w:b w:val="1"/>
          <w:bCs w:val="1"/>
          <w:color w:val="auto"/>
        </w:rPr>
      </w:pPr>
    </w:p>
    <w:p>
      <w:pPr>
        <w:ind w:left="4" w:right="500" w:hanging="4"/>
        <w:spacing w:after="0" w:line="277" w:lineRule="auto"/>
        <w:tabs>
          <w:tab w:leader="none" w:pos="26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Registrant’s Prospectus to be filed on or about June 30, 2021 pursuant to Rule 424(b) under the Securities Act, relating to the Registration Statement on Form S-1, as amended (File No. 333-256769).</w:t>
      </w:r>
    </w:p>
    <w:p>
      <w:pPr>
        <w:spacing w:after="0" w:line="170" w:lineRule="exact"/>
        <w:rPr>
          <w:rFonts w:ascii="Arial" w:cs="Arial" w:eastAsia="Arial" w:hAnsi="Arial"/>
          <w:sz w:val="18"/>
          <w:szCs w:val="18"/>
          <w:b w:val="1"/>
          <w:bCs w:val="1"/>
          <w:color w:val="auto"/>
        </w:rPr>
      </w:pPr>
    </w:p>
    <w:p>
      <w:pPr>
        <w:ind w:left="244" w:hanging="244"/>
        <w:spacing w:after="0"/>
        <w:tabs>
          <w:tab w:leader="none" w:pos="244"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The description of the Registrant’s Common Stock which is contained in a registration statement on Form 8-A filed on June 25, 2021 (File</w:t>
      </w:r>
    </w:p>
    <w:p>
      <w:pPr>
        <w:spacing w:after="0" w:line="35" w:lineRule="exact"/>
        <w:rPr>
          <w:sz w:val="20"/>
          <w:szCs w:val="20"/>
          <w:color w:val="auto"/>
        </w:rPr>
      </w:pPr>
    </w:p>
    <w:p>
      <w:pPr>
        <w:ind w:left="4" w:right="580"/>
        <w:spacing w:after="0" w:line="260" w:lineRule="auto"/>
        <w:rPr>
          <w:sz w:val="20"/>
          <w:szCs w:val="20"/>
          <w:color w:val="auto"/>
        </w:rPr>
      </w:pPr>
      <w:r>
        <w:rPr>
          <w:rFonts w:ascii="Arial" w:cs="Arial" w:eastAsia="Arial" w:hAnsi="Arial"/>
          <w:sz w:val="18"/>
          <w:szCs w:val="18"/>
          <w:color w:val="auto"/>
        </w:rPr>
        <w:t>No. 001-40546)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185" w:lineRule="exact"/>
        <w:rPr>
          <w:sz w:val="20"/>
          <w:szCs w:val="20"/>
          <w:color w:val="auto"/>
        </w:rPr>
      </w:pPr>
    </w:p>
    <w:p>
      <w:pPr>
        <w:ind w:left="4" w:hanging="4"/>
        <w:spacing w:after="0" w:line="270" w:lineRule="auto"/>
        <w:tabs>
          <w:tab w:leader="none" w:pos="269"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See the description of the Registrant’s Class A common stock contained in the Registration Statement on Form S-1 (File No. 333-256769).</w:t>
      </w:r>
    </w:p>
    <w:p>
      <w:pPr>
        <w:spacing w:after="0" w:line="38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NAMES EXPERTS AND COUNSEL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Section 145 of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that will be in effect upon the closing of the initial public offering permits indemnification of our directors, officers, employees and other agents to the maximum extent permitted by the DGCL, and the Registrant’s amended and restated bylaws that will be in effect upon the closing of the initial public offering provide that the Registrant will indemnify its directors and executive officers and permit the Registrant to indemnify its other officers, employees and other agents, in each case to the maximum extent permitted by the DGCL.</w:t>
      </w:r>
    </w:p>
    <w:p>
      <w:pPr>
        <w:spacing w:after="0" w:line="177"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The Registrant has entered into indemnification agreements with its directors and officers, whereby it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w:t>
      </w:r>
    </w:p>
    <w:p>
      <w:pPr>
        <w:sectPr>
          <w:pgSz w:w="11900" w:h="16838" w:orient="portrait"/>
          <w:cols w:equalWidth="0" w:num="1">
            <w:col w:w="11004"/>
          </w:cols>
          <w:pgMar w:left="436" w:top="270" w:right="459" w:bottom="1440" w:gutter="0" w:footer="0" w:header="0"/>
        </w:sectPr>
      </w:pPr>
    </w:p>
    <w:bookmarkStart w:id="3" w:name="page4"/>
    <w:bookmarkEnd w:id="3"/>
    <w:p>
      <w:pPr>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4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Registrant maintains insurance policies that indemnify its directors and officers against various liabilities arising under the Securities Act and the Securities Exchange Act of 1934, as amended, that might be incurred by any director or officer in his or her capacity as such.</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Registrant’s non-employee directors may, through their relationships with their employers, be insured and/or indemnified against certain liabilities incurred in their capacity as members of the Registrant’s board of directors.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840"/>
          </w:cols>
          <w:pgMar w:left="440" w:top="274" w:right="6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3500" w:type="dxa"/>
            <w:vAlign w:val="bottom"/>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44"/>
        </w:trPr>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500" w:type="dxa"/>
            <w:vAlign w:val="bottom"/>
            <w:vMerge w:val="restart"/>
          </w:tcPr>
          <w:p>
            <w:pPr>
              <w:ind w:left="280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820" w:type="dxa"/>
            <w:vAlign w:val="bottom"/>
          </w:tcPr>
          <w:p>
            <w:pPr>
              <w:spacing w:after="0"/>
              <w:rPr>
                <w:sz w:val="20"/>
                <w:szCs w:val="20"/>
                <w:color w:val="auto"/>
              </w:rPr>
            </w:pPr>
            <w:r>
              <w:rPr>
                <w:rFonts w:ascii="Arial" w:cs="Arial" w:eastAsia="Arial" w:hAnsi="Arial"/>
                <w:sz w:val="14"/>
                <w:szCs w:val="14"/>
                <w:b w:val="1"/>
                <w:bCs w:val="1"/>
                <w:u w:val="single" w:color="auto"/>
                <w:color w:val="auto"/>
              </w:rPr>
              <w:t>Number</w:t>
            </w:r>
          </w:p>
        </w:tc>
        <w:tc>
          <w:tcPr>
            <w:tcW w:w="3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0</wp:posOffset>
            </wp:positionV>
            <wp:extent cx="4243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2">
        <w:r>
          <w:rPr>
            <w:rFonts w:ascii="Arial" w:cs="Arial" w:eastAsia="Arial" w:hAnsi="Arial"/>
            <w:sz w:val="16"/>
            <w:szCs w:val="16"/>
            <w:u w:val="single" w:color="auto"/>
            <w:color w:val="0000EE"/>
          </w:rPr>
          <w:t>Amended and Restated Certificate of Incorporation of Xometry, Inc., as currently in effect.</w:t>
        </w:r>
      </w:hyperlink>
    </w:p>
    <w:p>
      <w:pPr>
        <w:spacing w:after="0" w:line="115"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23">
        <w:r>
          <w:rPr>
            <w:rFonts w:ascii="Arial" w:cs="Arial" w:eastAsia="Arial" w:hAnsi="Arial"/>
            <w:sz w:val="16"/>
            <w:szCs w:val="16"/>
            <w:u w:val="single" w:color="auto"/>
            <w:color w:val="0000EE"/>
          </w:rPr>
          <w:t>Amended and Restated Bylaws of the Registrant, as currently in effect.</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4">
        <w:r>
          <w:rPr>
            <w:rFonts w:ascii="Arial" w:cs="Arial" w:eastAsia="Arial" w:hAnsi="Arial"/>
            <w:sz w:val="16"/>
            <w:szCs w:val="16"/>
            <w:u w:val="single" w:color="auto"/>
            <w:color w:val="0000EE"/>
          </w:rPr>
          <w:t>Form of Class A Common Stock Certificate.</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9">
        <w:r>
          <w:rPr>
            <w:rFonts w:ascii="Arial" w:cs="Arial" w:eastAsia="Arial" w:hAnsi="Arial"/>
            <w:sz w:val="16"/>
            <w:szCs w:val="16"/>
            <w:u w:val="single" w:color="auto"/>
            <w:color w:val="0000EE"/>
          </w:rPr>
          <w:t>Opinion of Cooley LLP.</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
        <w:r>
          <w:rPr>
            <w:rFonts w:ascii="Arial" w:cs="Arial" w:eastAsia="Arial" w:hAnsi="Arial"/>
            <w:sz w:val="16"/>
            <w:szCs w:val="16"/>
            <w:u w:val="single" w:color="auto"/>
            <w:color w:val="0000EE"/>
          </w:rPr>
          <w:t>Consent of KPMG LLP, independent registered public accounting firm.</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23.2*</w:t>
      </w:r>
      <w:r>
        <w:rPr>
          <w:sz w:val="20"/>
          <w:szCs w:val="20"/>
          <w:color w:val="auto"/>
        </w:rPr>
        <w:tab/>
      </w:r>
      <w:hyperlink w:anchor="page9">
        <w:r>
          <w:rPr>
            <w:rFonts w:ascii="Arial" w:cs="Arial" w:eastAsia="Arial" w:hAnsi="Arial"/>
            <w:sz w:val="16"/>
            <w:szCs w:val="16"/>
            <w:u w:val="single" w:color="auto"/>
            <w:color w:val="0000EE"/>
          </w:rPr>
          <w:t>Consent of Cooley LLP (included in Exhibit 5.1).</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8">
        <w:r>
          <w:rPr>
            <w:rFonts w:ascii="Arial" w:cs="Arial" w:eastAsia="Arial" w:hAnsi="Arial"/>
            <w:sz w:val="16"/>
            <w:szCs w:val="16"/>
            <w:u w:val="single" w:color="auto"/>
            <w:color w:val="0000EE"/>
          </w:rPr>
          <w:t>Power of Attorney (included on the signature page of this Form S-8).</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25">
        <w:r>
          <w:rPr>
            <w:rFonts w:ascii="Arial" w:cs="Arial" w:eastAsia="Arial" w:hAnsi="Arial"/>
            <w:sz w:val="16"/>
            <w:szCs w:val="16"/>
            <w:u w:val="single" w:color="auto"/>
            <w:color w:val="0000EE"/>
          </w:rPr>
          <w:t>Nextline Manufacturing Corp. 2014 Stock Option Plan.</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r:id="rId26">
        <w:r>
          <w:rPr>
            <w:rFonts w:ascii="Arial" w:cs="Arial" w:eastAsia="Arial" w:hAnsi="Arial"/>
            <w:sz w:val="16"/>
            <w:szCs w:val="16"/>
            <w:u w:val="single" w:color="auto"/>
            <w:color w:val="0000EE"/>
          </w:rPr>
          <w:t>Form of Stock Option Agreement to Nextline Manufacturing Corp. 2014 Stock Option Plan.</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r:id="rId27">
        <w:r>
          <w:rPr>
            <w:rFonts w:ascii="Arial" w:cs="Arial" w:eastAsia="Arial" w:hAnsi="Arial"/>
            <w:sz w:val="16"/>
            <w:szCs w:val="16"/>
            <w:u w:val="single" w:color="auto"/>
            <w:color w:val="0000EE"/>
          </w:rPr>
          <w:t>Xometry, Inc. 2016 Equity Incentive Plan.</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99.4</w:t>
      </w:r>
      <w:r>
        <w:rPr>
          <w:sz w:val="20"/>
          <w:szCs w:val="20"/>
          <w:color w:val="auto"/>
        </w:rPr>
        <w:tab/>
      </w:r>
      <w:hyperlink r:id="rId28">
        <w:r>
          <w:rPr>
            <w:rFonts w:ascii="Arial" w:cs="Arial" w:eastAsia="Arial" w:hAnsi="Arial"/>
            <w:sz w:val="16"/>
            <w:szCs w:val="16"/>
            <w:u w:val="single" w:color="auto"/>
            <w:color w:val="0000EE"/>
          </w:rPr>
          <w:t>Xometry, Inc. Amendment No. 1 to 2016 Equity Incentive Plan.</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99.5</w:t>
      </w:r>
      <w:r>
        <w:rPr>
          <w:sz w:val="20"/>
          <w:szCs w:val="20"/>
          <w:color w:val="auto"/>
        </w:rPr>
        <w:tab/>
      </w:r>
      <w:hyperlink r:id="rId29">
        <w:r>
          <w:rPr>
            <w:rFonts w:ascii="Arial" w:cs="Arial" w:eastAsia="Arial" w:hAnsi="Arial"/>
            <w:sz w:val="16"/>
            <w:szCs w:val="16"/>
            <w:u w:val="single" w:color="auto"/>
            <w:color w:val="0000EE"/>
          </w:rPr>
          <w:t>Xometry, Inc. Amendment No. 2 to 2016 Equity Incentive Plan.</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99.6</w:t>
      </w:r>
      <w:r>
        <w:rPr>
          <w:sz w:val="20"/>
          <w:szCs w:val="20"/>
          <w:color w:val="auto"/>
        </w:rPr>
        <w:tab/>
      </w:r>
      <w:hyperlink r:id="rId30">
        <w:r>
          <w:rPr>
            <w:rFonts w:ascii="Arial" w:cs="Arial" w:eastAsia="Arial" w:hAnsi="Arial"/>
            <w:sz w:val="16"/>
            <w:szCs w:val="16"/>
            <w:u w:val="single" w:color="auto"/>
            <w:color w:val="0000EE"/>
          </w:rPr>
          <w:t>Xometry, Inc. Amendment No. 3 to 2016 Equity Incentive Plan.</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99.7</w:t>
      </w:r>
      <w:r>
        <w:rPr>
          <w:sz w:val="20"/>
          <w:szCs w:val="20"/>
          <w:color w:val="auto"/>
        </w:rPr>
        <w:tab/>
      </w:r>
      <w:hyperlink r:id="rId31">
        <w:r>
          <w:rPr>
            <w:rFonts w:ascii="Arial" w:cs="Arial" w:eastAsia="Arial" w:hAnsi="Arial"/>
            <w:sz w:val="16"/>
            <w:szCs w:val="16"/>
            <w:u w:val="single" w:color="auto"/>
            <w:color w:val="0000EE"/>
          </w:rPr>
          <w:t>Xometry, Inc. Amendment No. 4 to 2016 Equity Incentive Plan.</w:t>
        </w:r>
      </w:hyperlink>
    </w:p>
    <w:p>
      <w:pPr>
        <w:spacing w:after="0" w:line="117"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99.8</w:t>
      </w:r>
      <w:r>
        <w:rPr>
          <w:sz w:val="20"/>
          <w:szCs w:val="20"/>
          <w:color w:val="auto"/>
        </w:rPr>
        <w:tab/>
      </w:r>
      <w:hyperlink r:id="rId32">
        <w:r>
          <w:rPr>
            <w:rFonts w:ascii="Arial" w:cs="Arial" w:eastAsia="Arial" w:hAnsi="Arial"/>
            <w:sz w:val="16"/>
            <w:szCs w:val="16"/>
            <w:u w:val="single" w:color="auto"/>
            <w:color w:val="0000EE"/>
          </w:rPr>
          <w:t>Xometry, Inc. Amendment No. 5 to 2016 Equity Incentive Plan.</w:t>
        </w:r>
      </w:hyperlink>
    </w:p>
    <w:p>
      <w:pPr>
        <w:spacing w:after="0" w:line="117" w:lineRule="exact"/>
        <w:rPr>
          <w:sz w:val="20"/>
          <w:szCs w:val="20"/>
          <w:color w:val="auto"/>
        </w:rPr>
      </w:pPr>
    </w:p>
    <w:p>
      <w:pPr>
        <w:ind w:left="640" w:right="220" w:hanging="633"/>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99.9</w:t>
      </w:r>
      <w:r>
        <w:rPr>
          <w:sz w:val="20"/>
          <w:szCs w:val="20"/>
          <w:color w:val="auto"/>
        </w:rPr>
        <w:tab/>
      </w:r>
      <w:hyperlink r:id="rId33">
        <w:r>
          <w:rPr>
            <w:rFonts w:ascii="Arial" w:cs="Arial" w:eastAsia="Arial" w:hAnsi="Arial"/>
            <w:sz w:val="18"/>
            <w:szCs w:val="18"/>
            <w:u w:val="single" w:color="auto"/>
            <w:color w:val="0000EE"/>
          </w:rPr>
          <w:t>Forms of grant notice, stock option agreement, and notice of exercise under the Xometry,</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Inc. 2016 Equity Incentive Plan.</w:t>
        </w:r>
      </w:hyperlink>
    </w:p>
    <w:p>
      <w:pPr>
        <w:spacing w:after="0" w:line="62"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99.10</w:t>
      </w:r>
      <w:r>
        <w:rPr>
          <w:sz w:val="20"/>
          <w:szCs w:val="20"/>
          <w:color w:val="auto"/>
        </w:rPr>
        <w:tab/>
      </w:r>
      <w:hyperlink r:id="rId34">
        <w:r>
          <w:rPr>
            <w:rFonts w:ascii="Arial" w:cs="Arial" w:eastAsia="Arial" w:hAnsi="Arial"/>
            <w:sz w:val="16"/>
            <w:szCs w:val="16"/>
            <w:u w:val="single" w:color="auto"/>
            <w:color w:val="0000EE"/>
          </w:rPr>
          <w:t>Xometry, Inc. 2021 Equity Incentive Plan.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auto"/>
        </w:rPr>
        <w:t>Incorporated by Reference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Schedule</w:t>
            </w: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85"/>
        </w:trPr>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Form</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File Number</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80" w:type="dxa"/>
            <w:vAlign w:val="bottom"/>
            <w:gridSpan w:val="3"/>
          </w:tcPr>
          <w:p>
            <w:pPr>
              <w:ind w:left="180"/>
              <w:spacing w:after="0"/>
              <w:rPr>
                <w:sz w:val="20"/>
                <w:szCs w:val="20"/>
                <w:color w:val="auto"/>
              </w:rPr>
            </w:pPr>
            <w:r>
              <w:rPr>
                <w:rFonts w:ascii="Arial" w:cs="Arial" w:eastAsia="Arial" w:hAnsi="Arial"/>
                <w:sz w:val="14"/>
                <w:szCs w:val="14"/>
                <w:b w:val="1"/>
                <w:bCs w:val="1"/>
                <w:color w:val="auto"/>
              </w:rPr>
              <w:t>Filing Date</w:t>
            </w:r>
          </w:p>
        </w:tc>
      </w:tr>
      <w:tr>
        <w:trPr>
          <w:trHeight w:val="224"/>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8-K</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001-40546</w:t>
            </w:r>
          </w:p>
        </w:tc>
        <w:tc>
          <w:tcPr>
            <w:tcW w:w="120" w:type="dxa"/>
            <w:vAlign w:val="bottom"/>
          </w:tcPr>
          <w:p>
            <w:pPr>
              <w:spacing w:after="0"/>
              <w:rPr>
                <w:sz w:val="19"/>
                <w:szCs w:val="19"/>
                <w:color w:val="auto"/>
              </w:rPr>
            </w:pPr>
          </w:p>
        </w:tc>
        <w:tc>
          <w:tcPr>
            <w:tcW w:w="4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79"/>
              </w:rPr>
              <w:t>3.1</w:t>
            </w:r>
          </w:p>
        </w:tc>
        <w:tc>
          <w:tcPr>
            <w:tcW w:w="180" w:type="dxa"/>
            <w:vAlign w:val="bottom"/>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July 2, 2021</w:t>
            </w:r>
          </w:p>
        </w:tc>
        <w:tc>
          <w:tcPr>
            <w:tcW w:w="20" w:type="dxa"/>
            <w:vAlign w:val="bottom"/>
          </w:tcPr>
          <w:p>
            <w:pPr>
              <w:spacing w:after="0"/>
              <w:rPr>
                <w:sz w:val="19"/>
                <w:szCs w:val="19"/>
                <w:color w:val="auto"/>
              </w:rPr>
            </w:pPr>
          </w:p>
        </w:tc>
      </w:tr>
      <w:tr>
        <w:trPr>
          <w:trHeight w:val="310"/>
        </w:trPr>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8-K</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001-40546</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3.2</w:t>
            </w:r>
          </w:p>
        </w:tc>
        <w:tc>
          <w:tcPr>
            <w:tcW w:w="680" w:type="dxa"/>
            <w:vAlign w:val="bottom"/>
          </w:tcPr>
          <w:p>
            <w:pPr>
              <w:jc w:val="right"/>
              <w:spacing w:after="0"/>
              <w:rPr>
                <w:sz w:val="20"/>
                <w:szCs w:val="20"/>
                <w:color w:val="auto"/>
              </w:rPr>
            </w:pPr>
            <w:r>
              <w:rPr>
                <w:rFonts w:ascii="Arial" w:cs="Arial" w:eastAsia="Arial" w:hAnsi="Arial"/>
                <w:sz w:val="18"/>
                <w:szCs w:val="18"/>
                <w:color w:val="auto"/>
              </w:rPr>
              <w:t>July 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2021</w:t>
            </w:r>
          </w:p>
        </w:tc>
      </w:tr>
      <w:tr>
        <w:trPr>
          <w:trHeight w:val="324"/>
        </w:trPr>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S-1/A</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333-256769</w:t>
            </w: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4.1</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June 25,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10.16</w:t>
            </w:r>
          </w:p>
        </w:tc>
        <w:tc>
          <w:tcPr>
            <w:tcW w:w="1120" w:type="dxa"/>
            <w:vAlign w:val="bottom"/>
          </w:tcPr>
          <w:p>
            <w:pPr>
              <w:jc w:val="right"/>
              <w:spacing w:after="0"/>
              <w:rPr>
                <w:sz w:val="20"/>
                <w:szCs w:val="20"/>
                <w:color w:val="auto"/>
              </w:rPr>
            </w:pPr>
            <w:r>
              <w:rPr>
                <w:rFonts w:ascii="Arial" w:cs="Arial" w:eastAsia="Arial" w:hAnsi="Arial"/>
                <w:sz w:val="18"/>
                <w:szCs w:val="18"/>
                <w:color w:val="auto"/>
                <w:w w:val="96"/>
              </w:rPr>
              <w:t>June 21,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10.17</w:t>
            </w:r>
          </w:p>
        </w:tc>
        <w:tc>
          <w:tcPr>
            <w:tcW w:w="1120" w:type="dxa"/>
            <w:vAlign w:val="bottom"/>
          </w:tcPr>
          <w:p>
            <w:pPr>
              <w:jc w:val="right"/>
              <w:spacing w:after="0"/>
              <w:rPr>
                <w:sz w:val="20"/>
                <w:szCs w:val="20"/>
                <w:color w:val="auto"/>
              </w:rPr>
            </w:pPr>
            <w:r>
              <w:rPr>
                <w:rFonts w:ascii="Arial" w:cs="Arial" w:eastAsia="Arial" w:hAnsi="Arial"/>
                <w:sz w:val="18"/>
                <w:szCs w:val="18"/>
                <w:color w:val="auto"/>
                <w:w w:val="96"/>
              </w:rPr>
              <w:t>June 21,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120" w:type="dxa"/>
            <w:vAlign w:val="bottom"/>
          </w:tcPr>
          <w:p>
            <w:pPr>
              <w:jc w:val="right"/>
              <w:spacing w:after="0"/>
              <w:rPr>
                <w:sz w:val="20"/>
                <w:szCs w:val="20"/>
                <w:color w:val="auto"/>
              </w:rPr>
            </w:pPr>
            <w:r>
              <w:rPr>
                <w:rFonts w:ascii="Arial" w:cs="Arial" w:eastAsia="Arial" w:hAnsi="Arial"/>
                <w:sz w:val="18"/>
                <w:szCs w:val="18"/>
                <w:color w:val="auto"/>
              </w:rPr>
              <w:t>June 4, 2021</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S-1/A</w:t>
            </w:r>
          </w:p>
        </w:tc>
        <w:tc>
          <w:tcPr>
            <w:tcW w:w="1060" w:type="dxa"/>
            <w:vAlign w:val="bottom"/>
          </w:tcPr>
          <w:p>
            <w:pPr>
              <w:jc w:val="right"/>
              <w:spacing w:after="0"/>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120" w:type="dxa"/>
            <w:vAlign w:val="bottom"/>
          </w:tcPr>
          <w:p>
            <w:pPr>
              <w:jc w:val="right"/>
              <w:spacing w:after="0"/>
              <w:rPr>
                <w:sz w:val="20"/>
                <w:szCs w:val="20"/>
                <w:color w:val="auto"/>
              </w:rPr>
            </w:pPr>
            <w:r>
              <w:rPr>
                <w:rFonts w:ascii="Arial" w:cs="Arial" w:eastAsia="Arial" w:hAnsi="Arial"/>
                <w:sz w:val="18"/>
                <w:szCs w:val="18"/>
                <w:color w:val="auto"/>
                <w:w w:val="96"/>
              </w:rPr>
              <w:t>June 21, 2021</w:t>
            </w:r>
          </w:p>
        </w:tc>
      </w:tr>
    </w:tbl>
    <w:p>
      <w:pPr>
        <w:sectPr>
          <w:pgSz w:w="11900" w:h="16838" w:orient="portrait"/>
          <w:cols w:equalWidth="0" w:num="2">
            <w:col w:w="7280" w:space="140"/>
            <w:col w:w="3540"/>
          </w:cols>
          <w:pgMar w:left="440" w:top="270" w:right="4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7460" w:type="dxa"/>
            <w:vAlign w:val="bottom"/>
            <w:gridSpan w:val="6"/>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99.11  </w:t>
            </w:r>
            <w:hyperlink r:id="rId36">
              <w:r>
                <w:rPr>
                  <w:rFonts w:ascii="Arial" w:cs="Arial" w:eastAsia="Arial" w:hAnsi="Arial"/>
                  <w:sz w:val="18"/>
                  <w:szCs w:val="18"/>
                  <w:color w:val="0000EE"/>
                  <w:w w:val="93"/>
                </w:rPr>
                <w:t>Forms of grant notice, stock option agreement and notice of exercise under the Xometry, Inc.</w:t>
              </w:r>
            </w:hyperlink>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2021 Equity Incentive Plan.</w:t>
              </w:r>
            </w:hyperlink>
          </w:p>
        </w:tc>
        <w:tc>
          <w:tcPr>
            <w:tcW w:w="4680" w:type="dxa"/>
            <w:vAlign w:val="bottom"/>
            <w:tcBorders>
              <w:top w:val="single" w:sz="8" w:color="0000EE"/>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Arial" w:cs="Arial" w:eastAsia="Arial" w:hAnsi="Arial"/>
                <w:sz w:val="18"/>
                <w:szCs w:val="18"/>
                <w:color w:val="auto"/>
              </w:rPr>
              <w:t>S-1/A</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10.10</w:t>
            </w:r>
          </w:p>
        </w:tc>
        <w:tc>
          <w:tcPr>
            <w:tcW w:w="1120" w:type="dxa"/>
            <w:vAlign w:val="bottom"/>
          </w:tcPr>
          <w:p>
            <w:pPr>
              <w:ind w:left="120"/>
              <w:spacing w:after="0" w:line="196" w:lineRule="exact"/>
              <w:rPr>
                <w:sz w:val="20"/>
                <w:szCs w:val="20"/>
                <w:color w:val="auto"/>
              </w:rPr>
            </w:pPr>
            <w:r>
              <w:rPr>
                <w:rFonts w:ascii="Arial" w:cs="Arial" w:eastAsia="Arial" w:hAnsi="Arial"/>
                <w:sz w:val="18"/>
                <w:szCs w:val="18"/>
                <w:color w:val="auto"/>
                <w:w w:val="85"/>
              </w:rPr>
              <w:t>June 25, 2021</w:t>
            </w:r>
          </w:p>
        </w:tc>
      </w:tr>
      <w:tr>
        <w:trPr>
          <w:trHeight w:val="304"/>
        </w:trPr>
        <w:tc>
          <w:tcPr>
            <w:tcW w:w="7460" w:type="dxa"/>
            <w:vAlign w:val="bottom"/>
            <w:gridSpan w:val="6"/>
          </w:tcPr>
          <w:p>
            <w:pPr>
              <w:spacing w:after="0"/>
              <w:rPr>
                <w:rFonts w:ascii="Arial" w:cs="Arial" w:eastAsia="Arial" w:hAnsi="Arial"/>
                <w:sz w:val="18"/>
                <w:szCs w:val="18"/>
                <w:color w:val="auto"/>
                <w:w w:val="92"/>
              </w:rPr>
            </w:pPr>
            <w:r>
              <w:rPr>
                <w:rFonts w:ascii="Arial" w:cs="Arial" w:eastAsia="Arial" w:hAnsi="Arial"/>
                <w:sz w:val="18"/>
                <w:szCs w:val="18"/>
                <w:color w:val="auto"/>
                <w:w w:val="92"/>
              </w:rPr>
              <w:t xml:space="preserve">99.12  </w:t>
            </w:r>
            <w:hyperlink r:id="rId37">
              <w:r>
                <w:rPr>
                  <w:rFonts w:ascii="Arial" w:cs="Arial" w:eastAsia="Arial" w:hAnsi="Arial"/>
                  <w:sz w:val="18"/>
                  <w:szCs w:val="18"/>
                  <w:color w:val="0000EE"/>
                  <w:w w:val="92"/>
                </w:rPr>
                <w:t>Forms of restricted stock unit grant notice and award agreement under the Xometry, Inc. 2021</w:t>
              </w:r>
            </w:hyperlink>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67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Equity Incentive Plan.</w:t>
              </w:r>
            </w:hyperlink>
          </w:p>
        </w:tc>
        <w:tc>
          <w:tcPr>
            <w:tcW w:w="18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Arial" w:cs="Arial" w:eastAsia="Arial" w:hAnsi="Arial"/>
                <w:sz w:val="18"/>
                <w:szCs w:val="18"/>
                <w:color w:val="auto"/>
              </w:rPr>
              <w:t>S-1/A</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w w:val="99"/>
              </w:rPr>
              <w:t>333-256769</w:t>
            </w: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10.11</w:t>
            </w:r>
          </w:p>
        </w:tc>
        <w:tc>
          <w:tcPr>
            <w:tcW w:w="1120" w:type="dxa"/>
            <w:vAlign w:val="bottom"/>
          </w:tcPr>
          <w:p>
            <w:pPr>
              <w:ind w:left="120"/>
              <w:spacing w:after="0" w:line="196" w:lineRule="exact"/>
              <w:rPr>
                <w:sz w:val="20"/>
                <w:szCs w:val="20"/>
                <w:color w:val="auto"/>
              </w:rPr>
            </w:pPr>
            <w:r>
              <w:rPr>
                <w:rFonts w:ascii="Arial" w:cs="Arial" w:eastAsia="Arial" w:hAnsi="Arial"/>
                <w:sz w:val="18"/>
                <w:szCs w:val="18"/>
                <w:color w:val="auto"/>
                <w:w w:val="85"/>
              </w:rPr>
              <w:t>June 25, 2021</w:t>
            </w:r>
          </w:p>
        </w:tc>
      </w:tr>
      <w:tr>
        <w:trPr>
          <w:trHeight w:val="20"/>
        </w:trPr>
        <w:tc>
          <w:tcPr>
            <w:tcW w:w="5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4"/>
        <w:spacing w:after="0"/>
        <w:rPr>
          <w:sz w:val="20"/>
          <w:szCs w:val="20"/>
          <w:color w:val="auto"/>
        </w:rPr>
      </w:pPr>
      <w:r>
        <w:rPr>
          <w:rFonts w:ascii="Arial" w:cs="Arial" w:eastAsia="Arial" w:hAnsi="Arial"/>
          <w:sz w:val="18"/>
          <w:szCs w:val="18"/>
          <w:color w:val="auto"/>
        </w:rPr>
        <w:t>*  Filed herewith.</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left="184" w:hanging="184"/>
        <w:spacing w:after="0"/>
        <w:tabs>
          <w:tab w:leader="none" w:pos="18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264" w:hanging="264"/>
        <w:spacing w:after="0"/>
        <w:tabs>
          <w:tab w:leader="none" w:pos="26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224" w:hanging="224"/>
        <w:spacing w:after="0"/>
        <w:tabs>
          <w:tab w:leader="none" w:pos="224"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b w:val="1"/>
          <w:bCs w:val="1"/>
          <w:color w:val="auto"/>
        </w:rPr>
      </w:pPr>
    </w:p>
    <w:p>
      <w:pPr>
        <w:ind w:left="4" w:right="140" w:hanging="4"/>
        <w:spacing w:after="0" w:line="293" w:lineRule="auto"/>
        <w:tabs>
          <w:tab w:leader="none" w:pos="269"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b w:val="1"/>
          <w:bCs w:val="1"/>
          <w:color w:val="auto"/>
        </w:rPr>
      </w:pPr>
    </w:p>
    <w:p>
      <w:pPr>
        <w:ind w:left="4" w:right="300" w:hanging="4"/>
        <w:spacing w:after="0" w:line="277" w:lineRule="auto"/>
        <w:tabs>
          <w:tab w:leader="none" w:pos="319"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(a)(i) and (a)(ii)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sz w:val="20"/>
          <w:szCs w:val="20"/>
          <w:color w:val="auto"/>
        </w:rPr>
      </w:pPr>
    </w:p>
    <w:p>
      <w:pPr>
        <w:ind w:left="4" w:right="160" w:hanging="4"/>
        <w:spacing w:after="0" w:line="263" w:lineRule="auto"/>
        <w:tabs>
          <w:tab w:leader="none" w:pos="269"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183" w:lineRule="exact"/>
        <w:rPr>
          <w:rFonts w:ascii="Arial" w:cs="Arial" w:eastAsia="Arial" w:hAnsi="Arial"/>
          <w:sz w:val="18"/>
          <w:szCs w:val="18"/>
          <w:b w:val="1"/>
          <w:bCs w:val="1"/>
          <w:color w:val="auto"/>
        </w:rPr>
      </w:pPr>
    </w:p>
    <w:p>
      <w:pPr>
        <w:ind w:left="4" w:hanging="4"/>
        <w:spacing w:after="0" w:line="277" w:lineRule="auto"/>
        <w:tabs>
          <w:tab w:leader="none" w:pos="249"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b w:val="1"/>
          <w:bCs w:val="1"/>
          <w:color w:val="auto"/>
        </w:rPr>
      </w:pPr>
    </w:p>
    <w:p>
      <w:pPr>
        <w:ind w:left="4" w:right="20" w:hanging="4"/>
        <w:spacing w:after="0" w:line="257" w:lineRule="auto"/>
        <w:tabs>
          <w:tab w:leader="none" w:pos="269"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224" w:hanging="224"/>
        <w:spacing w:after="0"/>
        <w:tabs>
          <w:tab w:leader="none" w:pos="22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ectPr>
          <w:pgSz w:w="11900" w:h="16838" w:orient="portrait"/>
          <w:cols w:equalWidth="0" w:num="1">
            <w:col w:w="10984"/>
          </w:cols>
          <w:pgMar w:left="436" w:top="257" w:right="479" w:bottom="1440" w:gutter="0" w:footer="0" w:header="0"/>
        </w:sectPr>
      </w:pPr>
    </w:p>
    <w:bookmarkStart w:id="6" w:name="page7"/>
    <w:bookmarkEnd w:id="6"/>
    <w:p>
      <w:pPr>
        <w:ind w:left="4" w:hanging="4"/>
        <w:spacing w:after="0" w:line="277" w:lineRule="auto"/>
        <w:tabs>
          <w:tab w:leader="none" w:pos="269"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b w:val="1"/>
          <w:bCs w:val="1"/>
          <w:color w:val="auto"/>
        </w:rPr>
      </w:pPr>
    </w:p>
    <w:p>
      <w:pPr>
        <w:ind w:left="4" w:right="300" w:hanging="4"/>
        <w:spacing w:after="0" w:line="277" w:lineRule="auto"/>
        <w:tabs>
          <w:tab w:leader="none" w:pos="319"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b w:val="1"/>
          <w:bCs w:val="1"/>
          <w:color w:val="auto"/>
        </w:rPr>
      </w:pPr>
    </w:p>
    <w:p>
      <w:pPr>
        <w:ind w:left="304" w:hanging="304"/>
        <w:spacing w:after="0"/>
        <w:tabs>
          <w:tab w:leader="none" w:pos="30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4" w:right="20" w:hanging="4"/>
        <w:spacing w:after="0" w:line="257"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7" w:lineRule="exact"/>
        <w:rPr>
          <w:rFonts w:ascii="Arial" w:cs="Arial" w:eastAsia="Arial" w:hAnsi="Arial"/>
          <w:sz w:val="18"/>
          <w:szCs w:val="18"/>
          <w:b w:val="1"/>
          <w:bCs w:val="1"/>
          <w:color w:val="auto"/>
        </w:rPr>
      </w:pPr>
    </w:p>
    <w:p>
      <w:pPr>
        <w:ind w:left="4" w:right="60" w:hanging="4"/>
        <w:spacing w:after="0" w:line="271" w:lineRule="auto"/>
        <w:tabs>
          <w:tab w:leader="none" w:pos="184"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44"/>
          </w:cols>
          <w:pgMar w:left="436" w:top="274" w:right="61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Gaithersburg, State of Maryland, on this 2nd day of July,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Randolph Altschuler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Co-Founder, 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Randolph Altschuler as</w:t>
      </w:r>
      <w:r>
        <w:rPr>
          <w:rFonts w:ascii="Arial" w:cs="Arial" w:eastAsia="Arial" w:hAnsi="Arial"/>
          <w:sz w:val="17"/>
          <w:szCs w:val="17"/>
          <w:b w:val="1"/>
          <w:bCs w:val="1"/>
          <w:color w:val="auto"/>
        </w:rPr>
        <w:t xml:space="preserve"> </w:t>
      </w:r>
      <w:r>
        <w:rPr>
          <w:rFonts w:ascii="Arial" w:cs="Arial" w:eastAsia="Arial" w:hAnsi="Arial"/>
          <w:sz w:val="17"/>
          <w:szCs w:val="17"/>
          <w:color w:val="auto"/>
        </w:rPr>
        <w:t>his or her true and lawful attorney-in-fact and agent,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5300" w:type="dxa"/>
            <w:vAlign w:val="bottom"/>
          </w:tcPr>
          <w:p>
            <w:pPr>
              <w:jc w:val="center"/>
              <w:ind w:right="51"/>
              <w:spacing w:after="0"/>
              <w:rPr>
                <w:sz w:val="20"/>
                <w:szCs w:val="20"/>
                <w:color w:val="auto"/>
              </w:rPr>
            </w:pPr>
            <w:r>
              <w:rPr>
                <w:rFonts w:ascii="Arial" w:cs="Arial" w:eastAsia="Arial" w:hAnsi="Arial"/>
                <w:sz w:val="14"/>
                <w:szCs w:val="14"/>
                <w:b w:val="1"/>
                <w:bCs w:val="1"/>
                <w:color w:val="auto"/>
                <w:w w:val="97"/>
              </w:rPr>
              <w:t>Title</w:t>
            </w:r>
          </w:p>
        </w:tc>
        <w:tc>
          <w:tcPr>
            <w:tcW w:w="1420" w:type="dxa"/>
            <w:vAlign w:val="bottom"/>
          </w:tcPr>
          <w:p>
            <w:pPr>
              <w:jc w:val="center"/>
              <w:ind w:left="43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Randolph Altschuler</w:t>
            </w:r>
          </w:p>
        </w:tc>
        <w:tc>
          <w:tcPr>
            <w:tcW w:w="5300" w:type="dxa"/>
            <w:vAlign w:val="bottom"/>
          </w:tcPr>
          <w:p>
            <w:pPr>
              <w:jc w:val="center"/>
              <w:ind w:right="31"/>
              <w:spacing w:after="0"/>
              <w:rPr>
                <w:sz w:val="20"/>
                <w:szCs w:val="20"/>
                <w:color w:val="auto"/>
              </w:rPr>
            </w:pPr>
            <w:r>
              <w:rPr>
                <w:rFonts w:ascii="Arial" w:cs="Arial" w:eastAsia="Arial" w:hAnsi="Arial"/>
                <w:sz w:val="18"/>
                <w:szCs w:val="18"/>
                <w:color w:val="auto"/>
                <w:w w:val="92"/>
              </w:rPr>
              <w:t>Chief Executive Officer, Co-Founder and 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1"/>
              </w:rPr>
              <w:t>Randolph Altschuler</w:t>
            </w:r>
          </w:p>
        </w:tc>
        <w:tc>
          <w:tcPr>
            <w:tcW w:w="5300" w:type="dxa"/>
            <w:vAlign w:val="bottom"/>
          </w:tcPr>
          <w:p>
            <w:pPr>
              <w:jc w:val="center"/>
              <w:ind w:right="31"/>
              <w:spacing w:after="0"/>
              <w:rPr>
                <w:sz w:val="20"/>
                <w:szCs w:val="20"/>
                <w:color w:val="auto"/>
              </w:rPr>
            </w:pPr>
            <w:r>
              <w:rPr>
                <w:rFonts w:ascii="Arial" w:cs="Arial" w:eastAsia="Arial" w:hAnsi="Arial"/>
                <w:sz w:val="18"/>
                <w:szCs w:val="18"/>
                <w:i w:val="1"/>
                <w:iCs w:val="1"/>
                <w:color w:val="auto"/>
                <w:w w:val="94"/>
              </w:rPr>
              <w:t>(Principal Executive Officer)</w:t>
            </w: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Rallo</w:t>
            </w:r>
          </w:p>
        </w:tc>
        <w:tc>
          <w:tcPr>
            <w:tcW w:w="5300" w:type="dxa"/>
            <w:vAlign w:val="bottom"/>
          </w:tcPr>
          <w:p>
            <w:pPr>
              <w:jc w:val="center"/>
              <w:ind w:right="31"/>
              <w:spacing w:after="0"/>
              <w:rPr>
                <w:sz w:val="20"/>
                <w:szCs w:val="20"/>
                <w:color w:val="auto"/>
              </w:rPr>
            </w:pPr>
            <w:r>
              <w:rPr>
                <w:rFonts w:ascii="Arial" w:cs="Arial" w:eastAsia="Arial" w:hAnsi="Arial"/>
                <w:sz w:val="18"/>
                <w:szCs w:val="18"/>
                <w:color w:val="auto"/>
                <w:w w:val="94"/>
              </w:rPr>
              <w:t xml:space="preserve">Chief Financial Officer </w:t>
            </w:r>
            <w:r>
              <w:rPr>
                <w:rFonts w:ascii="Arial" w:cs="Arial" w:eastAsia="Arial" w:hAnsi="Arial"/>
                <w:sz w:val="18"/>
                <w:szCs w:val="18"/>
                <w:i w:val="1"/>
                <w:iCs w:val="1"/>
                <w:color w:val="auto"/>
                <w:w w:val="94"/>
              </w:rPr>
              <w:t>(Principal Financial and Accounting</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88"/>
              </w:rPr>
              <w:t>James Rallo</w:t>
            </w:r>
          </w:p>
        </w:tc>
        <w:tc>
          <w:tcPr>
            <w:tcW w:w="5300" w:type="dxa"/>
            <w:vAlign w:val="bottom"/>
          </w:tcPr>
          <w:p>
            <w:pPr>
              <w:jc w:val="center"/>
              <w:ind w:right="31"/>
              <w:spacing w:after="0"/>
              <w:rPr>
                <w:sz w:val="20"/>
                <w:szCs w:val="20"/>
                <w:color w:val="auto"/>
              </w:rPr>
            </w:pPr>
            <w:r>
              <w:rPr>
                <w:rFonts w:ascii="Arial" w:cs="Arial" w:eastAsia="Arial" w:hAnsi="Arial"/>
                <w:sz w:val="18"/>
                <w:szCs w:val="18"/>
                <w:i w:val="1"/>
                <w:iCs w:val="1"/>
                <w:color w:val="auto"/>
                <w:w w:val="98"/>
              </w:rPr>
              <w:t>Officer)</w:t>
            </w: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Laurence Zuriff</w:t>
            </w:r>
          </w:p>
        </w:tc>
        <w:tc>
          <w:tcPr>
            <w:tcW w:w="5300" w:type="dxa"/>
            <w:vAlign w:val="bottom"/>
          </w:tcPr>
          <w:p>
            <w:pPr>
              <w:jc w:val="center"/>
              <w:ind w:right="31"/>
              <w:spacing w:after="0"/>
              <w:rPr>
                <w:sz w:val="20"/>
                <w:szCs w:val="20"/>
                <w:color w:val="auto"/>
              </w:rPr>
            </w:pPr>
            <w:r>
              <w:rPr>
                <w:rFonts w:ascii="Arial" w:cs="Arial" w:eastAsia="Arial" w:hAnsi="Arial"/>
                <w:sz w:val="18"/>
                <w:szCs w:val="18"/>
                <w:color w:val="auto"/>
                <w:w w:val="91"/>
              </w:rPr>
              <w:t>Chief Strategy Officer, Co-Founder and 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4"/>
              </w:rPr>
              <w:t>Laurence Zuriff</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George Hornig</w:t>
            </w:r>
          </w:p>
        </w:tc>
        <w:tc>
          <w:tcPr>
            <w:tcW w:w="530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1"/>
              </w:rPr>
              <w:t>George Hornig</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Deborah Bial</w:t>
            </w:r>
          </w:p>
        </w:tc>
        <w:tc>
          <w:tcPr>
            <w:tcW w:w="530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2"/>
              </w:rPr>
              <w:t>Deborah Bial</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Ranjana B. Clark</w:t>
            </w:r>
          </w:p>
        </w:tc>
        <w:tc>
          <w:tcPr>
            <w:tcW w:w="530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1"/>
              </w:rPr>
              <w:t>Ranjana B. Clark</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Craig Driscoll</w:t>
            </w:r>
          </w:p>
        </w:tc>
        <w:tc>
          <w:tcPr>
            <w:tcW w:w="530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7"/>
              </w:rPr>
              <w:t>Craig Driscoll</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Emily Rollins</w:t>
            </w:r>
          </w:p>
        </w:tc>
        <w:tc>
          <w:tcPr>
            <w:tcW w:w="530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7"/>
              </w:rPr>
              <w:t>Emily Rollins</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spacing w:after="0"/>
              <w:rPr>
                <w:sz w:val="24"/>
                <w:szCs w:val="24"/>
                <w:color w:val="auto"/>
              </w:rPr>
            </w:pPr>
          </w:p>
        </w:tc>
        <w:tc>
          <w:tcPr>
            <w:tcW w:w="530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spacing w:after="0"/>
              <w:rPr>
                <w:sz w:val="24"/>
                <w:szCs w:val="24"/>
                <w:color w:val="auto"/>
              </w:rPr>
            </w:pP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1"/>
              </w:rPr>
              <w:t>Fabio Rosati</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3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Katharine Weymouth</w:t>
            </w:r>
          </w:p>
        </w:tc>
        <w:tc>
          <w:tcPr>
            <w:tcW w:w="5300" w:type="dxa"/>
            <w:vAlign w:val="bottom"/>
          </w:tcPr>
          <w:p>
            <w:pPr>
              <w:jc w:val="center"/>
              <w:ind w:right="51"/>
              <w:spacing w:after="0"/>
              <w:rPr>
                <w:sz w:val="20"/>
                <w:szCs w:val="20"/>
                <w:color w:val="auto"/>
              </w:rPr>
            </w:pPr>
            <w:r>
              <w:rPr>
                <w:rFonts w:ascii="Arial" w:cs="Arial" w:eastAsia="Arial" w:hAnsi="Arial"/>
                <w:sz w:val="18"/>
                <w:szCs w:val="18"/>
                <w:color w:val="auto"/>
                <w:w w:val="95"/>
              </w:rPr>
              <w:t>Director</w:t>
            </w:r>
          </w:p>
        </w:tc>
        <w:tc>
          <w:tcPr>
            <w:tcW w:w="1420" w:type="dxa"/>
            <w:vAlign w:val="bottom"/>
          </w:tcPr>
          <w:p>
            <w:pPr>
              <w:jc w:val="center"/>
              <w:ind w:left="432"/>
              <w:spacing w:after="0"/>
              <w:rPr>
                <w:sz w:val="20"/>
                <w:szCs w:val="20"/>
                <w:color w:val="auto"/>
              </w:rPr>
            </w:pPr>
            <w:r>
              <w:rPr>
                <w:rFonts w:ascii="Arial" w:cs="Arial" w:eastAsia="Arial" w:hAnsi="Arial"/>
                <w:sz w:val="18"/>
                <w:szCs w:val="18"/>
                <w:color w:val="auto"/>
                <w:w w:val="92"/>
              </w:rPr>
              <w:t>July 2, 2021</w:t>
            </w:r>
          </w:p>
        </w:tc>
      </w:tr>
      <w:tr>
        <w:trPr>
          <w:trHeight w:val="224"/>
        </w:trPr>
        <w:tc>
          <w:tcPr>
            <w:tcW w:w="3640" w:type="dxa"/>
            <w:vAlign w:val="bottom"/>
          </w:tcPr>
          <w:p>
            <w:pPr>
              <w:jc w:val="center"/>
              <w:spacing w:after="0"/>
              <w:rPr>
                <w:sz w:val="20"/>
                <w:szCs w:val="20"/>
                <w:color w:val="auto"/>
              </w:rPr>
            </w:pPr>
            <w:r>
              <w:rPr>
                <w:rFonts w:ascii="Arial" w:cs="Arial" w:eastAsia="Arial" w:hAnsi="Arial"/>
                <w:sz w:val="18"/>
                <w:szCs w:val="18"/>
                <w:color w:val="auto"/>
                <w:w w:val="91"/>
              </w:rPr>
              <w:t>Katharine Weymouth</w:t>
            </w:r>
          </w:p>
        </w:tc>
        <w:tc>
          <w:tcPr>
            <w:tcW w:w="530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ectPr>
          <w:pgSz w:w="11900" w:h="16838" w:orient="portrait"/>
          <w:cols w:equalWidth="0" w:num="1">
            <w:col w:w="10940"/>
          </w:cols>
          <w:pgMar w:left="440" w:top="270" w:right="5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20840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12084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Eric Blanchard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+1 212 479 6565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eblanchard@cooley.com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7529 Standish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Derwood, MD 20855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acted as counsel to Xometry,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covering the offering of up to 7,779,800 shares of the Company’s Class A Common Stock, par value $0.000001 per share (the “</w:t>
      </w:r>
      <w:r>
        <w:rPr>
          <w:rFonts w:ascii="Arial" w:cs="Arial" w:eastAsia="Arial" w:hAnsi="Arial"/>
          <w:sz w:val="17"/>
          <w:szCs w:val="17"/>
          <w:b w:val="1"/>
          <w:bCs w:val="1"/>
          <w:i w:val="1"/>
          <w:iCs w:val="1"/>
          <w:color w:val="auto"/>
        </w:rPr>
        <w:t>Class A Common Stock</w:t>
      </w:r>
      <w:r>
        <w:rPr>
          <w:rFonts w:ascii="Arial" w:cs="Arial" w:eastAsia="Arial" w:hAnsi="Arial"/>
          <w:sz w:val="17"/>
          <w:szCs w:val="17"/>
          <w:color w:val="auto"/>
        </w:rPr>
        <w:t>”), consisting of (i) 6,600 shares of Class A Common Stock (the “</w:t>
      </w:r>
      <w:r>
        <w:rPr>
          <w:rFonts w:ascii="Arial" w:cs="Arial" w:eastAsia="Arial" w:hAnsi="Arial"/>
          <w:sz w:val="17"/>
          <w:szCs w:val="17"/>
          <w:b w:val="1"/>
          <w:bCs w:val="1"/>
          <w:i w:val="1"/>
          <w:iCs w:val="1"/>
          <w:color w:val="auto"/>
        </w:rPr>
        <w:t>2014 Plan Shares</w:t>
      </w:r>
      <w:r>
        <w:rPr>
          <w:rFonts w:ascii="Arial" w:cs="Arial" w:eastAsia="Arial" w:hAnsi="Arial"/>
          <w:sz w:val="17"/>
          <w:szCs w:val="17"/>
          <w:color w:val="auto"/>
        </w:rPr>
        <w:t>”) issuable pursuant to the Nextline Manufacturing Corp. 2014 Stock Option Plan (the “</w:t>
      </w:r>
      <w:r>
        <w:rPr>
          <w:rFonts w:ascii="Arial" w:cs="Arial" w:eastAsia="Arial" w:hAnsi="Arial"/>
          <w:sz w:val="17"/>
          <w:szCs w:val="17"/>
          <w:b w:val="1"/>
          <w:bCs w:val="1"/>
          <w:i w:val="1"/>
          <w:iCs w:val="1"/>
          <w:color w:val="auto"/>
        </w:rPr>
        <w:t>2014 Plan</w:t>
      </w:r>
      <w:r>
        <w:rPr>
          <w:rFonts w:ascii="Arial" w:cs="Arial" w:eastAsia="Arial" w:hAnsi="Arial"/>
          <w:sz w:val="17"/>
          <w:szCs w:val="17"/>
          <w:color w:val="auto"/>
        </w:rPr>
        <w:t>”), (ii) 3,746,612 shares of Class A Common Stock (the “</w:t>
      </w:r>
      <w:r>
        <w:rPr>
          <w:rFonts w:ascii="Arial" w:cs="Arial" w:eastAsia="Arial" w:hAnsi="Arial"/>
          <w:sz w:val="17"/>
          <w:szCs w:val="17"/>
          <w:b w:val="1"/>
          <w:bCs w:val="1"/>
          <w:i w:val="1"/>
          <w:iCs w:val="1"/>
          <w:color w:val="auto"/>
        </w:rPr>
        <w:t>2016 Plan Shares</w:t>
      </w:r>
      <w:r>
        <w:rPr>
          <w:rFonts w:ascii="Arial" w:cs="Arial" w:eastAsia="Arial" w:hAnsi="Arial"/>
          <w:sz w:val="17"/>
          <w:szCs w:val="17"/>
          <w:color w:val="auto"/>
        </w:rPr>
        <w:t>”) issuable pursuant to the Xometry, Inc. 2016 Equity Incentive Plan (the “</w:t>
      </w:r>
      <w:r>
        <w:rPr>
          <w:rFonts w:ascii="Arial" w:cs="Arial" w:eastAsia="Arial" w:hAnsi="Arial"/>
          <w:sz w:val="17"/>
          <w:szCs w:val="17"/>
          <w:b w:val="1"/>
          <w:bCs w:val="1"/>
          <w:i w:val="1"/>
          <w:iCs w:val="1"/>
          <w:color w:val="auto"/>
        </w:rPr>
        <w:t>2016 Plan</w:t>
      </w:r>
      <w:r>
        <w:rPr>
          <w:rFonts w:ascii="Arial" w:cs="Arial" w:eastAsia="Arial" w:hAnsi="Arial"/>
          <w:sz w:val="17"/>
          <w:szCs w:val="17"/>
          <w:color w:val="auto"/>
        </w:rPr>
        <w:t>”) and (iii) 4,026,588 shares of Class A Common Stock (together with the 2014 Plan Shares and 2016 Plan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issuable pursuant to the Xometry, Inc. 2021 Equity Incentive Plan (together with the 2014 Plan and the 2016 Plan,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w:t>
      </w:r>
    </w:p>
    <w:p>
      <w:pPr>
        <w:spacing w:after="0" w:line="17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this opinion, we have examined and relied upon (a) the Registration Statement and related prospectuses, (b) the Company’s Amended and Restated Certificate of Incorporation and Amended and Restated Bylaws, each as currently in effect, (c) the Plans, and (d) originals or copies certified to our satisfaction of such records, documents, certificates, memoranda and other instruments as in our judgment are necessary or appropriate to enable us to render the opinion expressed below.</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by all persons other than by the Company of all documents where authorization, execution and delivery are prerequisites to the effectiveness thereof. As to certain factual matters, we have relied upon a certificate of an officer of the Company and have not independently verified such matters.</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jc w:val="both"/>
        <w:ind w:right="440"/>
        <w:spacing w:after="0" w:line="311"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1020"/>
          </w:cols>
          <w:pgMar w:left="440" w:top="121"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08405"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08405" cy="394335"/>
                    </a:xfrm>
                    <a:prstGeom prst="rect">
                      <a:avLst/>
                    </a:prstGeom>
                    <a:noFill/>
                  </pic:spPr>
                </pic:pic>
              </a:graphicData>
            </a:graphic>
          </wp:anchor>
        </w:drawing>
        <w:t>Xometry,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Eric Blanchard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Eric Blanchard</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Cooley LLP 55 Hudson Yards, New York, NY 10001-2157</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 (212) 479-6000 f: (212) 479-6275 cooley.com</w:t>
      </w:r>
    </w:p>
    <w:p>
      <w:pPr>
        <w:sectPr>
          <w:pgSz w:w="11900" w:h="16838" w:orient="portrait"/>
          <w:cols w:equalWidth="0" w:num="1">
            <w:col w:w="10900"/>
          </w:cols>
          <w:pgMar w:left="440" w:top="1111" w:right="5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consent to the use of our report dated April 13, 2021, with respect to the consolidated financial statements and financial statement schedule of Xometry, Inc., included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30,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35"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jpeg"/><Relationship Id="rId42" Type="http://schemas.openxmlformats.org/officeDocument/2006/relationships/image" Target="media/image20.png"/><Relationship Id="rId43" Type="http://schemas.openxmlformats.org/officeDocument/2006/relationships/image" Target="media/image21.jpeg"/><Relationship Id="rId44" Type="http://schemas.openxmlformats.org/officeDocument/2006/relationships/image" Target="media/image22.png"/><Relationship Id="rId22" Type="http://schemas.openxmlformats.org/officeDocument/2006/relationships/hyperlink" Target="http://www.sec.gov/Archives/edgar/data/1657573/000119312521207643/d184650dex31.htm" TargetMode="External"/><Relationship Id="rId23" Type="http://schemas.openxmlformats.org/officeDocument/2006/relationships/hyperlink" Target="http://www.sec.gov/Archives/edgar/data/1657573/000119312521207643/d184650dex32.htm" TargetMode="External"/><Relationship Id="rId24" Type="http://schemas.openxmlformats.org/officeDocument/2006/relationships/hyperlink" Target="http://www.sec.gov/Archives/edgar/data/1657573/000119312521200359/d120843dex41.htm" TargetMode="External"/><Relationship Id="rId25" Type="http://schemas.openxmlformats.org/officeDocument/2006/relationships/hyperlink" Target="http://www.sec.gov/Archives/edgar/data/0001657573/000119312521194064/d120843dex1016.htm" TargetMode="External"/><Relationship Id="rId26" Type="http://schemas.openxmlformats.org/officeDocument/2006/relationships/hyperlink" Target="http://www.sec.gov/Archives/edgar/data/0001657573/000119312521194064/d120843dex1017.htm" TargetMode="External"/><Relationship Id="rId27" Type="http://schemas.openxmlformats.org/officeDocument/2006/relationships/hyperlink" Target="http://www.sec.gov/Archives/edgar/data/1657573/000119312521181945/d120843dex102.htm" TargetMode="External"/><Relationship Id="rId28" Type="http://schemas.openxmlformats.org/officeDocument/2006/relationships/hyperlink" Target="http://www.sec.gov/Archives/edgar/data/1657573/000119312521181945/d120843dex103.htm" TargetMode="External"/><Relationship Id="rId29" Type="http://schemas.openxmlformats.org/officeDocument/2006/relationships/hyperlink" Target="http://www.sec.gov/Archives/edgar/data/1657573/000119312521181945/d120843dex104.htm" TargetMode="External"/><Relationship Id="rId30" Type="http://schemas.openxmlformats.org/officeDocument/2006/relationships/hyperlink" Target="http://www.sec.gov/Archives/edgar/data/1657573/000119312521181945/d120843dex105.htm" TargetMode="External"/><Relationship Id="rId31" Type="http://schemas.openxmlformats.org/officeDocument/2006/relationships/hyperlink" Target="http://www.sec.gov/Archives/edgar/data/1657573/000119312521181945/d120843dex106.htm" TargetMode="External"/><Relationship Id="rId32" Type="http://schemas.openxmlformats.org/officeDocument/2006/relationships/hyperlink" Target="http://www.sec.gov/Archives/edgar/data/1657573/000119312521181945/d120843dex107.htm" TargetMode="External"/><Relationship Id="rId33" Type="http://schemas.openxmlformats.org/officeDocument/2006/relationships/hyperlink" Target="http://www.sec.gov/Archives/edgar/data/1657573/000119312521181945/d120843dex108.htm" TargetMode="External"/><Relationship Id="rId34" Type="http://schemas.openxmlformats.org/officeDocument/2006/relationships/hyperlink" Target="http://www.sec.gov/Archives/edgar/data/0001657573/000119312521194064/d120843dex109.htm" TargetMode="External"/><Relationship Id="rId36" Type="http://schemas.openxmlformats.org/officeDocument/2006/relationships/hyperlink" Target="http://www.sec.gov/Archives/edgar/data/0001657573/000119312521200359/d120843dex1010.htm" TargetMode="External"/><Relationship Id="rId37" Type="http://schemas.openxmlformats.org/officeDocument/2006/relationships/hyperlink" Target="http://www.sec.gov/Archives/edgar/data/0001657573/000119312521200359/d120843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2021-07-02T16:11:23Z</dcterms:created>
  <dcterms:modified xsi:type="dcterms:W3CDTF">2021-07-02T16:11:23Z</dcterms:modified>
</cp:coreProperties>
</file>