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5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304165</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0"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32"/>
          <w:szCs w:val="32"/>
          <w:b w:val="1"/>
          <w:bCs w:val="1"/>
          <w:color w:val="auto"/>
        </w:rPr>
        <w:t>SCHEDULE 13G</w:t>
      </w:r>
    </w:p>
    <w:p>
      <w:pPr>
        <w:spacing w:after="0" w:line="228"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2"/>
          <w:szCs w:val="22"/>
          <w:b w:val="1"/>
          <w:bCs w:val="1"/>
          <w:color w:val="auto"/>
        </w:rPr>
        <w:t>U</w:t>
      </w:r>
      <w:r>
        <w:rPr>
          <w:rFonts w:ascii="Times New Roman" w:cs="Times New Roman" w:eastAsia="Times New Roman" w:hAnsi="Times New Roman"/>
          <w:sz w:val="17"/>
          <w:szCs w:val="17"/>
          <w:b w:val="1"/>
          <w:bCs w:val="1"/>
          <w:color w:val="auto"/>
        </w:rPr>
        <w:t>NDER THE</w:t>
      </w:r>
      <w:r>
        <w:rPr>
          <w:rFonts w:ascii="Times New Roman" w:cs="Times New Roman" w:eastAsia="Times New Roman" w:hAnsi="Times New Roman"/>
          <w:sz w:val="22"/>
          <w:szCs w:val="22"/>
          <w:b w:val="1"/>
          <w:bCs w:val="1"/>
          <w:color w:val="auto"/>
        </w:rPr>
        <w:t xml:space="preserve"> S</w:t>
      </w:r>
      <w:r>
        <w:rPr>
          <w:rFonts w:ascii="Times New Roman" w:cs="Times New Roman" w:eastAsia="Times New Roman" w:hAnsi="Times New Roman"/>
          <w:sz w:val="17"/>
          <w:szCs w:val="17"/>
          <w:b w:val="1"/>
          <w:bCs w:val="1"/>
          <w:color w:val="auto"/>
        </w:rPr>
        <w:t>ECURITIES</w:t>
      </w:r>
      <w:r>
        <w:rPr>
          <w:rFonts w:ascii="Times New Roman" w:cs="Times New Roman" w:eastAsia="Times New Roman" w:hAnsi="Times New Roman"/>
          <w:sz w:val="22"/>
          <w:szCs w:val="22"/>
          <w:b w:val="1"/>
          <w:bCs w:val="1"/>
          <w:color w:val="auto"/>
        </w:rPr>
        <w:t xml:space="preserve"> E</w:t>
      </w:r>
      <w:r>
        <w:rPr>
          <w:rFonts w:ascii="Times New Roman" w:cs="Times New Roman" w:eastAsia="Times New Roman" w:hAnsi="Times New Roman"/>
          <w:sz w:val="17"/>
          <w:szCs w:val="17"/>
          <w:b w:val="1"/>
          <w:bCs w:val="1"/>
          <w:color w:val="auto"/>
        </w:rPr>
        <w:t>XCHANGE</w:t>
      </w:r>
      <w:r>
        <w:rPr>
          <w:rFonts w:ascii="Times New Roman" w:cs="Times New Roman" w:eastAsia="Times New Roman" w:hAnsi="Times New Roman"/>
          <w:sz w:val="22"/>
          <w:szCs w:val="22"/>
          <w:b w:val="1"/>
          <w:bCs w:val="1"/>
          <w:color w:val="auto"/>
        </w:rPr>
        <w:t xml:space="preserve"> A</w:t>
      </w:r>
      <w:r>
        <w:rPr>
          <w:rFonts w:ascii="Times New Roman" w:cs="Times New Roman" w:eastAsia="Times New Roman" w:hAnsi="Times New Roman"/>
          <w:sz w:val="17"/>
          <w:szCs w:val="17"/>
          <w:b w:val="1"/>
          <w:bCs w:val="1"/>
          <w:color w:val="auto"/>
        </w:rPr>
        <w:t>CT OF</w:t>
      </w:r>
      <w:r>
        <w:rPr>
          <w:rFonts w:ascii="Times New Roman" w:cs="Times New Roman" w:eastAsia="Times New Roman" w:hAnsi="Times New Roman"/>
          <w:sz w:val="22"/>
          <w:szCs w:val="22"/>
          <w:b w:val="1"/>
          <w:bCs w:val="1"/>
          <w:color w:val="auto"/>
        </w:rPr>
        <w:t xml:space="preserve"> 1934</w:t>
      </w:r>
    </w:p>
    <w:p>
      <w:pPr>
        <w:spacing w:after="0" w:line="18"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2"/>
          <w:szCs w:val="22"/>
          <w:b w:val="1"/>
          <w:bCs w:val="1"/>
          <w:color w:val="auto"/>
        </w:rPr>
        <w:t>(Amendment No. 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295910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30"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40"/>
          <w:szCs w:val="40"/>
          <w:b w:val="1"/>
          <w:bCs w:val="1"/>
          <w:color w:val="auto"/>
        </w:rPr>
        <w:t>Xometry, Inc.</w:t>
      </w:r>
    </w:p>
    <w:p>
      <w:pPr>
        <w:spacing w:after="0" w:line="41"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(Name of Issuer)</w:t>
      </w:r>
    </w:p>
    <w:p>
      <w:pPr>
        <w:spacing w:after="0" w:line="200" w:lineRule="exact"/>
        <w:rPr>
          <w:sz w:val="24"/>
          <w:szCs w:val="24"/>
          <w:color w:val="auto"/>
        </w:rPr>
      </w:pPr>
    </w:p>
    <w:p>
      <w:pPr>
        <w:spacing w:after="0" w:line="217"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Class A Common Stock, $0.000001 par value per share</w:t>
      </w:r>
    </w:p>
    <w:p>
      <w:pPr>
        <w:spacing w:after="0" w:line="25"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(Title of Class of Securities)</w:t>
      </w:r>
    </w:p>
    <w:p>
      <w:pPr>
        <w:spacing w:after="0" w:line="200" w:lineRule="exact"/>
        <w:rPr>
          <w:sz w:val="24"/>
          <w:szCs w:val="24"/>
          <w:color w:val="auto"/>
        </w:rPr>
      </w:pPr>
    </w:p>
    <w:p>
      <w:pPr>
        <w:spacing w:after="0" w:line="204"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98423F109</w:t>
      </w:r>
    </w:p>
    <w:p>
      <w:pPr>
        <w:spacing w:after="0" w:line="25"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(CUSIP Number)</w:t>
      </w:r>
    </w:p>
    <w:p>
      <w:pPr>
        <w:spacing w:after="0" w:line="200" w:lineRule="exact"/>
        <w:rPr>
          <w:sz w:val="24"/>
          <w:szCs w:val="24"/>
          <w:color w:val="auto"/>
        </w:rPr>
      </w:pPr>
    </w:p>
    <w:p>
      <w:pPr>
        <w:spacing w:after="0" w:line="204"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December 31, 2023</w:t>
      </w:r>
    </w:p>
    <w:p>
      <w:pPr>
        <w:spacing w:after="0" w:line="25"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(Date of Event Which Requires Filing of this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296545</wp:posOffset>
            </wp:positionV>
            <wp:extent cx="14744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6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Check the appropriate box to designate the rule pursuant to which this Schedule is filed:</w:t>
      </w:r>
    </w:p>
    <w:p>
      <w:pPr>
        <w:spacing w:after="0" w:line="225" w:lineRule="exact"/>
        <w:rPr>
          <w:sz w:val="24"/>
          <w:szCs w:val="24"/>
          <w:color w:val="auto"/>
        </w:rPr>
      </w:pPr>
    </w:p>
    <w:p>
      <w:pPr>
        <w:ind w:left="640" w:hanging="204"/>
        <w:spacing w:after="0"/>
        <w:tabs>
          <w:tab w:leader="none" w:pos="6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Rule 13d-1(b)</w:t>
      </w:r>
    </w:p>
    <w:p>
      <w:pPr>
        <w:spacing w:after="0" w:line="225" w:lineRule="exact"/>
        <w:rPr>
          <w:rFonts w:ascii="MS PGothic" w:cs="MS PGothic" w:eastAsia="MS PGothic" w:hAnsi="MS PGothic"/>
          <w:sz w:val="18"/>
          <w:szCs w:val="18"/>
          <w:color w:val="auto"/>
        </w:rPr>
      </w:pPr>
    </w:p>
    <w:p>
      <w:pPr>
        <w:ind w:left="640" w:hanging="204"/>
        <w:spacing w:after="0"/>
        <w:tabs>
          <w:tab w:leader="none" w:pos="6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Rule 13d-1(c)</w:t>
      </w:r>
    </w:p>
    <w:p>
      <w:pPr>
        <w:spacing w:after="0" w:line="184" w:lineRule="exact"/>
        <w:rPr>
          <w:sz w:val="24"/>
          <w:szCs w:val="24"/>
          <w:color w:val="auto"/>
        </w:rPr>
      </w:pPr>
    </w:p>
    <w:p>
      <w:pPr>
        <w:ind w:left="440"/>
        <w:spacing w:after="0" w:line="207" w:lineRule="exact"/>
        <w:rPr>
          <w:sz w:val="24"/>
          <w:szCs w:val="24"/>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Rule 13d-1(d)</w:t>
      </w:r>
    </w:p>
    <w:p>
      <w:pPr>
        <w:spacing w:after="0" w:line="292" w:lineRule="exact"/>
        <w:rPr>
          <w:sz w:val="24"/>
          <w:szCs w:val="24"/>
          <w:color w:val="auto"/>
        </w:rPr>
      </w:pPr>
    </w:p>
    <w:p>
      <w:pPr>
        <w:ind w:left="420" w:hanging="432"/>
        <w:spacing w:after="0" w:line="282" w:lineRule="auto"/>
        <w:rPr>
          <w:sz w:val="24"/>
          <w:szCs w:val="24"/>
          <w:color w:val="auto"/>
        </w:rPr>
      </w:pPr>
      <w:r>
        <w:rPr>
          <w:rFonts w:ascii="Times New Roman" w:cs="Times New Roman" w:eastAsia="Times New Roman" w:hAnsi="Times New Roman"/>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62" w:lineRule="exact"/>
        <w:rPr>
          <w:sz w:val="24"/>
          <w:szCs w:val="24"/>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 xml:space="preserve">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w:t>
      </w:r>
      <w:r>
        <w:rPr>
          <w:rFonts w:ascii="Times New Roman" w:cs="Times New Roman" w:eastAsia="Times New Roman" w:hAnsi="Times New Roman"/>
          <w:sz w:val="18"/>
          <w:szCs w:val="18"/>
          <w:i w:val="1"/>
          <w:iCs w:val="1"/>
          <w:color w:val="auto"/>
        </w:rPr>
        <w:t>see</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i w:val="1"/>
          <w:iCs w:val="1"/>
          <w:color w:val="auto"/>
        </w:rPr>
        <w:t>Notes</w:t>
      </w:r>
      <w:r>
        <w:rPr>
          <w:rFonts w:ascii="Times New Roman" w:cs="Times New Roman" w:eastAsia="Times New Roman" w:hAnsi="Times New Roman"/>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157480</wp:posOffset>
            </wp:positionV>
            <wp:extent cx="699516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200660</wp:posOffset>
            </wp:positionV>
            <wp:extent cx="699516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0940"/>
          </w:cols>
          <w:pgMar w:left="440" w:top="511" w:right="519" w:bottom="1440" w:gutter="0" w:footer="0" w:header="0"/>
        </w:sectPr>
      </w:pPr>
    </w:p>
    <w:bookmarkStart w:id="1" w:name="page2"/>
    <w:bookmarkEnd w:id="1"/>
    <w:p>
      <w:pPr>
        <w:ind w:left="4"/>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CUSIP No. 98423F109</w:t>
      </w:r>
    </w:p>
    <w:p>
      <w:pPr>
        <w:spacing w:after="0" w:line="270" w:lineRule="exact"/>
        <w:rPr>
          <w:sz w:val="20"/>
          <w:szCs w:val="20"/>
          <w:color w:val="auto"/>
        </w:rPr>
      </w:pPr>
    </w:p>
    <w:p>
      <w:pPr>
        <w:ind w:left="244" w:hanging="87"/>
        <w:spacing w:after="0"/>
        <w:tabs>
          <w:tab w:leader="none" w:pos="244"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1.     Names of Reporting Person</w:t>
      </w:r>
    </w:p>
    <w:p>
      <w:pPr>
        <w:spacing w:after="0" w:line="263" w:lineRule="exact"/>
        <w:rPr>
          <w:rFonts w:ascii="Times New Roman" w:cs="Times New Roman" w:eastAsia="Times New Roman" w:hAnsi="Times New Roman"/>
          <w:sz w:val="17"/>
          <w:szCs w:val="17"/>
          <w:color w:val="auto"/>
        </w:rPr>
      </w:pPr>
    </w:p>
    <w:p>
      <w:pPr>
        <w:ind w:left="664" w:hanging="97"/>
        <w:spacing w:after="0"/>
        <w:tabs>
          <w:tab w:leader="none" w:pos="664"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Laurence Zuriff</w:t>
      </w:r>
    </w:p>
    <w:p>
      <w:pPr>
        <w:spacing w:after="0" w:line="36" w:lineRule="exact"/>
        <w:rPr>
          <w:rFonts w:ascii="Times New Roman" w:cs="Times New Roman" w:eastAsia="Times New Roman" w:hAnsi="Times New Roman"/>
          <w:sz w:val="18"/>
          <w:szCs w:val="18"/>
          <w:color w:val="auto"/>
        </w:rPr>
      </w:pPr>
    </w:p>
    <w:p>
      <w:pPr>
        <w:ind w:left="244" w:hanging="87"/>
        <w:spacing w:after="0"/>
        <w:tabs>
          <w:tab w:leader="none" w:pos="244"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2.    Check the Appropriate Box if a Member of a Group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-566420</wp:posOffset>
            </wp:positionV>
            <wp:extent cx="6926580" cy="52203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26580" cy="5220335"/>
                    </a:xfrm>
                    <a:prstGeom prst="rect">
                      <a:avLst/>
                    </a:prstGeom>
                    <a:noFill/>
                  </pic:spPr>
                </pic:pic>
              </a:graphicData>
            </a:graphic>
          </wp:anchor>
        </w:drawing>
      </w:r>
    </w:p>
    <w:p>
      <w:pPr>
        <w:spacing w:after="0" w:line="203" w:lineRule="exact"/>
        <w:rPr>
          <w:sz w:val="20"/>
          <w:szCs w:val="20"/>
          <w:color w:val="auto"/>
        </w:rPr>
      </w:pPr>
    </w:p>
    <w:p>
      <w:pPr>
        <w:ind w:left="564"/>
        <w:spacing w:after="0" w:line="207" w:lineRule="exact"/>
        <w:tabs>
          <w:tab w:leader="none" w:pos="1264" w:val="left"/>
          <w:tab w:leader="none" w:pos="1444" w:val="left"/>
        </w:tabs>
        <w:rPr>
          <w:sz w:val="20"/>
          <w:szCs w:val="20"/>
          <w:color w:val="auto"/>
        </w:rPr>
      </w:pPr>
      <w:r>
        <w:rPr>
          <w:rFonts w:ascii="Times New Roman" w:cs="Times New Roman" w:eastAsia="Times New Roman" w:hAnsi="Times New Roman"/>
          <w:sz w:val="18"/>
          <w:szCs w:val="18"/>
          <w:color w:val="auto"/>
        </w:rPr>
        <w:t xml:space="preserve">  (a)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w:t>
        <w:tab/>
        <w:t> </w:t>
      </w:r>
      <w:r>
        <w:rPr>
          <w:sz w:val="20"/>
          <w:szCs w:val="20"/>
          <w:color w:val="auto"/>
        </w:rPr>
        <w:tab/>
      </w:r>
      <w:r>
        <w:rPr>
          <w:rFonts w:ascii="Times New Roman" w:cs="Times New Roman" w:eastAsia="Times New Roman" w:hAnsi="Times New Roman"/>
          <w:sz w:val="17"/>
          <w:szCs w:val="17"/>
          <w:color w:val="auto"/>
        </w:rPr>
        <w:t xml:space="preserve">(b)  </w:t>
      </w:r>
      <w:r>
        <w:rPr>
          <w:rFonts w:ascii="MS PGothic" w:cs="MS PGothic" w:eastAsia="MS PGothic" w:hAnsi="MS PGothic"/>
          <w:sz w:val="17"/>
          <w:szCs w:val="17"/>
          <w:color w:val="auto"/>
        </w:rPr>
        <w:t>☐</w:t>
      </w:r>
    </w:p>
    <w:p>
      <w:pPr>
        <w:spacing w:after="0" w:line="96" w:lineRule="exact"/>
        <w:rPr>
          <w:sz w:val="20"/>
          <w:szCs w:val="20"/>
          <w:color w:val="auto"/>
        </w:rPr>
      </w:pPr>
    </w:p>
    <w:p>
      <w:pPr>
        <w:ind w:left="244" w:hanging="87"/>
        <w:spacing w:after="0"/>
        <w:tabs>
          <w:tab w:leader="none" w:pos="244"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3.    SEC USE ONLY</w:t>
      </w:r>
    </w:p>
    <w:p>
      <w:pPr>
        <w:spacing w:after="0" w:line="271" w:lineRule="exact"/>
        <w:rPr>
          <w:rFonts w:ascii="Times New Roman" w:cs="Times New Roman" w:eastAsia="Times New Roman" w:hAnsi="Times New Roman"/>
          <w:sz w:val="17"/>
          <w:szCs w:val="17"/>
          <w:color w:val="auto"/>
        </w:rPr>
      </w:pPr>
    </w:p>
    <w:p>
      <w:pPr>
        <w:ind w:left="244" w:hanging="87"/>
        <w:spacing w:after="0"/>
        <w:tabs>
          <w:tab w:leader="none" w:pos="244"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4.    Citizenship or Place of Organization</w:t>
      </w:r>
    </w:p>
    <w:p>
      <w:pPr>
        <w:spacing w:after="0" w:line="264" w:lineRule="exact"/>
        <w:rPr>
          <w:sz w:val="20"/>
          <w:szCs w:val="20"/>
          <w:color w:val="auto"/>
        </w:rPr>
      </w:pPr>
    </w:p>
    <w:p>
      <w:pPr>
        <w:ind w:left="564"/>
        <w:spacing w:after="0"/>
        <w:rPr>
          <w:sz w:val="20"/>
          <w:szCs w:val="20"/>
          <w:color w:val="auto"/>
        </w:rPr>
      </w:pPr>
      <w:r>
        <w:rPr>
          <w:rFonts w:ascii="Times New Roman" w:cs="Times New Roman" w:eastAsia="Times New Roman" w:hAnsi="Times New Roman"/>
          <w:sz w:val="18"/>
          <w:szCs w:val="18"/>
          <w:color w:val="auto"/>
        </w:rPr>
        <w:t>  United States</w:t>
      </w:r>
    </w:p>
    <w:p>
      <w:pPr>
        <w:spacing w:after="0" w:line="36" w:lineRule="exact"/>
        <w:rPr>
          <w:sz w:val="20"/>
          <w:szCs w:val="20"/>
          <w:color w:val="auto"/>
        </w:rPr>
      </w:pPr>
    </w:p>
    <w:p>
      <w:pPr>
        <w:ind w:left="1164"/>
        <w:spacing w:after="0"/>
        <w:tabs>
          <w:tab w:leader="none" w:pos="1464" w:val="left"/>
        </w:tabs>
        <w:rPr>
          <w:sz w:val="20"/>
          <w:szCs w:val="20"/>
          <w:color w:val="auto"/>
        </w:rPr>
      </w:pPr>
      <w:r>
        <w:rPr>
          <w:rFonts w:ascii="Times New Roman" w:cs="Times New Roman" w:eastAsia="Times New Roman" w:hAnsi="Times New Roman"/>
          <w:sz w:val="18"/>
          <w:szCs w:val="18"/>
          <w:color w:val="auto"/>
        </w:rPr>
        <w:t>5. </w:t>
      </w:r>
      <w:r>
        <w:rPr>
          <w:sz w:val="20"/>
          <w:szCs w:val="20"/>
          <w:color w:val="auto"/>
        </w:rPr>
        <w:tab/>
      </w:r>
      <w:r>
        <w:rPr>
          <w:rFonts w:ascii="Times New Roman" w:cs="Times New Roman" w:eastAsia="Times New Roman" w:hAnsi="Times New Roman"/>
          <w:sz w:val="17"/>
          <w:szCs w:val="17"/>
          <w:color w:val="auto"/>
        </w:rPr>
        <w:t>  Sole Voting Power</w:t>
      </w:r>
    </w:p>
    <w:p>
      <w:pPr>
        <w:spacing w:after="0" w:line="201" w:lineRule="exact"/>
        <w:rPr>
          <w:sz w:val="20"/>
          <w:szCs w:val="20"/>
          <w:color w:val="auto"/>
        </w:rPr>
      </w:pPr>
    </w:p>
    <w:tbl>
      <w:tblPr>
        <w:tblLayout w:type="fixed"/>
        <w:tblInd w:w="164" w:type="dxa"/>
        <w:tblCellMar>
          <w:top w:w="0" w:type="dxa"/>
          <w:left w:w="0" w:type="dxa"/>
          <w:bottom w:w="0" w:type="dxa"/>
          <w:right w:w="0" w:type="dxa"/>
        </w:tblCellMar>
      </w:tblPr>
      <w:tr>
        <w:trPr>
          <w:trHeight w:val="312"/>
        </w:trPr>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Number of</w:t>
            </w:r>
          </w:p>
        </w:tc>
        <w:tc>
          <w:tcPr>
            <w:tcW w:w="340" w:type="dxa"/>
            <w:vAlign w:val="bottom"/>
            <w:tcBorders>
              <w:bottom w:val="single" w:sz="8" w:color="auto"/>
            </w:tcBorders>
          </w:tcPr>
          <w:p>
            <w:pPr>
              <w:spacing w:after="0"/>
              <w:rPr>
                <w:sz w:val="24"/>
                <w:szCs w:val="24"/>
                <w:color w:val="auto"/>
              </w:rPr>
            </w:pPr>
          </w:p>
        </w:tc>
        <w:tc>
          <w:tcPr>
            <w:tcW w:w="952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  2,153,381 shares</w:t>
            </w:r>
            <w:r>
              <w:rPr>
                <w:rFonts w:ascii="Times New Roman" w:cs="Times New Roman" w:eastAsia="Times New Roman" w:hAnsi="Times New Roman"/>
                <w:sz w:val="26"/>
                <w:szCs w:val="26"/>
                <w:color w:val="auto"/>
                <w:vertAlign w:val="superscript"/>
              </w:rPr>
              <w:t>(1)</w:t>
            </w:r>
          </w:p>
        </w:tc>
        <w:tc>
          <w:tcPr>
            <w:tcW w:w="0" w:type="dxa"/>
            <w:vAlign w:val="bottom"/>
          </w:tcPr>
          <w:p>
            <w:pPr>
              <w:spacing w:after="0"/>
              <w:rPr>
                <w:sz w:val="1"/>
                <w:szCs w:val="1"/>
                <w:color w:val="auto"/>
              </w:rPr>
            </w:pPr>
          </w:p>
        </w:tc>
      </w:tr>
      <w:tr>
        <w:trPr>
          <w:trHeight w:val="218"/>
        </w:trPr>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Shares  </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95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  Shared Voting Power</w:t>
            </w:r>
          </w:p>
        </w:tc>
        <w:tc>
          <w:tcPr>
            <w:tcW w:w="0" w:type="dxa"/>
            <w:vAlign w:val="bottom"/>
          </w:tcPr>
          <w:p>
            <w:pPr>
              <w:spacing w:after="0"/>
              <w:rPr>
                <w:sz w:val="1"/>
                <w:szCs w:val="1"/>
                <w:color w:val="auto"/>
              </w:rPr>
            </w:pPr>
          </w:p>
        </w:tc>
      </w:tr>
      <w:tr>
        <w:trPr>
          <w:trHeight w:val="216"/>
        </w:trPr>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Beneficially</w:t>
            </w:r>
          </w:p>
        </w:tc>
        <w:tc>
          <w:tcPr>
            <w:tcW w:w="340" w:type="dxa"/>
            <w:vAlign w:val="bottom"/>
          </w:tcPr>
          <w:p>
            <w:pPr>
              <w:spacing w:after="0"/>
              <w:rPr>
                <w:sz w:val="18"/>
                <w:szCs w:val="18"/>
                <w:color w:val="auto"/>
              </w:rPr>
            </w:pPr>
          </w:p>
        </w:tc>
        <w:tc>
          <w:tcPr>
            <w:tcW w:w="9520" w:type="dxa"/>
            <w:vAlign w:val="bottom"/>
            <w:vMerge w:val="restart"/>
          </w:tcPr>
          <w:p>
            <w:pPr>
              <w:ind w:left="100"/>
              <w:spacing w:after="0"/>
              <w:rPr>
                <w:sz w:val="20"/>
                <w:szCs w:val="20"/>
                <w:color w:val="auto"/>
              </w:rPr>
            </w:pPr>
            <w:r>
              <w:rPr>
                <w:rFonts w:ascii="Times New Roman" w:cs="Times New Roman" w:eastAsia="Times New Roman" w:hAnsi="Times New Roman"/>
                <w:sz w:val="18"/>
                <w:szCs w:val="18"/>
                <w:color w:val="auto"/>
              </w:rPr>
              <w:t>  1,028,918 shares</w:t>
            </w:r>
            <w:r>
              <w:rPr>
                <w:rFonts w:ascii="Times New Roman" w:cs="Times New Roman" w:eastAsia="Times New Roman" w:hAnsi="Times New Roman"/>
                <w:sz w:val="26"/>
                <w:szCs w:val="26"/>
                <w:color w:val="auto"/>
                <w:vertAlign w:val="superscript"/>
              </w:rPr>
              <w:t>(2)</w:t>
            </w:r>
          </w:p>
        </w:tc>
        <w:tc>
          <w:tcPr>
            <w:tcW w:w="0" w:type="dxa"/>
            <w:vAlign w:val="bottom"/>
          </w:tcPr>
          <w:p>
            <w:pPr>
              <w:spacing w:after="0"/>
              <w:rPr>
                <w:sz w:val="1"/>
                <w:szCs w:val="1"/>
                <w:color w:val="auto"/>
              </w:rPr>
            </w:pPr>
          </w:p>
        </w:tc>
      </w:tr>
      <w:tr>
        <w:trPr>
          <w:trHeight w:val="234"/>
        </w:trPr>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Owned by</w:t>
            </w:r>
          </w:p>
        </w:tc>
        <w:tc>
          <w:tcPr>
            <w:tcW w:w="340" w:type="dxa"/>
            <w:vAlign w:val="bottom"/>
            <w:tcBorders>
              <w:bottom w:val="single" w:sz="8" w:color="auto"/>
            </w:tcBorders>
          </w:tcPr>
          <w:p>
            <w:pPr>
              <w:spacing w:after="0"/>
              <w:rPr>
                <w:sz w:val="20"/>
                <w:szCs w:val="20"/>
                <w:color w:val="auto"/>
              </w:rPr>
            </w:pPr>
          </w:p>
        </w:tc>
        <w:tc>
          <w:tcPr>
            <w:tcW w:w="952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78"/>
        </w:trPr>
        <w:tc>
          <w:tcPr>
            <w:tcW w:w="880" w:type="dxa"/>
            <w:vAlign w:val="bottom"/>
          </w:tcPr>
          <w:p>
            <w:pPr>
              <w:jc w:val="center"/>
              <w:spacing w:after="0" w:line="177" w:lineRule="exact"/>
              <w:rPr>
                <w:sz w:val="20"/>
                <w:szCs w:val="20"/>
                <w:color w:val="auto"/>
              </w:rPr>
            </w:pPr>
            <w:r>
              <w:rPr>
                <w:rFonts w:ascii="Times New Roman" w:cs="Times New Roman" w:eastAsia="Times New Roman" w:hAnsi="Times New Roman"/>
                <w:sz w:val="18"/>
                <w:szCs w:val="18"/>
                <w:color w:val="auto"/>
                <w:w w:val="99"/>
              </w:rPr>
              <w:t>Each</w:t>
            </w:r>
          </w:p>
        </w:tc>
        <w:tc>
          <w:tcPr>
            <w:tcW w:w="340" w:type="dxa"/>
            <w:vAlign w:val="bottom"/>
          </w:tcPr>
          <w:p>
            <w:pPr>
              <w:jc w:val="right"/>
              <w:spacing w:after="0" w:line="177" w:lineRule="exact"/>
              <w:rPr>
                <w:sz w:val="20"/>
                <w:szCs w:val="20"/>
                <w:color w:val="auto"/>
              </w:rPr>
            </w:pPr>
            <w:r>
              <w:rPr>
                <w:rFonts w:ascii="Times New Roman" w:cs="Times New Roman" w:eastAsia="Times New Roman" w:hAnsi="Times New Roman"/>
                <w:sz w:val="18"/>
                <w:szCs w:val="18"/>
                <w:color w:val="auto"/>
              </w:rPr>
              <w:t>7.</w:t>
            </w:r>
          </w:p>
        </w:tc>
        <w:tc>
          <w:tcPr>
            <w:tcW w:w="9520" w:type="dxa"/>
            <w:vAlign w:val="bottom"/>
          </w:tcPr>
          <w:p>
            <w:pPr>
              <w:ind w:left="100"/>
              <w:spacing w:after="0" w:line="177" w:lineRule="exact"/>
              <w:rPr>
                <w:sz w:val="20"/>
                <w:szCs w:val="20"/>
                <w:color w:val="auto"/>
              </w:rPr>
            </w:pPr>
            <w:r>
              <w:rPr>
                <w:rFonts w:ascii="Times New Roman" w:cs="Times New Roman" w:eastAsia="Times New Roman" w:hAnsi="Times New Roman"/>
                <w:sz w:val="18"/>
                <w:szCs w:val="18"/>
                <w:color w:val="auto"/>
              </w:rPr>
              <w:t>  Sole Dispositive Power</w:t>
            </w:r>
          </w:p>
        </w:tc>
        <w:tc>
          <w:tcPr>
            <w:tcW w:w="0" w:type="dxa"/>
            <w:vAlign w:val="bottom"/>
          </w:tcPr>
          <w:p>
            <w:pPr>
              <w:spacing w:after="0"/>
              <w:rPr>
                <w:sz w:val="1"/>
                <w:szCs w:val="1"/>
                <w:color w:val="auto"/>
              </w:rPr>
            </w:pPr>
          </w:p>
        </w:tc>
      </w:tr>
      <w:tr>
        <w:trPr>
          <w:trHeight w:val="216"/>
        </w:trPr>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Reporting</w:t>
            </w:r>
          </w:p>
        </w:tc>
        <w:tc>
          <w:tcPr>
            <w:tcW w:w="340" w:type="dxa"/>
            <w:vAlign w:val="bottom"/>
          </w:tcPr>
          <w:p>
            <w:pPr>
              <w:spacing w:after="0"/>
              <w:rPr>
                <w:sz w:val="18"/>
                <w:szCs w:val="18"/>
                <w:color w:val="auto"/>
              </w:rPr>
            </w:pPr>
          </w:p>
        </w:tc>
        <w:tc>
          <w:tcPr>
            <w:tcW w:w="9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Person</w:t>
            </w:r>
          </w:p>
        </w:tc>
        <w:tc>
          <w:tcPr>
            <w:tcW w:w="340" w:type="dxa"/>
            <w:vAlign w:val="bottom"/>
          </w:tcPr>
          <w:p>
            <w:pPr>
              <w:spacing w:after="0"/>
              <w:rPr>
                <w:sz w:val="19"/>
                <w:szCs w:val="19"/>
                <w:color w:val="auto"/>
              </w:rPr>
            </w:pPr>
          </w:p>
        </w:tc>
        <w:tc>
          <w:tcPr>
            <w:tcW w:w="9520" w:type="dxa"/>
            <w:vAlign w:val="bottom"/>
          </w:tcPr>
          <w:p>
            <w:pPr>
              <w:ind w:left="100"/>
              <w:spacing w:after="0" w:line="221" w:lineRule="exact"/>
              <w:rPr>
                <w:sz w:val="20"/>
                <w:szCs w:val="20"/>
                <w:color w:val="auto"/>
              </w:rPr>
            </w:pPr>
            <w:r>
              <w:rPr>
                <w:rFonts w:ascii="Times New Roman" w:cs="Times New Roman" w:eastAsia="Times New Roman" w:hAnsi="Times New Roman"/>
                <w:sz w:val="17"/>
                <w:szCs w:val="17"/>
                <w:color w:val="auto"/>
              </w:rPr>
              <w:t>  2,153,381 shares</w:t>
            </w:r>
            <w:r>
              <w:rPr>
                <w:rFonts w:ascii="Times New Roman" w:cs="Times New Roman" w:eastAsia="Times New Roman" w:hAnsi="Times New Roman"/>
                <w:sz w:val="25"/>
                <w:szCs w:val="25"/>
                <w:color w:val="auto"/>
                <w:vertAlign w:val="superscript"/>
              </w:rPr>
              <w:t>(1)</w:t>
            </w:r>
          </w:p>
        </w:tc>
        <w:tc>
          <w:tcPr>
            <w:tcW w:w="0" w:type="dxa"/>
            <w:vAlign w:val="bottom"/>
          </w:tcPr>
          <w:p>
            <w:pPr>
              <w:spacing w:after="0"/>
              <w:rPr>
                <w:sz w:val="1"/>
                <w:szCs w:val="1"/>
                <w:color w:val="auto"/>
              </w:rPr>
            </w:pPr>
          </w:p>
        </w:tc>
      </w:tr>
      <w:tr>
        <w:trPr>
          <w:trHeight w:val="67"/>
        </w:trPr>
        <w:tc>
          <w:tcPr>
            <w:tcW w:w="8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7"/>
              </w:rPr>
              <w:t>With:</w:t>
            </w:r>
          </w:p>
        </w:tc>
        <w:tc>
          <w:tcPr>
            <w:tcW w:w="340" w:type="dxa"/>
            <w:vAlign w:val="bottom"/>
            <w:tcBorders>
              <w:bottom w:val="single" w:sz="8" w:color="auto"/>
            </w:tcBorders>
          </w:tcPr>
          <w:p>
            <w:pPr>
              <w:spacing w:after="0"/>
              <w:rPr>
                <w:sz w:val="5"/>
                <w:szCs w:val="5"/>
                <w:color w:val="auto"/>
              </w:rPr>
            </w:pPr>
          </w:p>
        </w:tc>
        <w:tc>
          <w:tcPr>
            <w:tcW w:w="95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7"/>
        </w:trPr>
        <w:tc>
          <w:tcPr>
            <w:tcW w:w="880" w:type="dxa"/>
            <w:vAlign w:val="bottom"/>
            <w:vMerge w:val="continue"/>
          </w:tcPr>
          <w:p>
            <w:pPr>
              <w:spacing w:after="0"/>
              <w:rPr>
                <w:sz w:val="12"/>
                <w:szCs w:val="12"/>
                <w:color w:val="auto"/>
              </w:rPr>
            </w:pPr>
          </w:p>
        </w:tc>
        <w:tc>
          <w:tcPr>
            <w:tcW w:w="3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9520" w:type="dxa"/>
            <w:vAlign w:val="bottom"/>
            <w:vMerge w:val="restart"/>
          </w:tcPr>
          <w:p>
            <w:pPr>
              <w:ind w:left="100"/>
              <w:spacing w:after="0"/>
              <w:rPr>
                <w:sz w:val="20"/>
                <w:szCs w:val="20"/>
                <w:color w:val="auto"/>
              </w:rPr>
            </w:pPr>
            <w:r>
              <w:rPr>
                <w:rFonts w:ascii="Times New Roman" w:cs="Times New Roman" w:eastAsia="Times New Roman" w:hAnsi="Times New Roman"/>
                <w:sz w:val="18"/>
                <w:szCs w:val="18"/>
                <w:color w:val="auto"/>
              </w:rPr>
              <w:t>  Shared Dispositive Power</w:t>
            </w:r>
          </w:p>
        </w:tc>
        <w:tc>
          <w:tcPr>
            <w:tcW w:w="0" w:type="dxa"/>
            <w:vAlign w:val="bottom"/>
          </w:tcPr>
          <w:p>
            <w:pPr>
              <w:spacing w:after="0"/>
              <w:rPr>
                <w:sz w:val="1"/>
                <w:szCs w:val="1"/>
                <w:color w:val="auto"/>
              </w:rPr>
            </w:pPr>
          </w:p>
        </w:tc>
      </w:tr>
      <w:tr>
        <w:trPr>
          <w:trHeight w:val="81"/>
        </w:trPr>
        <w:tc>
          <w:tcPr>
            <w:tcW w:w="880" w:type="dxa"/>
            <w:vAlign w:val="bottom"/>
          </w:tcPr>
          <w:p>
            <w:pPr>
              <w:spacing w:after="0"/>
              <w:rPr>
                <w:sz w:val="7"/>
                <w:szCs w:val="7"/>
                <w:color w:val="auto"/>
              </w:rPr>
            </w:pPr>
          </w:p>
        </w:tc>
        <w:tc>
          <w:tcPr>
            <w:tcW w:w="340" w:type="dxa"/>
            <w:vAlign w:val="bottom"/>
            <w:vMerge w:val="continue"/>
          </w:tcPr>
          <w:p>
            <w:pPr>
              <w:spacing w:after="0"/>
              <w:rPr>
                <w:sz w:val="7"/>
                <w:szCs w:val="7"/>
                <w:color w:val="auto"/>
              </w:rPr>
            </w:pPr>
          </w:p>
        </w:tc>
        <w:tc>
          <w:tcPr>
            <w:tcW w:w="95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170" w:lineRule="exact"/>
        <w:rPr>
          <w:sz w:val="20"/>
          <w:szCs w:val="20"/>
          <w:color w:val="auto"/>
        </w:rPr>
      </w:pPr>
    </w:p>
    <w:p>
      <w:pPr>
        <w:ind w:left="1584" w:hanging="99"/>
        <w:spacing w:after="0"/>
        <w:tabs>
          <w:tab w:leader="none" w:pos="1584" w:val="left"/>
        </w:tabs>
        <w:numPr>
          <w:ilvl w:val="2"/>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165,024 shares</w:t>
      </w:r>
      <w:r>
        <w:rPr>
          <w:rFonts w:ascii="Times New Roman" w:cs="Times New Roman" w:eastAsia="Times New Roman" w:hAnsi="Times New Roman"/>
          <w:sz w:val="26"/>
          <w:szCs w:val="26"/>
          <w:color w:val="auto"/>
          <w:vertAlign w:val="superscript"/>
        </w:rPr>
        <w:t>(3)</w:t>
      </w:r>
    </w:p>
    <w:p>
      <w:pPr>
        <w:ind w:left="244" w:hanging="87"/>
        <w:spacing w:after="0"/>
        <w:tabs>
          <w:tab w:leader="none" w:pos="244"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9.     Aggregate Amount Beneficially Owned by Each Reporting Person</w:t>
      </w:r>
    </w:p>
    <w:p>
      <w:pPr>
        <w:spacing w:after="0" w:line="207" w:lineRule="exact"/>
        <w:rPr>
          <w:rFonts w:ascii="Times New Roman" w:cs="Times New Roman" w:eastAsia="Times New Roman" w:hAnsi="Times New Roman"/>
          <w:sz w:val="17"/>
          <w:szCs w:val="17"/>
          <w:color w:val="auto"/>
        </w:rPr>
      </w:pPr>
    </w:p>
    <w:p>
      <w:pPr>
        <w:ind w:left="664" w:hanging="97"/>
        <w:spacing w:after="0"/>
        <w:tabs>
          <w:tab w:leader="none" w:pos="664"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3,182,299 shares</w:t>
      </w:r>
      <w:r>
        <w:rPr>
          <w:rFonts w:ascii="Times New Roman" w:cs="Times New Roman" w:eastAsia="Times New Roman" w:hAnsi="Times New Roman"/>
          <w:sz w:val="26"/>
          <w:szCs w:val="26"/>
          <w:color w:val="auto"/>
          <w:vertAlign w:val="superscript"/>
        </w:rPr>
        <w:t>(4)</w:t>
      </w:r>
    </w:p>
    <w:p>
      <w:pPr>
        <w:ind w:left="564" w:hanging="407"/>
        <w:spacing w:after="0"/>
        <w:tabs>
          <w:tab w:leader="none" w:pos="564"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Check if the Aggregate Amount in Row (9) Excludes Certain Shares (see instructions)</w:t>
      </w:r>
    </w:p>
    <w:p>
      <w:pPr>
        <w:spacing w:after="0" w:line="191" w:lineRule="exact"/>
        <w:rPr>
          <w:rFonts w:ascii="Times New Roman" w:cs="Times New Roman" w:eastAsia="Times New Roman" w:hAnsi="Times New Roman"/>
          <w:sz w:val="18"/>
          <w:szCs w:val="18"/>
          <w:color w:val="auto"/>
        </w:rPr>
      </w:pPr>
    </w:p>
    <w:p>
      <w:pPr>
        <w:ind w:left="664" w:hanging="97"/>
        <w:spacing w:after="0" w:line="207" w:lineRule="exact"/>
        <w:tabs>
          <w:tab w:leader="none" w:pos="664" w:val="left"/>
        </w:tabs>
        <w:numPr>
          <w:ilvl w:val="2"/>
          <w:numId w:val="6"/>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96" w:lineRule="exact"/>
        <w:rPr>
          <w:rFonts w:ascii="Times New Roman" w:cs="Times New Roman" w:eastAsia="Times New Roman" w:hAnsi="Times New Roman"/>
          <w:sz w:val="18"/>
          <w:szCs w:val="18"/>
          <w:color w:val="auto"/>
        </w:rPr>
      </w:pPr>
    </w:p>
    <w:p>
      <w:pPr>
        <w:ind w:left="564" w:hanging="407"/>
        <w:spacing w:after="0"/>
        <w:tabs>
          <w:tab w:leader="none" w:pos="564"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Percent of Class Represented by Amount in Row 9</w:t>
      </w:r>
    </w:p>
    <w:p>
      <w:pPr>
        <w:spacing w:after="0" w:line="196" w:lineRule="exact"/>
        <w:rPr>
          <w:rFonts w:ascii="Times New Roman" w:cs="Times New Roman" w:eastAsia="Times New Roman" w:hAnsi="Times New Roman"/>
          <w:sz w:val="18"/>
          <w:szCs w:val="18"/>
          <w:color w:val="auto"/>
        </w:rPr>
      </w:pPr>
    </w:p>
    <w:p>
      <w:pPr>
        <w:ind w:left="664" w:hanging="97"/>
        <w:spacing w:after="0"/>
        <w:tabs>
          <w:tab w:leader="none" w:pos="664" w:val="left"/>
        </w:tabs>
        <w:numPr>
          <w:ilvl w:val="2"/>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7.0%</w:t>
      </w:r>
      <w:r>
        <w:rPr>
          <w:rFonts w:ascii="Times New Roman" w:cs="Times New Roman" w:eastAsia="Times New Roman" w:hAnsi="Times New Roman"/>
          <w:sz w:val="26"/>
          <w:szCs w:val="26"/>
          <w:color w:val="auto"/>
          <w:vertAlign w:val="superscript"/>
        </w:rPr>
        <w:t>(5)</w:t>
      </w:r>
    </w:p>
    <w:p>
      <w:pPr>
        <w:ind w:left="564" w:hanging="407"/>
        <w:spacing w:after="0"/>
        <w:tabs>
          <w:tab w:leader="none" w:pos="564"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Type of Reporting Person (see instructions)</w:t>
      </w:r>
    </w:p>
    <w:p>
      <w:pPr>
        <w:spacing w:after="0" w:line="232" w:lineRule="exact"/>
        <w:rPr>
          <w:rFonts w:ascii="Times New Roman" w:cs="Times New Roman" w:eastAsia="Times New Roman" w:hAnsi="Times New Roman"/>
          <w:sz w:val="18"/>
          <w:szCs w:val="18"/>
          <w:color w:val="auto"/>
        </w:rPr>
      </w:pPr>
    </w:p>
    <w:p>
      <w:pPr>
        <w:ind w:left="664" w:hanging="97"/>
        <w:spacing w:after="0"/>
        <w:tabs>
          <w:tab w:leader="none" w:pos="664" w:val="left"/>
        </w:tabs>
        <w:numPr>
          <w:ilvl w:val="2"/>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w:t>
      </w:r>
    </w:p>
    <w:p>
      <w:pPr>
        <w:spacing w:after="0" w:line="279" w:lineRule="exact"/>
        <w:rPr>
          <w:rFonts w:ascii="Times New Roman" w:cs="Times New Roman" w:eastAsia="Times New Roman" w:hAnsi="Times New Roman"/>
          <w:sz w:val="18"/>
          <w:szCs w:val="18"/>
          <w:color w:val="auto"/>
        </w:rPr>
      </w:pPr>
    </w:p>
    <w:p>
      <w:pPr>
        <w:ind w:left="424" w:right="40" w:hanging="424"/>
        <w:spacing w:after="0" w:line="258" w:lineRule="auto"/>
        <w:tabs>
          <w:tab w:leader="none" w:pos="424"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 815,093 shares of Class A Common Stock held by Mr. Zuriff; (ii) 1,200,843 shares of Class B Common Stock held by Mr. Zuriff, which shares are convertible at any time into Class A Common Stock on a one-to-one basis; (iii) 136,589 shares of Class A Common Stock underlying outstanding options held by Mr. Zuriff that are exercisable within 60 days of December 31, 2023; and (iv) 856 shares of Class A Common Stock underlying outstanding restricted stock units (“RSUs”) held by Mr. Zuriff that are issuable upon the vesting of such RSUs within 60 days of December 31, 2023.</w:t>
      </w:r>
    </w:p>
    <w:p>
      <w:pPr>
        <w:sectPr>
          <w:pgSz w:w="11900" w:h="16838" w:orient="portrait"/>
          <w:cols w:equalWidth="0" w:num="1">
            <w:col w:w="10904"/>
          </w:cols>
          <w:pgMar w:left="436" w:top="266" w:right="559" w:bottom="1440" w:gutter="0" w:footer="0" w:header="0"/>
        </w:sectPr>
      </w:pPr>
    </w:p>
    <w:bookmarkStart w:id="2" w:name="page3"/>
    <w:bookmarkEnd w:id="2"/>
    <w:p>
      <w:pPr>
        <w:jc w:val="both"/>
        <w:ind w:left="424" w:right="60" w:hanging="424"/>
        <w:spacing w:after="0" w:line="257" w:lineRule="auto"/>
        <w:tabs>
          <w:tab w:leader="none" w:pos="424"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Consists of (i) 288,091 shares of Class A Common Stock held by the Jason Eric Zuriff Trust; (ii) 288,091 shares of Class A Common Stock held by the Sophie Anna Zuriff Trust; (iii) 287,712 shares of Class A Common Stock held by the Zuriff Family 2020 Trust; and (iv) 165,024 shares of Class A Common Stock held by ZFI Capital, LP.</w:t>
      </w:r>
    </w:p>
    <w:p>
      <w:pPr>
        <w:spacing w:after="0" w:line="1" w:lineRule="exact"/>
        <w:rPr>
          <w:rFonts w:ascii="Times New Roman" w:cs="Times New Roman" w:eastAsia="Times New Roman" w:hAnsi="Times New Roman"/>
          <w:sz w:val="18"/>
          <w:szCs w:val="18"/>
          <w:color w:val="auto"/>
        </w:rPr>
      </w:pPr>
    </w:p>
    <w:p>
      <w:pPr>
        <w:ind w:left="424" w:right="400" w:hanging="424"/>
        <w:spacing w:after="0" w:line="250" w:lineRule="auto"/>
        <w:tabs>
          <w:tab w:leader="none" w:pos="424"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165,024 shares of Class A Common Stock held by ZFI Capital, LP, over which Mr. Zuriff may be deemed to exercise voting and dispositive control.</w:t>
      </w:r>
    </w:p>
    <w:p>
      <w:pPr>
        <w:ind w:left="424" w:hanging="424"/>
        <w:spacing w:after="0" w:line="250" w:lineRule="auto"/>
        <w:tabs>
          <w:tab w:leader="none" w:pos="424"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 815,093 shares of Class A Common Stock held by Mr. Zuriff; (ii) 288,091 shares of Class A Common Stock held by the Jason Eric Zuriff Trust; (iii) 288,091 shares of Class A Common Stock held by the Sophie Anna Zuriff Trust; (iv) 287,712 shares of Class A common stock held by the Zuriff Family 2020 Trust; (v) 165,024 shares of Class A Common Stock held by ZFI Capital, LP; (vi) 1,200,843 shares of Class B Common Stock of the Issuer held by Mr. Zuriff, which shares are convertible at any time into Class A Common Stock on a one-to-one basis; (vii) 136,589 shares of Class A Common Stock underlying outstanding options held by Mr. Zuriff that are exercisable within 60 days of December 31, 2023; and (iv) 856 shares of Class A Common Stock underlying outstanding RSUs held by Mr. Zuriff that are issuable upon the vesting of such RSUs within 60 days of December 31, 2023.</w:t>
      </w:r>
    </w:p>
    <w:p>
      <w:pPr>
        <w:spacing w:after="0" w:line="2" w:lineRule="exact"/>
        <w:rPr>
          <w:rFonts w:ascii="Times New Roman" w:cs="Times New Roman" w:eastAsia="Times New Roman" w:hAnsi="Times New Roman"/>
          <w:sz w:val="18"/>
          <w:szCs w:val="18"/>
          <w:color w:val="auto"/>
        </w:rPr>
      </w:pPr>
    </w:p>
    <w:p>
      <w:pPr>
        <w:ind w:left="424" w:right="380" w:hanging="424"/>
        <w:spacing w:after="0" w:line="255" w:lineRule="auto"/>
        <w:tabs>
          <w:tab w:leader="none" w:pos="424"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percentage is calculated based on 45,394,804 shares of Class A Common Stock outstanding as of November 1, 2023, as reported by the Issuer in its Form 10-Q for the quarter ended September 30, 2023, filed with the United States Securities and Exchange Commission on November 9, 2023 (the “Form 10-Q”).</w:t>
      </w:r>
    </w:p>
    <w:p>
      <w:pPr>
        <w:sectPr>
          <w:pgSz w:w="11900" w:h="16838" w:orient="portrait"/>
          <w:cols w:equalWidth="0" w:num="1">
            <w:col w:w="10924"/>
          </w:cols>
          <w:pgMar w:left="436" w:top="270" w:right="5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7"/>
          <w:szCs w:val="17"/>
          <w:b w:val="1"/>
          <w:bCs w:val="1"/>
          <w:color w:val="auto"/>
        </w:rPr>
        <w:t>Item 1(a).</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Name of Issuer: Xometry,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-206375</wp:posOffset>
            </wp:positionV>
            <wp:extent cx="71748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740" w:space="260"/>
            <w:col w:w="9700"/>
          </w:cols>
          <w:pgMar w:left="440" w:top="266" w:right="759" w:bottom="1440" w:gutter="0" w:footer="0" w:header="0"/>
        </w:sectPr>
      </w:pPr>
    </w:p>
    <w:p>
      <w:pPr>
        <w:spacing w:after="0" w:line="3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1(b).</w:t>
      </w:r>
    </w:p>
    <w:p>
      <w:pPr>
        <w:spacing w:after="0" w:line="20" w:lineRule="exact"/>
        <w:rPr>
          <w:sz w:val="20"/>
          <w:szCs w:val="20"/>
          <w:color w:val="auto"/>
        </w:rPr>
      </w:pPr>
      <w:r>
        <w:rPr>
          <w:sz w:val="20"/>
          <w:szCs w:val="20"/>
          <w:color w:val="auto"/>
        </w:rPr>
        <w:br w:type="column"/>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Address of Issuer’s Principal Executive Offices: 6116 Executive Blvd., Suite 800, North Bethesda, MD 20852</w:t>
      </w:r>
    </w:p>
    <w:p>
      <w:pPr>
        <w:spacing w:after="0" w:line="200" w:lineRule="exact"/>
        <w:rPr>
          <w:sz w:val="20"/>
          <w:szCs w:val="20"/>
          <w:color w:val="auto"/>
        </w:rPr>
      </w:pPr>
    </w:p>
    <w:p>
      <w:pPr>
        <w:sectPr>
          <w:pgSz w:w="11900" w:h="16838" w:orient="portrait"/>
          <w:cols w:equalWidth="0" w:num="2">
            <w:col w:w="740" w:space="260"/>
            <w:col w:w="9700"/>
          </w:cols>
          <w:pgMar w:left="440" w:top="266" w:right="759" w:bottom="1440" w:gutter="0" w:footer="0" w:header="0"/>
          <w:type w:val="continuous"/>
        </w:sectPr>
      </w:pPr>
    </w:p>
    <w:p>
      <w:pPr>
        <w:spacing w:after="0" w:line="3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2(a).</w:t>
      </w:r>
    </w:p>
    <w:p>
      <w:pPr>
        <w:spacing w:after="0" w:line="20" w:lineRule="exact"/>
        <w:rPr>
          <w:sz w:val="20"/>
          <w:szCs w:val="20"/>
          <w:color w:val="auto"/>
        </w:rPr>
      </w:pPr>
      <w:r>
        <w:rPr>
          <w:sz w:val="20"/>
          <w:szCs w:val="20"/>
          <w:color w:val="auto"/>
        </w:rPr>
        <w:br w:type="column"/>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Name of Person Filing:</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Laurence Zuriff</w:t>
      </w:r>
    </w:p>
    <w:p>
      <w:pPr>
        <w:spacing w:after="0" w:line="200" w:lineRule="exact"/>
        <w:rPr>
          <w:sz w:val="20"/>
          <w:szCs w:val="20"/>
          <w:color w:val="auto"/>
        </w:rPr>
      </w:pPr>
    </w:p>
    <w:p>
      <w:pPr>
        <w:sectPr>
          <w:pgSz w:w="11900" w:h="16838" w:orient="portrait"/>
          <w:cols w:equalWidth="0" w:num="2">
            <w:col w:w="740" w:space="260"/>
            <w:col w:w="9700"/>
          </w:cols>
          <w:pgMar w:left="440" w:top="266" w:right="759" w:bottom="1440" w:gutter="0" w:footer="0" w:header="0"/>
          <w:type w:val="continuous"/>
        </w:sectPr>
      </w:pPr>
    </w:p>
    <w:p>
      <w:pPr>
        <w:spacing w:after="0" w:line="3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2(b).</w:t>
      </w:r>
    </w:p>
    <w:p>
      <w:pPr>
        <w:spacing w:after="0" w:line="20" w:lineRule="exact"/>
        <w:rPr>
          <w:sz w:val="20"/>
          <w:szCs w:val="20"/>
          <w:color w:val="auto"/>
        </w:rPr>
      </w:pPr>
      <w:r>
        <w:rPr>
          <w:sz w:val="20"/>
          <w:szCs w:val="20"/>
          <w:color w:val="auto"/>
        </w:rPr>
        <w:br w:type="column"/>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Address of Principal Business Office or, if none, Residence: The address and principal business office of the Reporting Person is:</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 Xometry,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6116 Executive Blvd., Suite 800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North Bethesda, MD 20852</w:t>
      </w:r>
    </w:p>
    <w:p>
      <w:pPr>
        <w:spacing w:after="0" w:line="200" w:lineRule="exact"/>
        <w:rPr>
          <w:sz w:val="20"/>
          <w:szCs w:val="20"/>
          <w:color w:val="auto"/>
        </w:rPr>
      </w:pPr>
    </w:p>
    <w:p>
      <w:pPr>
        <w:sectPr>
          <w:pgSz w:w="11900" w:h="16838" w:orient="portrait"/>
          <w:cols w:equalWidth="0" w:num="2">
            <w:col w:w="740" w:space="260"/>
            <w:col w:w="9700"/>
          </w:cols>
          <w:pgMar w:left="440" w:top="266" w:right="759" w:bottom="1440" w:gutter="0" w:footer="0" w:header="0"/>
          <w:type w:val="continuous"/>
        </w:sectPr>
      </w:pP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2(c).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Citizenship:</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U.S. citizen</w:t>
      </w:r>
    </w:p>
    <w:p>
      <w:pPr>
        <w:spacing w:after="0" w:line="200" w:lineRule="exact"/>
        <w:rPr>
          <w:sz w:val="20"/>
          <w:szCs w:val="20"/>
          <w:color w:val="auto"/>
        </w:rPr>
      </w:pPr>
    </w:p>
    <w:p>
      <w:pPr>
        <w:sectPr>
          <w:pgSz w:w="11900" w:h="16838" w:orient="portrait"/>
          <w:cols w:equalWidth="0" w:num="2">
            <w:col w:w="720" w:space="280"/>
            <w:col w:w="9700"/>
          </w:cols>
          <w:pgMar w:left="440" w:top="266" w:right="759" w:bottom="1440" w:gutter="0" w:footer="0" w:header="0"/>
          <w:type w:val="continuous"/>
        </w:sectPr>
      </w:pPr>
    </w:p>
    <w:p>
      <w:pPr>
        <w:spacing w:after="0" w:line="3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2(d).</w:t>
      </w:r>
    </w:p>
    <w:p>
      <w:pPr>
        <w:spacing w:after="0" w:line="20" w:lineRule="exact"/>
        <w:rPr>
          <w:sz w:val="20"/>
          <w:szCs w:val="20"/>
          <w:color w:val="auto"/>
        </w:rPr>
      </w:pPr>
      <w:r>
        <w:rPr>
          <w:sz w:val="20"/>
          <w:szCs w:val="20"/>
          <w:color w:val="auto"/>
        </w:rPr>
        <w:br w:type="column"/>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Title of Class of Securities: Class A Common Stock</w:t>
      </w:r>
    </w:p>
    <w:p>
      <w:pPr>
        <w:spacing w:after="0" w:line="200" w:lineRule="exact"/>
        <w:rPr>
          <w:sz w:val="20"/>
          <w:szCs w:val="20"/>
          <w:color w:val="auto"/>
        </w:rPr>
      </w:pPr>
    </w:p>
    <w:p>
      <w:pPr>
        <w:sectPr>
          <w:pgSz w:w="11900" w:h="16838" w:orient="portrait"/>
          <w:cols w:equalWidth="0" w:num="2">
            <w:col w:w="740" w:space="260"/>
            <w:col w:w="9700"/>
          </w:cols>
          <w:pgMar w:left="440" w:top="266" w:right="759" w:bottom="1440" w:gutter="0" w:footer="0" w:header="0"/>
          <w:type w:val="continuous"/>
        </w:sectPr>
      </w:pPr>
    </w:p>
    <w:p>
      <w:pPr>
        <w:spacing w:after="0" w:line="3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2(e).</w:t>
      </w:r>
    </w:p>
    <w:p>
      <w:pPr>
        <w:spacing w:after="0" w:line="20" w:lineRule="exact"/>
        <w:rPr>
          <w:sz w:val="20"/>
          <w:szCs w:val="20"/>
          <w:color w:val="auto"/>
        </w:rPr>
      </w:pPr>
      <w:r>
        <w:rPr>
          <w:sz w:val="20"/>
          <w:szCs w:val="20"/>
          <w:color w:val="auto"/>
        </w:rPr>
        <w:br w:type="column"/>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CUSIP Number: 98423F109</w:t>
      </w:r>
    </w:p>
    <w:p>
      <w:pPr>
        <w:spacing w:after="0" w:line="200" w:lineRule="exact"/>
        <w:rPr>
          <w:sz w:val="20"/>
          <w:szCs w:val="20"/>
          <w:color w:val="auto"/>
        </w:rPr>
      </w:pPr>
    </w:p>
    <w:p>
      <w:pPr>
        <w:sectPr>
          <w:pgSz w:w="11900" w:h="16838" w:orient="portrait"/>
          <w:cols w:equalWidth="0" w:num="2">
            <w:col w:w="720" w:space="280"/>
            <w:col w:w="9700"/>
          </w:cols>
          <w:pgMar w:left="440" w:top="266" w:right="759" w:bottom="1440" w:gutter="0" w:footer="0" w:header="0"/>
          <w:type w:val="continuous"/>
        </w:sectPr>
      </w:pPr>
    </w:p>
    <w:p>
      <w:pPr>
        <w:spacing w:after="0" w:line="33" w:lineRule="exact"/>
        <w:rPr>
          <w:sz w:val="20"/>
          <w:szCs w:val="20"/>
          <w:color w:val="auto"/>
        </w:rPr>
      </w:pPr>
    </w:p>
    <w:p>
      <w:pPr>
        <w:spacing w:after="0" w:line="503" w:lineRule="auto"/>
        <w:rPr>
          <w:sz w:val="20"/>
          <w:szCs w:val="20"/>
          <w:color w:val="auto"/>
        </w:rPr>
      </w:pPr>
      <w:r>
        <w:rPr>
          <w:rFonts w:ascii="Times New Roman" w:cs="Times New Roman" w:eastAsia="Times New Roman" w:hAnsi="Times New Roman"/>
          <w:sz w:val="18"/>
          <w:szCs w:val="18"/>
          <w:b w:val="1"/>
          <w:bCs w:val="1"/>
          <w:color w:val="auto"/>
        </w:rPr>
        <w:t>Item 3. Item 4.  </w:t>
      </w:r>
    </w:p>
    <w:p>
      <w:pPr>
        <w:spacing w:after="0" w:line="20" w:lineRule="exact"/>
        <w:rPr>
          <w:sz w:val="20"/>
          <w:szCs w:val="20"/>
          <w:color w:val="auto"/>
        </w:rPr>
      </w:pPr>
      <w:r>
        <w:rPr>
          <w:sz w:val="20"/>
          <w:szCs w:val="20"/>
          <w:color w:val="auto"/>
        </w:rPr>
        <w:br w:type="column"/>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 applicable.</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Ownership</w:t>
      </w:r>
    </w:p>
    <w:p>
      <w:pPr>
        <w:spacing w:after="0" w:line="229" w:lineRule="exact"/>
        <w:rPr>
          <w:sz w:val="20"/>
          <w:szCs w:val="20"/>
          <w:color w:val="auto"/>
        </w:rPr>
      </w:pPr>
    </w:p>
    <w:p>
      <w:pPr>
        <w:sectPr>
          <w:pgSz w:w="11900" w:h="16838" w:orient="portrait"/>
          <w:cols w:equalWidth="0" w:num="2">
            <w:col w:w="620" w:space="380"/>
            <w:col w:w="9700"/>
          </w:cols>
          <w:pgMar w:left="440" w:top="266" w:right="759" w:bottom="1440" w:gutter="0" w:footer="0" w:header="0"/>
          <w:type w:val="continuous"/>
        </w:sectPr>
      </w:pPr>
    </w:p>
    <w:p>
      <w:pPr>
        <w:spacing w:after="0"/>
        <w:rPr>
          <w:sz w:val="20"/>
          <w:szCs w:val="20"/>
          <w:color w:val="auto"/>
        </w:rPr>
      </w:pPr>
      <w:r>
        <w:rPr>
          <w:rFonts w:ascii="Times New Roman" w:cs="Times New Roman" w:eastAsia="Times New Roman" w:hAnsi="Times New Roman"/>
          <w:sz w:val="18"/>
          <w:szCs w:val="18"/>
          <w:color w:val="auto"/>
        </w:rPr>
        <w:t>Provide the following information regarding the aggregate number and percentage of the class of securities of the Issuer identified in Item 1.</w:t>
      </w:r>
    </w:p>
    <w:p>
      <w:pPr>
        <w:spacing w:after="0" w:line="127" w:lineRule="exact"/>
        <w:rPr>
          <w:sz w:val="20"/>
          <w:szCs w:val="20"/>
          <w:color w:val="auto"/>
        </w:rPr>
      </w:pPr>
    </w:p>
    <w:p>
      <w:pPr>
        <w:ind w:left="960" w:hanging="532"/>
        <w:spacing w:after="0"/>
        <w:tabs>
          <w:tab w:leader="none" w:pos="960" w:val="left"/>
        </w:tabs>
        <w:numPr>
          <w:ilvl w:val="0"/>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Amount Beneficially Owned: </w:t>
      </w:r>
      <w:r>
        <w:rPr>
          <w:rFonts w:ascii="Times New Roman" w:cs="Times New Roman" w:eastAsia="Times New Roman" w:hAnsi="Times New Roman"/>
          <w:sz w:val="18"/>
          <w:szCs w:val="18"/>
          <w:b w:val="1"/>
          <w:bCs w:val="1"/>
          <w:color w:val="auto"/>
        </w:rPr>
        <w:t>See Row 9 of cover page for the Reporting Person.</w:t>
      </w:r>
    </w:p>
    <w:p>
      <w:pPr>
        <w:spacing w:after="0" w:line="130" w:lineRule="exact"/>
        <w:rPr>
          <w:rFonts w:ascii="Times New Roman" w:cs="Times New Roman" w:eastAsia="Times New Roman" w:hAnsi="Times New Roman"/>
          <w:sz w:val="18"/>
          <w:szCs w:val="18"/>
          <w:b w:val="1"/>
          <w:bCs w:val="1"/>
          <w:color w:val="auto"/>
        </w:rPr>
      </w:pPr>
    </w:p>
    <w:p>
      <w:pPr>
        <w:ind w:left="960" w:hanging="532"/>
        <w:spacing w:after="0"/>
        <w:tabs>
          <w:tab w:leader="none" w:pos="960" w:val="left"/>
        </w:tabs>
        <w:numPr>
          <w:ilvl w:val="0"/>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Percent of Class: </w:t>
      </w:r>
      <w:r>
        <w:rPr>
          <w:rFonts w:ascii="Times New Roman" w:cs="Times New Roman" w:eastAsia="Times New Roman" w:hAnsi="Times New Roman"/>
          <w:sz w:val="18"/>
          <w:szCs w:val="18"/>
          <w:b w:val="1"/>
          <w:bCs w:val="1"/>
          <w:color w:val="auto"/>
        </w:rPr>
        <w:t>See Row 11 of cover page for the Reporting Person.</w:t>
      </w:r>
    </w:p>
    <w:p>
      <w:pPr>
        <w:spacing w:after="0" w:line="134" w:lineRule="exact"/>
        <w:rPr>
          <w:rFonts w:ascii="Times New Roman" w:cs="Times New Roman" w:eastAsia="Times New Roman" w:hAnsi="Times New Roman"/>
          <w:sz w:val="18"/>
          <w:szCs w:val="18"/>
          <w:b w:val="1"/>
          <w:bCs w:val="1"/>
          <w:color w:val="auto"/>
        </w:rPr>
      </w:pPr>
    </w:p>
    <w:p>
      <w:pPr>
        <w:ind w:left="960" w:hanging="532"/>
        <w:spacing w:after="0"/>
        <w:tabs>
          <w:tab w:leader="none" w:pos="960" w:val="left"/>
        </w:tabs>
        <w:numPr>
          <w:ilvl w:val="0"/>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Number of shares as to which the person has:</w:t>
      </w:r>
    </w:p>
    <w:p>
      <w:pPr>
        <w:spacing w:after="0" w:line="126" w:lineRule="exact"/>
        <w:rPr>
          <w:rFonts w:ascii="Times New Roman" w:cs="Times New Roman" w:eastAsia="Times New Roman" w:hAnsi="Times New Roman"/>
          <w:sz w:val="18"/>
          <w:szCs w:val="18"/>
          <w:b w:val="1"/>
          <w:bCs w:val="1"/>
          <w:color w:val="auto"/>
        </w:rPr>
      </w:pPr>
    </w:p>
    <w:p>
      <w:pPr>
        <w:ind w:left="1420" w:hanging="439"/>
        <w:spacing w:after="0"/>
        <w:tabs>
          <w:tab w:leader="none" w:pos="1420" w:val="left"/>
        </w:tabs>
        <w:numPr>
          <w:ilvl w:val="1"/>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Sole power to vote or to direct the vote: </w:t>
      </w:r>
      <w:r>
        <w:rPr>
          <w:rFonts w:ascii="Times New Roman" w:cs="Times New Roman" w:eastAsia="Times New Roman" w:hAnsi="Times New Roman"/>
          <w:sz w:val="18"/>
          <w:szCs w:val="18"/>
          <w:b w:val="1"/>
          <w:bCs w:val="1"/>
          <w:color w:val="auto"/>
        </w:rPr>
        <w:t>See Row 5 of cover page for the Reporting Person.</w:t>
      </w:r>
    </w:p>
    <w:p>
      <w:pPr>
        <w:spacing w:after="0" w:line="130" w:lineRule="exact"/>
        <w:rPr>
          <w:rFonts w:ascii="Times New Roman" w:cs="Times New Roman" w:eastAsia="Times New Roman" w:hAnsi="Times New Roman"/>
          <w:sz w:val="18"/>
          <w:szCs w:val="18"/>
          <w:b w:val="1"/>
          <w:bCs w:val="1"/>
          <w:color w:val="auto"/>
        </w:rPr>
      </w:pPr>
    </w:p>
    <w:p>
      <w:pPr>
        <w:ind w:left="1420" w:hanging="439"/>
        <w:spacing w:after="0"/>
        <w:tabs>
          <w:tab w:leader="none" w:pos="1420" w:val="left"/>
        </w:tabs>
        <w:numPr>
          <w:ilvl w:val="1"/>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Shared power to vote or to direct the vote: </w:t>
      </w:r>
      <w:r>
        <w:rPr>
          <w:rFonts w:ascii="Times New Roman" w:cs="Times New Roman" w:eastAsia="Times New Roman" w:hAnsi="Times New Roman"/>
          <w:sz w:val="18"/>
          <w:szCs w:val="18"/>
          <w:b w:val="1"/>
          <w:bCs w:val="1"/>
          <w:color w:val="auto"/>
        </w:rPr>
        <w:t>See Row 6 of cover page for the Reporting Person.</w:t>
      </w:r>
    </w:p>
    <w:p>
      <w:pPr>
        <w:spacing w:after="0" w:line="130" w:lineRule="exact"/>
        <w:rPr>
          <w:rFonts w:ascii="Times New Roman" w:cs="Times New Roman" w:eastAsia="Times New Roman" w:hAnsi="Times New Roman"/>
          <w:sz w:val="18"/>
          <w:szCs w:val="18"/>
          <w:b w:val="1"/>
          <w:bCs w:val="1"/>
          <w:color w:val="auto"/>
        </w:rPr>
      </w:pPr>
    </w:p>
    <w:p>
      <w:pPr>
        <w:ind w:left="1420" w:hanging="439"/>
        <w:spacing w:after="0"/>
        <w:tabs>
          <w:tab w:leader="none" w:pos="1420" w:val="left"/>
        </w:tabs>
        <w:numPr>
          <w:ilvl w:val="1"/>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Sole power to dispose or to direct the disposition of: </w:t>
      </w:r>
      <w:r>
        <w:rPr>
          <w:rFonts w:ascii="Times New Roman" w:cs="Times New Roman" w:eastAsia="Times New Roman" w:hAnsi="Times New Roman"/>
          <w:sz w:val="18"/>
          <w:szCs w:val="18"/>
          <w:b w:val="1"/>
          <w:bCs w:val="1"/>
          <w:color w:val="auto"/>
        </w:rPr>
        <w:t>See Row 7 of cover page for the Reporting Person.</w:t>
      </w:r>
    </w:p>
    <w:p>
      <w:pPr>
        <w:spacing w:after="0" w:line="130" w:lineRule="exact"/>
        <w:rPr>
          <w:rFonts w:ascii="Times New Roman" w:cs="Times New Roman" w:eastAsia="Times New Roman" w:hAnsi="Times New Roman"/>
          <w:sz w:val="18"/>
          <w:szCs w:val="18"/>
          <w:b w:val="1"/>
          <w:bCs w:val="1"/>
          <w:color w:val="auto"/>
        </w:rPr>
      </w:pPr>
    </w:p>
    <w:p>
      <w:pPr>
        <w:ind w:left="1420" w:hanging="439"/>
        <w:spacing w:after="0"/>
        <w:tabs>
          <w:tab w:leader="none" w:pos="1420" w:val="left"/>
        </w:tabs>
        <w:numPr>
          <w:ilvl w:val="1"/>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Shared power to dispose or to direct the disposition of: </w:t>
      </w:r>
      <w:r>
        <w:rPr>
          <w:rFonts w:ascii="Times New Roman" w:cs="Times New Roman" w:eastAsia="Times New Roman" w:hAnsi="Times New Roman"/>
          <w:sz w:val="18"/>
          <w:szCs w:val="18"/>
          <w:b w:val="1"/>
          <w:bCs w:val="1"/>
          <w:color w:val="auto"/>
        </w:rPr>
        <w:t>See Row 8 of cover page for the Reporting Person.</w:t>
      </w:r>
    </w:p>
    <w:p>
      <w:pPr>
        <w:spacing w:after="0" w:line="374" w:lineRule="exact"/>
        <w:rPr>
          <w:sz w:val="20"/>
          <w:szCs w:val="20"/>
          <w:color w:val="auto"/>
        </w:rPr>
      </w:pPr>
    </w:p>
    <w:p>
      <w:pPr>
        <w:spacing w:after="0"/>
        <w:tabs>
          <w:tab w:leader="none" w:pos="1060" w:val="left"/>
        </w:tabs>
        <w:rPr>
          <w:sz w:val="20"/>
          <w:szCs w:val="20"/>
          <w:color w:val="auto"/>
        </w:rPr>
      </w:pPr>
      <w:r>
        <w:rPr>
          <w:rFonts w:ascii="Times New Roman" w:cs="Times New Roman" w:eastAsia="Times New Roman" w:hAnsi="Times New Roman"/>
          <w:sz w:val="18"/>
          <w:szCs w:val="18"/>
          <w:b w:val="1"/>
          <w:bCs w:val="1"/>
          <w:color w:val="auto"/>
        </w:rPr>
        <w:t>Item 5.</w:t>
      </w:r>
      <w:r>
        <w:rPr>
          <w:sz w:val="20"/>
          <w:szCs w:val="20"/>
          <w:color w:val="auto"/>
        </w:rPr>
        <w:tab/>
      </w:r>
      <w:r>
        <w:rPr>
          <w:rFonts w:ascii="Times New Roman" w:cs="Times New Roman" w:eastAsia="Times New Roman" w:hAnsi="Times New Roman"/>
          <w:sz w:val="18"/>
          <w:szCs w:val="18"/>
          <w:b w:val="1"/>
          <w:bCs w:val="1"/>
          <w:color w:val="auto"/>
        </w:rPr>
        <w:t>Ownership of 5 Percent or Less of a Class</w:t>
      </w:r>
    </w:p>
    <w:p>
      <w:pPr>
        <w:spacing w:after="0" w:line="121" w:lineRule="exact"/>
        <w:rPr>
          <w:sz w:val="20"/>
          <w:szCs w:val="20"/>
          <w:color w:val="auto"/>
        </w:rPr>
      </w:pPr>
    </w:p>
    <w:p>
      <w:pPr>
        <w:spacing w:after="0" w:line="239" w:lineRule="exact"/>
        <w:rPr>
          <w:sz w:val="20"/>
          <w:szCs w:val="20"/>
          <w:color w:val="auto"/>
        </w:rPr>
      </w:pPr>
      <w:r>
        <w:rPr>
          <w:rFonts w:ascii="Times New Roman" w:cs="Times New Roman" w:eastAsia="Times New Roman" w:hAnsi="Times New Roman"/>
          <w:sz w:val="18"/>
          <w:szCs w:val="18"/>
          <w:color w:val="auto"/>
        </w:rPr>
        <w:t xml:space="preserve">If this statement is being filed to report the fact that as of the date hereof the reporting person has ceased to be the beneficial owner of more than five percent of the class of securities, check the following 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w:t>
      </w:r>
    </w:p>
    <w:p>
      <w:pPr>
        <w:sectPr>
          <w:pgSz w:w="11900" w:h="16838" w:orient="portrait"/>
          <w:cols w:equalWidth="0" w:num="1">
            <w:col w:w="10700"/>
          </w:cols>
          <w:pgMar w:left="440" w:top="266" w:right="759" w:bottom="1440" w:gutter="0" w:footer="0" w:header="0"/>
          <w:type w:val="continuous"/>
        </w:sectPr>
      </w:pPr>
    </w:p>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6.</w:t>
      </w:r>
    </w:p>
    <w:p>
      <w:pPr>
        <w:spacing w:after="0" w:line="20" w:lineRule="exact"/>
        <w:rPr>
          <w:sz w:val="20"/>
          <w:szCs w:val="20"/>
          <w:color w:val="auto"/>
        </w:rPr>
      </w:pPr>
      <w:r>
        <w:rPr>
          <w:sz w:val="20"/>
          <w:szCs w:val="20"/>
          <w:color w:val="auto"/>
        </w:rPr>
        <w:br w:type="column"/>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Ownership of More than 5 Percent on Behalf of Another Person</w:t>
      </w:r>
    </w:p>
    <w:p>
      <w:pPr>
        <w:spacing w:after="0" w:line="121" w:lineRule="exact"/>
        <w:rPr>
          <w:sz w:val="20"/>
          <w:szCs w:val="20"/>
          <w:color w:val="auto"/>
        </w:rPr>
      </w:pPr>
    </w:p>
    <w:p>
      <w:pPr>
        <w:sectPr>
          <w:pgSz w:w="11900" w:h="16838" w:orient="portrait"/>
          <w:cols w:equalWidth="0" w:num="2">
            <w:col w:w="520" w:space="560"/>
            <w:col w:w="9620"/>
          </w:cols>
          <w:pgMar w:left="440" w:top="266" w:right="75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color w:val="auto"/>
        </w:rPr>
        <w:t>Not applicable.</w:t>
      </w:r>
    </w:p>
    <w:p>
      <w:pPr>
        <w:sectPr>
          <w:pgSz w:w="11900" w:h="16838" w:orient="portrait"/>
          <w:cols w:equalWidth="0" w:num="1">
            <w:col w:w="10700"/>
          </w:cols>
          <w:pgMar w:left="440" w:top="266" w:right="759" w:bottom="1440" w:gutter="0" w:footer="0" w:header="0"/>
          <w:type w:val="continuous"/>
        </w:sectPr>
      </w:pPr>
    </w:p>
    <w:p>
      <w:pPr>
        <w:spacing w:after="0" w:line="38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7.</w:t>
      </w:r>
    </w:p>
    <w:p>
      <w:pPr>
        <w:spacing w:after="0" w:line="20" w:lineRule="exact"/>
        <w:rPr>
          <w:sz w:val="20"/>
          <w:szCs w:val="20"/>
          <w:color w:val="auto"/>
        </w:rPr>
      </w:pPr>
      <w:r>
        <w:rPr>
          <w:sz w:val="20"/>
          <w:szCs w:val="20"/>
          <w:color w:val="auto"/>
        </w:rPr>
        <w:br w:type="column"/>
      </w:r>
    </w:p>
    <w:p>
      <w:pPr>
        <w:spacing w:after="0" w:line="361" w:lineRule="exact"/>
        <w:rPr>
          <w:sz w:val="20"/>
          <w:szCs w:val="20"/>
          <w:color w:val="auto"/>
        </w:rPr>
      </w:pPr>
    </w:p>
    <w:p>
      <w:pPr>
        <w:ind w:right="260"/>
        <w:spacing w:after="0" w:line="286" w:lineRule="auto"/>
        <w:rPr>
          <w:sz w:val="20"/>
          <w:szCs w:val="20"/>
          <w:color w:val="auto"/>
        </w:rPr>
      </w:pPr>
      <w:r>
        <w:rPr>
          <w:rFonts w:ascii="Times New Roman" w:cs="Times New Roman" w:eastAsia="Times New Roman" w:hAnsi="Times New Roman"/>
          <w:sz w:val="18"/>
          <w:szCs w:val="18"/>
          <w:b w:val="1"/>
          <w:bCs w:val="1"/>
          <w:color w:val="auto"/>
        </w:rPr>
        <w:t>Identification and Classification of the Subsidiary Which Acquired the Security Being Reported on By the Parent Holding Company or Control Person.</w:t>
      </w:r>
    </w:p>
    <w:p>
      <w:pPr>
        <w:spacing w:after="0" w:line="51" w:lineRule="exact"/>
        <w:rPr>
          <w:sz w:val="20"/>
          <w:szCs w:val="20"/>
          <w:color w:val="auto"/>
        </w:rPr>
      </w:pPr>
    </w:p>
    <w:p>
      <w:pPr>
        <w:sectPr>
          <w:pgSz w:w="11900" w:h="16838" w:orient="portrait"/>
          <w:cols w:equalWidth="0" w:num="2">
            <w:col w:w="520" w:space="560"/>
            <w:col w:w="9620"/>
          </w:cols>
          <w:pgMar w:left="440" w:top="266" w:right="75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color w:val="auto"/>
        </w:rPr>
        <w:t>Not applicable.</w:t>
      </w:r>
    </w:p>
    <w:p>
      <w:pPr>
        <w:sectPr>
          <w:pgSz w:w="11900" w:h="16838" w:orient="portrait"/>
          <w:cols w:equalWidth="0" w:num="1">
            <w:col w:w="10700"/>
          </w:cols>
          <w:pgMar w:left="440" w:top="266" w:right="759" w:bottom="1440" w:gutter="0" w:footer="0" w:header="0"/>
          <w:type w:val="continuous"/>
        </w:sectPr>
      </w:pPr>
    </w:p>
    <w:p>
      <w:pPr>
        <w:spacing w:after="0" w:line="38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8.</w:t>
      </w:r>
    </w:p>
    <w:p>
      <w:pPr>
        <w:spacing w:after="0" w:line="20" w:lineRule="exact"/>
        <w:rPr>
          <w:sz w:val="20"/>
          <w:szCs w:val="20"/>
          <w:color w:val="auto"/>
        </w:rPr>
      </w:pPr>
      <w:r>
        <w:rPr>
          <w:sz w:val="20"/>
          <w:szCs w:val="20"/>
          <w:color w:val="auto"/>
        </w:rPr>
        <w:br w:type="column"/>
      </w:r>
    </w:p>
    <w:p>
      <w:pPr>
        <w:spacing w:after="0" w:line="36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Identification and Classification of Members of the Group</w:t>
      </w:r>
    </w:p>
    <w:p>
      <w:pPr>
        <w:spacing w:after="0" w:line="133" w:lineRule="exact"/>
        <w:rPr>
          <w:sz w:val="20"/>
          <w:szCs w:val="20"/>
          <w:color w:val="auto"/>
        </w:rPr>
      </w:pPr>
    </w:p>
    <w:p>
      <w:pPr>
        <w:sectPr>
          <w:pgSz w:w="11900" w:h="16838" w:orient="portrait"/>
          <w:cols w:equalWidth="0" w:num="2">
            <w:col w:w="520" w:space="560"/>
            <w:col w:w="9620"/>
          </w:cols>
          <w:pgMar w:left="440" w:top="266" w:right="75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color w:val="auto"/>
        </w:rPr>
        <w:t>Not applicable.</w:t>
      </w:r>
    </w:p>
    <w:p>
      <w:pPr>
        <w:sectPr>
          <w:pgSz w:w="11900" w:h="16838" w:orient="portrait"/>
          <w:cols w:equalWidth="0" w:num="1">
            <w:col w:w="10700"/>
          </w:cols>
          <w:pgMar w:left="440" w:top="266" w:right="759" w:bottom="1440" w:gutter="0" w:footer="0" w:header="0"/>
          <w:type w:val="continuous"/>
        </w:sectPr>
      </w:pPr>
    </w:p>
    <w:p>
      <w:pPr>
        <w:spacing w:after="0" w:line="38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9.</w:t>
      </w:r>
    </w:p>
    <w:p>
      <w:pPr>
        <w:spacing w:after="0" w:line="20" w:lineRule="exact"/>
        <w:rPr>
          <w:sz w:val="20"/>
          <w:szCs w:val="20"/>
          <w:color w:val="auto"/>
        </w:rPr>
      </w:pPr>
      <w:r>
        <w:rPr>
          <w:sz w:val="20"/>
          <w:szCs w:val="20"/>
          <w:color w:val="auto"/>
        </w:rPr>
        <w:br w:type="column"/>
      </w:r>
    </w:p>
    <w:p>
      <w:pPr>
        <w:spacing w:after="0" w:line="3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Notice of Dissolution of a Group</w:t>
      </w:r>
    </w:p>
    <w:p>
      <w:pPr>
        <w:spacing w:after="0" w:line="121" w:lineRule="exact"/>
        <w:rPr>
          <w:sz w:val="20"/>
          <w:szCs w:val="20"/>
          <w:color w:val="auto"/>
        </w:rPr>
      </w:pPr>
    </w:p>
    <w:p>
      <w:pPr>
        <w:sectPr>
          <w:pgSz w:w="11900" w:h="16838" w:orient="portrait"/>
          <w:cols w:equalWidth="0" w:num="2">
            <w:col w:w="520" w:space="560"/>
            <w:col w:w="9620"/>
          </w:cols>
          <w:pgMar w:left="440" w:top="266" w:right="75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color w:val="auto"/>
        </w:rPr>
        <w:t>Not applicable.</w:t>
      </w:r>
    </w:p>
    <w:p>
      <w:pPr>
        <w:sectPr>
          <w:pgSz w:w="11900" w:h="16838" w:orient="portrait"/>
          <w:cols w:equalWidth="0" w:num="1">
            <w:col w:w="10700"/>
          </w:cols>
          <w:pgMar w:left="440" w:top="266" w:right="759" w:bottom="1440" w:gutter="0" w:footer="0" w:header="0"/>
          <w:type w:val="continuous"/>
        </w:sectPr>
      </w:pPr>
    </w:p>
    <w:p>
      <w:pPr>
        <w:spacing w:after="0" w:line="38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10.</w:t>
      </w:r>
    </w:p>
    <w:p>
      <w:pPr>
        <w:spacing w:after="0" w:line="20" w:lineRule="exact"/>
        <w:rPr>
          <w:sz w:val="20"/>
          <w:szCs w:val="20"/>
          <w:color w:val="auto"/>
        </w:rPr>
      </w:pPr>
      <w:r>
        <w:rPr>
          <w:sz w:val="20"/>
          <w:szCs w:val="20"/>
          <w:color w:val="auto"/>
        </w:rPr>
        <w:br w:type="column"/>
      </w:r>
    </w:p>
    <w:p>
      <w:pPr>
        <w:spacing w:after="0" w:line="3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121" w:lineRule="exact"/>
        <w:rPr>
          <w:sz w:val="20"/>
          <w:szCs w:val="20"/>
          <w:color w:val="auto"/>
        </w:rPr>
      </w:pPr>
    </w:p>
    <w:p>
      <w:pPr>
        <w:sectPr>
          <w:pgSz w:w="11900" w:h="16838" w:orient="portrait"/>
          <w:cols w:equalWidth="0" w:num="2">
            <w:col w:w="620" w:space="460"/>
            <w:col w:w="9620"/>
          </w:cols>
          <w:pgMar w:left="440" w:top="266" w:right="75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color w:val="auto"/>
        </w:rPr>
        <w:t>Not applicable.</w:t>
      </w:r>
    </w:p>
    <w:p>
      <w:pPr>
        <w:sectPr>
          <w:pgSz w:w="11900" w:h="16838" w:orient="portrait"/>
          <w:cols w:equalWidth="0" w:num="1">
            <w:col w:w="10700"/>
          </w:cols>
          <w:pgMar w:left="440" w:top="266" w:right="759" w:bottom="1440" w:gutter="0" w:footer="0" w:header="0"/>
          <w:type w:val="continuous"/>
        </w:sectPr>
      </w:pPr>
    </w:p>
    <w:bookmarkStart w:id="4" w:name="page5"/>
    <w:bookmarkEnd w:id="4"/>
    <w:p>
      <w:pPr>
        <w:ind w:left="498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SIGNATURE</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After reasonable inquiry and to the best of my knowledge and belief, I certify that the information set forth in this statement is true, complete and correct.</w:t>
      </w:r>
    </w:p>
    <w:p>
      <w:pPr>
        <w:spacing w:after="0" w:line="189" w:lineRule="exact"/>
        <w:rPr>
          <w:sz w:val="20"/>
          <w:szCs w:val="20"/>
          <w:color w:val="auto"/>
        </w:rPr>
      </w:pPr>
    </w:p>
    <w:p>
      <w:pPr>
        <w:jc w:val="center"/>
        <w:ind w:left="6600"/>
        <w:spacing w:after="0"/>
        <w:rPr>
          <w:sz w:val="20"/>
          <w:szCs w:val="20"/>
          <w:color w:val="auto"/>
        </w:rPr>
      </w:pPr>
      <w:r>
        <w:rPr>
          <w:rFonts w:ascii="Times New Roman" w:cs="Times New Roman" w:eastAsia="Times New Roman" w:hAnsi="Times New Roman"/>
          <w:sz w:val="18"/>
          <w:szCs w:val="18"/>
          <w:color w:val="auto"/>
        </w:rPr>
        <w:t>February 14,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4197985</wp:posOffset>
            </wp:positionH>
            <wp:positionV relativeFrom="paragraph">
              <wp:posOffset>17145</wp:posOffset>
            </wp:positionV>
            <wp:extent cx="279463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7" w:lineRule="exact"/>
        <w:rPr>
          <w:sz w:val="20"/>
          <w:szCs w:val="20"/>
          <w:color w:val="auto"/>
        </w:rPr>
      </w:pPr>
    </w:p>
    <w:p>
      <w:pPr>
        <w:jc w:val="center"/>
        <w:ind w:left="6600"/>
        <w:spacing w:after="0"/>
        <w:rPr>
          <w:sz w:val="20"/>
          <w:szCs w:val="20"/>
          <w:color w:val="auto"/>
        </w:rPr>
      </w:pPr>
      <w:r>
        <w:rPr>
          <w:rFonts w:ascii="Times New Roman" w:cs="Times New Roman" w:eastAsia="Times New Roman" w:hAnsi="Times New Roman"/>
          <w:sz w:val="18"/>
          <w:szCs w:val="18"/>
          <w:color w:val="auto"/>
        </w:rPr>
        <w:t>Date</w:t>
      </w:r>
    </w:p>
    <w:p>
      <w:pPr>
        <w:spacing w:after="0" w:line="220"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/s/ Laurence Zuriff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4197985</wp:posOffset>
            </wp:positionH>
            <wp:positionV relativeFrom="paragraph">
              <wp:posOffset>17145</wp:posOffset>
            </wp:positionV>
            <wp:extent cx="279463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Laurence Zuriff</w:t>
      </w:r>
    </w:p>
    <w:sectPr>
      <w:pgSz w:w="11900" w:h="16838" w:orient="portrait"/>
      <w:cols w:equalWidth="0" w:num="1">
        <w:col w:w="10460"/>
      </w:cols>
      <w:pgMar w:left="440" w:top="266" w:right="9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6E87CCD"/>
    <w:multiLevelType w:val="hybridMultilevel"/>
    <w:lvl w:ilvl="0">
      <w:lvlJc w:val="left"/>
      <w:lvlText w:val="☐"/>
      <w:numFmt w:val="bullet"/>
      <w:start w:val="1"/>
    </w:lvl>
  </w:abstractNum>
  <w:abstractNum w:abstractNumId="1">
    <w:nsid w:val="3D1B58BA"/>
    <w:multiLevelType w:val="hybridMultilevel"/>
    <w:lvl w:ilvl="0">
      <w:lvlJc w:val="left"/>
      <w:lvlText w:val="*"/>
      <w:numFmt w:val="bullet"/>
      <w:start w:val="1"/>
    </w:lvl>
  </w:abstractNum>
  <w:abstractNum w:abstractNumId="2">
    <w:nsid w:val="507ED7AB"/>
    <w:multiLevelType w:val="hybridMultilevel"/>
    <w:lvl w:ilvl="0">
      <w:lvlJc w:val="left"/>
      <w:lvlText w:val=" "/>
      <w:numFmt w:val="bullet"/>
      <w:start w:val="1"/>
    </w:lvl>
    <w:lvl w:ilvl="1">
      <w:lvlJc w:val="left"/>
      <w:lvlText w:val=" "/>
      <w:numFmt w:val="bullet"/>
      <w:start w:val="1"/>
    </w:lvl>
  </w:abstractNum>
  <w:abstractNum w:abstractNumId="3">
    <w:nsid w:val="2EB141F2"/>
    <w:multiLevelType w:val="hybridMultilevel"/>
    <w:lvl w:ilvl="0">
      <w:lvlJc w:val="left"/>
      <w:lvlText w:val=" "/>
      <w:numFmt w:val="bullet"/>
      <w:start w:val="1"/>
    </w:lvl>
  </w:abstractNum>
  <w:abstractNum w:abstractNumId="4">
    <w:nsid w:val="41B71EFB"/>
    <w:multiLevelType w:val="hybridMultilevel"/>
    <w:lvl w:ilvl="0">
      <w:lvlJc w:val="left"/>
      <w:lvlText w:val=" "/>
      <w:numFmt w:val="bullet"/>
      <w:start w:val="1"/>
    </w:lvl>
    <w:lvl w:ilvl="1">
      <w:lvlJc w:val="left"/>
      <w:lvlText w:val=" "/>
      <w:numFmt w:val="bullet"/>
      <w:start w:val="1"/>
    </w:lvl>
    <w:lvl w:ilvl="2">
      <w:lvlJc w:val="left"/>
      <w:lvlText w:val=" "/>
      <w:numFmt w:val="bullet"/>
      <w:start w:val="1"/>
    </w:lvl>
  </w:abstractNum>
  <w:abstractNum w:abstractNumId="5">
    <w:nsid w:val="79E2A9E3"/>
    <w:multiLevelType w:val="hybridMultilevel"/>
    <w:lvl w:ilvl="0">
      <w:lvlJc w:val="left"/>
      <w:lvlText w:val="%1"/>
      <w:numFmt w:val="decimal"/>
      <w:start w:val="1"/>
    </w:lvl>
    <w:lvl w:ilvl="1">
      <w:lvlJc w:val="left"/>
      <w:lvlText w:val="%2."/>
      <w:numFmt w:val="decimal"/>
      <w:start w:val="10"/>
    </w:lvl>
    <w:lvl w:ilvl="2">
      <w:lvlJc w:val="left"/>
      <w:lvlText w:val=" "/>
      <w:numFmt w:val="bullet"/>
      <w:start w:val="1"/>
    </w:lvl>
  </w:abstractNum>
  <w:abstractNum w:abstractNumId="6">
    <w:nsid w:val="7545E146"/>
    <w:multiLevelType w:val="hybridMultilevel"/>
    <w:lvl w:ilvl="0">
      <w:lvlJc w:val="left"/>
      <w:lvlText w:val="(%1)"/>
      <w:numFmt w:val="decimal"/>
      <w:start w:val="1"/>
    </w:lvl>
    <w:lvl w:ilvl="1">
      <w:lvlJc w:val="left"/>
      <w:lvlText w:val="%2"/>
      <w:numFmt w:val="decimal"/>
      <w:start w:val="1"/>
    </w:lvl>
    <w:lvl w:ilvl="2">
      <w:lvlJc w:val="left"/>
      <w:lvlText w:val=" "/>
      <w:numFmt w:val="bullet"/>
      <w:start w:val="1"/>
    </w:lvl>
  </w:abstractNum>
  <w:abstractNum w:abstractNumId="7">
    <w:nsid w:val="515F007C"/>
    <w:multiLevelType w:val="hybridMultilevel"/>
    <w:lvl w:ilvl="0">
      <w:lvlJc w:val="left"/>
      <w:lvlText w:val="(%1)"/>
      <w:numFmt w:val="decimal"/>
      <w:start w:val="2"/>
    </w:lvl>
  </w:abstractNum>
  <w:abstractNum w:abstractNumId="8">
    <w:nsid w:val="5BD062C2"/>
    <w:multiLevelType w:val="hybridMultilevel"/>
    <w:lvl w:ilvl="0">
      <w:lvlJc w:val="left"/>
      <w:lvlText w:val="(%1)"/>
      <w:numFmt w:val="lowerLetter"/>
      <w:start w:val="1"/>
    </w:lvl>
    <w:lvl w:ilvl="1">
      <w:lvlJc w:val="left"/>
      <w:lvlText w:val="(%2)"/>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2024-02-14T18:40:26Z</dcterms:created>
  <dcterms:modified xsi:type="dcterms:W3CDTF">2024-02-14T18:40:26Z</dcterms:modified>
</cp:coreProperties>
</file>