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Altschuler Randolph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XOMETRY,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6116 EXECUTIVE BLVD, SUITE 800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Xometry,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XMTR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106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6820" w:type="dxa"/>
            <w:vAlign w:val="bottom"/>
            <w:vMerge w:val="restart"/>
          </w:tcPr>
          <w:p>
            <w:pPr>
              <w:ind w:left="4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81,274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338,265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("RSU") grant. One quarter (1/4) of the shares underlying the RSUs will vest on January 1, 2026 and the remainder of the shares underlying the RSUs vest quarterly for the 3 years thereafter, subject to the Reporting Person's continuous service.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Class A Common Stock of the Issuer.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Kristie Scott,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9814" TargetMode="External"/><Relationship Id="rId14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2025-03-13T15:53:49Z</dcterms:created>
  <dcterms:modified xsi:type="dcterms:W3CDTF">2025-03-13T15:53:49Z</dcterms:modified>
</cp:coreProperties>
</file>