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4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August 09,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Xometry,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3020" w:type="dxa"/>
            <w:vAlign w:val="bottom"/>
          </w:tcPr>
          <w:p>
            <w:pPr>
              <w:jc w:val="center"/>
              <w:ind w:right="621"/>
              <w:spacing w:after="0"/>
              <w:rPr>
                <w:sz w:val="20"/>
                <w:szCs w:val="20"/>
                <w:color w:val="auto"/>
              </w:rPr>
            </w:pPr>
            <w:r>
              <w:rPr>
                <w:rFonts w:ascii="Arial" w:cs="Arial" w:eastAsia="Arial" w:hAnsi="Arial"/>
                <w:sz w:val="18"/>
                <w:szCs w:val="18"/>
                <w:b w:val="1"/>
                <w:bCs w:val="1"/>
                <w:color w:val="auto"/>
                <w:w w:val="91"/>
              </w:rPr>
              <w:t>Delaware</w:t>
            </w:r>
          </w:p>
        </w:tc>
        <w:tc>
          <w:tcPr>
            <w:tcW w:w="3240" w:type="dxa"/>
            <w:vAlign w:val="bottom"/>
          </w:tcPr>
          <w:p>
            <w:pPr>
              <w:jc w:val="right"/>
              <w:ind w:right="1301"/>
              <w:spacing w:after="0"/>
              <w:rPr>
                <w:sz w:val="20"/>
                <w:szCs w:val="20"/>
                <w:color w:val="auto"/>
              </w:rPr>
            </w:pPr>
            <w:r>
              <w:rPr>
                <w:rFonts w:ascii="Arial" w:cs="Arial" w:eastAsia="Arial" w:hAnsi="Arial"/>
                <w:sz w:val="18"/>
                <w:szCs w:val="18"/>
                <w:b w:val="1"/>
                <w:bCs w:val="1"/>
                <w:color w:val="auto"/>
              </w:rPr>
              <w:t>001-40546</w:t>
            </w:r>
          </w:p>
        </w:tc>
        <w:tc>
          <w:tcPr>
            <w:tcW w:w="2060" w:type="dxa"/>
            <w:vAlign w:val="bottom"/>
          </w:tcPr>
          <w:p>
            <w:pPr>
              <w:jc w:val="right"/>
              <w:ind w:right="24"/>
              <w:spacing w:after="0"/>
              <w:rPr>
                <w:sz w:val="20"/>
                <w:szCs w:val="20"/>
                <w:color w:val="auto"/>
              </w:rPr>
            </w:pPr>
            <w:r>
              <w:rPr>
                <w:rFonts w:ascii="Arial" w:cs="Arial" w:eastAsia="Arial" w:hAnsi="Arial"/>
                <w:sz w:val="18"/>
                <w:szCs w:val="18"/>
                <w:b w:val="1"/>
                <w:bCs w:val="1"/>
                <w:color w:val="auto"/>
              </w:rPr>
              <w:t>32-0415449</w:t>
            </w:r>
          </w:p>
        </w:tc>
      </w:tr>
      <w:tr>
        <w:trPr>
          <w:trHeight w:val="163"/>
        </w:trPr>
        <w:tc>
          <w:tcPr>
            <w:tcW w:w="3020" w:type="dxa"/>
            <w:vAlign w:val="bottom"/>
          </w:tcPr>
          <w:p>
            <w:pPr>
              <w:jc w:val="center"/>
              <w:ind w:right="621"/>
              <w:spacing w:after="0"/>
              <w:rPr>
                <w:sz w:val="20"/>
                <w:szCs w:val="20"/>
                <w:color w:val="auto"/>
              </w:rPr>
            </w:pPr>
            <w:r>
              <w:rPr>
                <w:rFonts w:ascii="Arial" w:cs="Arial" w:eastAsia="Arial" w:hAnsi="Arial"/>
                <w:sz w:val="13"/>
                <w:szCs w:val="13"/>
                <w:b w:val="1"/>
                <w:bCs w:val="1"/>
                <w:color w:val="auto"/>
                <w:w w:val="95"/>
              </w:rPr>
              <w:t>(State or Other Jurisdiction</w:t>
            </w:r>
          </w:p>
        </w:tc>
        <w:tc>
          <w:tcPr>
            <w:tcW w:w="3240" w:type="dxa"/>
            <w:vAlign w:val="bottom"/>
          </w:tcPr>
          <w:p>
            <w:pPr>
              <w:jc w:val="center"/>
              <w:ind w:right="221"/>
              <w:spacing w:after="0"/>
              <w:rPr>
                <w:sz w:val="20"/>
                <w:szCs w:val="20"/>
                <w:color w:val="auto"/>
              </w:rPr>
            </w:pPr>
            <w:r>
              <w:rPr>
                <w:rFonts w:ascii="Arial" w:cs="Arial" w:eastAsia="Arial" w:hAnsi="Arial"/>
                <w:sz w:val="13"/>
                <w:szCs w:val="13"/>
                <w:b w:val="1"/>
                <w:bCs w:val="1"/>
                <w:color w:val="auto"/>
                <w:w w:val="95"/>
              </w:rPr>
              <w:t>(Commission File Number)</w:t>
            </w: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3020" w:type="dxa"/>
            <w:vAlign w:val="bottom"/>
          </w:tcPr>
          <w:p>
            <w:pPr>
              <w:jc w:val="center"/>
              <w:ind w:right="621"/>
              <w:spacing w:after="0"/>
              <w:rPr>
                <w:sz w:val="20"/>
                <w:szCs w:val="20"/>
                <w:color w:val="auto"/>
              </w:rPr>
            </w:pPr>
            <w:r>
              <w:rPr>
                <w:rFonts w:ascii="Arial" w:cs="Arial" w:eastAsia="Arial" w:hAnsi="Arial"/>
                <w:sz w:val="13"/>
                <w:szCs w:val="13"/>
                <w:b w:val="1"/>
                <w:bCs w:val="1"/>
                <w:color w:val="auto"/>
                <w:w w:val="96"/>
              </w:rPr>
              <w:t>of Incorporation)</w:t>
            </w:r>
          </w:p>
        </w:tc>
        <w:tc>
          <w:tcPr>
            <w:tcW w:w="3240" w:type="dxa"/>
            <w:vAlign w:val="bottom"/>
          </w:tcPr>
          <w:p>
            <w:pPr>
              <w:spacing w:after="0"/>
              <w:rPr>
                <w:sz w:val="15"/>
                <w:szCs w:val="15"/>
                <w:color w:val="auto"/>
              </w:rPr>
            </w:pP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Identification No.)</w:t>
            </w:r>
          </w:p>
        </w:tc>
      </w:tr>
      <w:tr>
        <w:trPr>
          <w:trHeight w:val="473"/>
        </w:trPr>
        <w:tc>
          <w:tcPr>
            <w:tcW w:w="3020" w:type="dxa"/>
            <w:vAlign w:val="bottom"/>
          </w:tcPr>
          <w:p>
            <w:pPr>
              <w:jc w:val="center"/>
              <w:ind w:right="601"/>
              <w:spacing w:after="0"/>
              <w:rPr>
                <w:sz w:val="20"/>
                <w:szCs w:val="20"/>
                <w:color w:val="auto"/>
              </w:rPr>
            </w:pPr>
            <w:r>
              <w:rPr>
                <w:rFonts w:ascii="Arial" w:cs="Arial" w:eastAsia="Arial" w:hAnsi="Arial"/>
                <w:sz w:val="18"/>
                <w:szCs w:val="18"/>
                <w:b w:val="1"/>
                <w:bCs w:val="1"/>
                <w:color w:val="auto"/>
                <w:w w:val="89"/>
              </w:rPr>
              <w:t>6116 Executive Blvd, Suite 800</w:t>
            </w:r>
          </w:p>
        </w:tc>
        <w:tc>
          <w:tcPr>
            <w:tcW w:w="32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43"/>
        </w:trPr>
        <w:tc>
          <w:tcPr>
            <w:tcW w:w="3020" w:type="dxa"/>
            <w:vAlign w:val="bottom"/>
          </w:tcPr>
          <w:p>
            <w:pPr>
              <w:jc w:val="center"/>
              <w:ind w:right="601"/>
              <w:spacing w:after="0"/>
              <w:rPr>
                <w:sz w:val="20"/>
                <w:szCs w:val="20"/>
                <w:color w:val="auto"/>
              </w:rPr>
            </w:pPr>
            <w:r>
              <w:rPr>
                <w:rFonts w:ascii="Arial" w:cs="Arial" w:eastAsia="Arial" w:hAnsi="Arial"/>
                <w:sz w:val="18"/>
                <w:szCs w:val="18"/>
                <w:b w:val="1"/>
                <w:bCs w:val="1"/>
                <w:color w:val="auto"/>
                <w:w w:val="92"/>
              </w:rPr>
              <w:t>North Bethesda, Maryland</w:t>
            </w:r>
          </w:p>
        </w:tc>
        <w:tc>
          <w:tcPr>
            <w:tcW w:w="3240" w:type="dxa"/>
            <w:vAlign w:val="bottom"/>
          </w:tcPr>
          <w:p>
            <w:pPr>
              <w:spacing w:after="0"/>
              <w:rPr>
                <w:sz w:val="21"/>
                <w:szCs w:val="21"/>
                <w:color w:val="auto"/>
              </w:rPr>
            </w:pPr>
          </w:p>
        </w:tc>
        <w:tc>
          <w:tcPr>
            <w:tcW w:w="2060" w:type="dxa"/>
            <w:vAlign w:val="bottom"/>
          </w:tcPr>
          <w:p>
            <w:pPr>
              <w:jc w:val="right"/>
              <w:ind w:right="224"/>
              <w:spacing w:after="0"/>
              <w:rPr>
                <w:sz w:val="20"/>
                <w:szCs w:val="20"/>
                <w:color w:val="auto"/>
              </w:rPr>
            </w:pPr>
            <w:r>
              <w:rPr>
                <w:rFonts w:ascii="Arial" w:cs="Arial" w:eastAsia="Arial" w:hAnsi="Arial"/>
                <w:sz w:val="18"/>
                <w:szCs w:val="18"/>
                <w:b w:val="1"/>
                <w:bCs w:val="1"/>
                <w:color w:val="auto"/>
              </w:rPr>
              <w:t>20852</w:t>
            </w:r>
          </w:p>
        </w:tc>
      </w:tr>
      <w:tr>
        <w:trPr>
          <w:trHeight w:val="188"/>
        </w:trPr>
        <w:tc>
          <w:tcPr>
            <w:tcW w:w="3020" w:type="dxa"/>
            <w:vAlign w:val="bottom"/>
          </w:tcPr>
          <w:p>
            <w:pPr>
              <w:jc w:val="center"/>
              <w:ind w:right="62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240" w:type="dxa"/>
            <w:vAlign w:val="bottom"/>
          </w:tcPr>
          <w:p>
            <w:pPr>
              <w:spacing w:after="0"/>
              <w:rPr>
                <w:sz w:val="16"/>
                <w:szCs w:val="16"/>
                <w:color w:val="auto"/>
              </w:rPr>
            </w:pP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(Zip Code)</w:t>
            </w:r>
          </w:p>
        </w:tc>
      </w:tr>
    </w:tbl>
    <w:p>
      <w:pPr>
        <w:spacing w:after="0" w:line="200" w:lineRule="exact"/>
        <w:rPr>
          <w:sz w:val="24"/>
          <w:szCs w:val="24"/>
          <w:color w:val="auto"/>
        </w:rPr>
      </w:pPr>
    </w:p>
    <w:p>
      <w:pPr>
        <w:spacing w:after="0" w:line="25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(240) 252-1138</w:t>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41"/>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14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40" w:type="dxa"/>
            <w:vAlign w:val="bottom"/>
          </w:tcPr>
          <w:p>
            <w:pPr>
              <w:jc w:val="center"/>
              <w:spacing w:after="0"/>
              <w:rPr>
                <w:sz w:val="20"/>
                <w:szCs w:val="20"/>
                <w:color w:val="auto"/>
              </w:rPr>
            </w:pPr>
            <w:r>
              <w:rPr>
                <w:rFonts w:ascii="Arial" w:cs="Arial" w:eastAsia="Arial" w:hAnsi="Arial"/>
                <w:sz w:val="18"/>
                <w:szCs w:val="18"/>
                <w:color w:val="auto"/>
                <w:w w:val="88"/>
              </w:rPr>
              <w:t>Class A common stock, par value $0.000001 per share</w:t>
            </w:r>
          </w:p>
        </w:tc>
        <w:tc>
          <w:tcPr>
            <w:tcW w:w="1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XMTR</w:t>
            </w:r>
          </w:p>
        </w:tc>
        <w:tc>
          <w:tcPr>
            <w:tcW w:w="14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Nasdaq Global Select Market</w:t>
            </w:r>
          </w:p>
        </w:tc>
      </w:tr>
    </w:tbl>
    <w:p>
      <w:pPr>
        <w:spacing w:after="0" w:line="21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33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August 9, 2023, Xometry, Inc. issued a press release announcing its financial results for the quarterly period ended June 30, 2023. A copy of the press release is furnished as Exhibit 99.1 to this report.</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information set forth under this Item 2.02 and in the accompanying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except as otherwise expressly stated in such filing.</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gridSpan w:val="3"/>
          </w:tcPr>
          <w:p>
            <w:pPr>
              <w:spacing w:after="0"/>
              <w:rPr>
                <w:sz w:val="20"/>
                <w:szCs w:val="20"/>
                <w:color w:val="auto"/>
              </w:rPr>
            </w:pPr>
            <w:r>
              <w:rPr>
                <w:rFonts w:ascii="Arial" w:cs="Arial" w:eastAsia="Arial" w:hAnsi="Arial"/>
                <w:sz w:val="18"/>
                <w:szCs w:val="18"/>
                <w:b w:val="1"/>
                <w:bCs w:val="1"/>
                <w:color w:val="auto"/>
                <w:w w:val="96"/>
              </w:rPr>
              <w:t>Item 9.01 Financial Statements and Exhibits.</w:t>
            </w:r>
          </w:p>
        </w:tc>
        <w:tc>
          <w:tcPr>
            <w:tcW w:w="2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365"/>
        </w:trPr>
        <w:tc>
          <w:tcPr>
            <w:tcW w:w="220" w:type="dxa"/>
            <w:vAlign w:val="bottom"/>
          </w:tcPr>
          <w:p>
            <w:pPr>
              <w:spacing w:after="0"/>
              <w:rPr>
                <w:sz w:val="24"/>
                <w:szCs w:val="24"/>
                <w:color w:val="auto"/>
              </w:rPr>
            </w:pPr>
          </w:p>
        </w:tc>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7560" w:type="dxa"/>
            <w:vAlign w:val="bottom"/>
            <w:gridSpan w:val="3"/>
          </w:tcPr>
          <w:p>
            <w:pPr>
              <w:ind w:left="220"/>
              <w:spacing w:after="0"/>
              <w:rPr>
                <w:sz w:val="20"/>
                <w:szCs w:val="20"/>
                <w:color w:val="auto"/>
              </w:rPr>
            </w:pPr>
            <w:r>
              <w:rPr>
                <w:rFonts w:ascii="Arial" w:cs="Arial" w:eastAsia="Arial" w:hAnsi="Arial"/>
                <w:sz w:val="18"/>
                <w:szCs w:val="18"/>
                <w:b w:val="1"/>
                <w:bCs w:val="1"/>
                <w:color w:val="auto"/>
              </w:rPr>
              <w:t>Description</w:t>
            </w:r>
          </w:p>
        </w:tc>
      </w:tr>
      <w:tr>
        <w:trPr>
          <w:trHeight w:val="203"/>
        </w:trPr>
        <w:tc>
          <w:tcPr>
            <w:tcW w:w="3680" w:type="dxa"/>
            <w:vAlign w:val="bottom"/>
            <w:gridSpan w:val="3"/>
          </w:tcPr>
          <w:p>
            <w:pPr>
              <w:ind w:left="200"/>
              <w:spacing w:after="0" w:line="202" w:lineRule="exact"/>
              <w:rPr>
                <w:sz w:val="20"/>
                <w:szCs w:val="20"/>
                <w:color w:val="auto"/>
              </w:rPr>
            </w:pPr>
            <w:r>
              <w:rPr>
                <w:rFonts w:ascii="Arial" w:cs="Arial" w:eastAsia="Arial" w:hAnsi="Arial"/>
                <w:sz w:val="18"/>
                <w:szCs w:val="18"/>
                <w:color w:val="0000FF"/>
              </w:rPr>
              <w:t>99.</w:t>
            </w:r>
            <w:r>
              <w:rPr>
                <w:rFonts w:ascii="Arial" w:cs="Arial" w:eastAsia="Arial" w:hAnsi="Arial"/>
                <w:sz w:val="18"/>
                <w:szCs w:val="18"/>
                <w:u w:val="single" w:color="auto"/>
                <w:color w:val="0000FF"/>
              </w:rPr>
              <w:t>1</w:t>
            </w:r>
          </w:p>
        </w:tc>
        <w:tc>
          <w:tcPr>
            <w:tcW w:w="7560" w:type="dxa"/>
            <w:vAlign w:val="bottom"/>
            <w:gridSpan w:val="3"/>
          </w:tcPr>
          <w:p>
            <w:pPr>
              <w:ind w:left="220"/>
              <w:spacing w:after="0" w:line="202" w:lineRule="exact"/>
              <w:rPr>
                <w:sz w:val="20"/>
                <w:szCs w:val="20"/>
                <w:color w:val="auto"/>
              </w:rPr>
            </w:pPr>
            <w:r>
              <w:rPr>
                <w:rFonts w:ascii="Arial" w:cs="Arial" w:eastAsia="Arial" w:hAnsi="Arial"/>
                <w:sz w:val="18"/>
                <w:szCs w:val="18"/>
                <w:color w:val="0000FF"/>
              </w:rPr>
              <w:t>Press Release of Xometry, Inc. issued on August 9, 2023.</w:t>
            </w: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63"/>
        </w:trPr>
        <w:tc>
          <w:tcPr>
            <w:tcW w:w="500" w:type="dxa"/>
            <w:vAlign w:val="bottom"/>
            <w:gridSpan w:val="2"/>
          </w:tcPr>
          <w:p>
            <w:pPr>
              <w:ind w:left="200"/>
              <w:spacing w:after="0"/>
              <w:rPr>
                <w:sz w:val="20"/>
                <w:szCs w:val="20"/>
                <w:color w:val="auto"/>
              </w:rPr>
            </w:pPr>
            <w:r>
              <w:rPr>
                <w:rFonts w:ascii="Arial" w:cs="Arial" w:eastAsia="Arial" w:hAnsi="Arial"/>
                <w:sz w:val="18"/>
                <w:szCs w:val="18"/>
                <w:color w:val="auto"/>
                <w:w w:val="93"/>
              </w:rPr>
              <w:t>104</w:t>
            </w:r>
          </w:p>
        </w:tc>
        <w:tc>
          <w:tcPr>
            <w:tcW w:w="3180" w:type="dxa"/>
            <w:vAlign w:val="bottom"/>
          </w:tcPr>
          <w:p>
            <w:pPr>
              <w:spacing w:after="0"/>
              <w:rPr>
                <w:sz w:val="22"/>
                <w:szCs w:val="22"/>
                <w:color w:val="auto"/>
              </w:rPr>
            </w:pPr>
          </w:p>
        </w:tc>
        <w:tc>
          <w:tcPr>
            <w:tcW w:w="7560" w:type="dxa"/>
            <w:vAlign w:val="bottom"/>
            <w:gridSpan w:val="3"/>
          </w:tcPr>
          <w:p>
            <w:pPr>
              <w:ind w:left="2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60"/>
        </w:trPr>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47"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XOMETRY, INC.</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700" w:val="left"/>
          <w:tab w:leader="none" w:pos="562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23495</wp:posOffset>
            </wp:positionV>
            <wp:extent cx="3266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Randolph Altschuler</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Xometry Reports Second Quarter 2023 Results</w:t>
      </w:r>
    </w:p>
    <w:p>
      <w:pPr>
        <w:spacing w:after="0" w:line="202" w:lineRule="exact"/>
        <w:rPr>
          <w:sz w:val="20"/>
          <w:szCs w:val="20"/>
          <w:color w:val="auto"/>
        </w:rPr>
      </w:pPr>
    </w:p>
    <w:p>
      <w:pPr>
        <w:ind w:left="1020" w:right="280" w:hanging="503"/>
        <w:spacing w:after="0" w:line="237" w:lineRule="auto"/>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color w:val="auto"/>
        </w:rPr>
        <w:t>Q2 revenue increased 16% year-over-year driven by strong marketplace growth of 24% year-over-year and 8% quarter-over-quarter. Supplier Services revenue impacted by approximately $1.7 million on a year-over-year basis driven by discontinuation of sales of supplies in the U.S. in Q2.</w:t>
      </w:r>
    </w:p>
    <w:p>
      <w:pPr>
        <w:spacing w:after="0" w:line="74" w:lineRule="exact"/>
        <w:rPr>
          <w:rFonts w:ascii="Arial" w:cs="Arial" w:eastAsia="Arial" w:hAnsi="Arial"/>
          <w:sz w:val="20"/>
          <w:szCs w:val="20"/>
          <w:color w:val="auto"/>
        </w:rPr>
      </w:pPr>
    </w:p>
    <w:p>
      <w:pPr>
        <w:ind w:left="1020" w:right="20" w:hanging="503"/>
        <w:spacing w:after="0" w:line="247" w:lineRule="auto"/>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color w:val="auto"/>
        </w:rPr>
        <w:t>Q2 gross profit up 16% year-over-year driven by 34% growth in marketplace gross profit. Marketplace gross profit up a robust 19% quarter-over-quarter.</w:t>
      </w:r>
    </w:p>
    <w:p>
      <w:pPr>
        <w:spacing w:after="0" w:line="66" w:lineRule="exact"/>
        <w:rPr>
          <w:rFonts w:ascii="Arial" w:cs="Arial" w:eastAsia="Arial" w:hAnsi="Arial"/>
          <w:sz w:val="20"/>
          <w:szCs w:val="20"/>
          <w:color w:val="auto"/>
        </w:rPr>
      </w:pPr>
    </w:p>
    <w:p>
      <w:pPr>
        <w:ind w:left="1020" w:right="100" w:hanging="503"/>
        <w:spacing w:after="0" w:line="247" w:lineRule="auto"/>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color w:val="auto"/>
        </w:rPr>
        <w:t>Q2 Adjusted EBITDA loss of $8.7 million, a $3.1 million quarter-over-quarter improvement driven by higher revenue, gross profit and improved operating leverage.</w:t>
      </w:r>
    </w:p>
    <w:p>
      <w:pPr>
        <w:spacing w:after="0" w:line="71" w:lineRule="exact"/>
        <w:rPr>
          <w:rFonts w:ascii="Arial" w:cs="Arial" w:eastAsia="Arial" w:hAnsi="Arial"/>
          <w:sz w:val="20"/>
          <w:szCs w:val="20"/>
          <w:color w:val="auto"/>
        </w:rPr>
      </w:pPr>
    </w:p>
    <w:p>
      <w:pPr>
        <w:jc w:val="both"/>
        <w:ind w:left="1020" w:right="120" w:hanging="503"/>
        <w:spacing w:after="0" w:line="252" w:lineRule="auto"/>
        <w:tabs>
          <w:tab w:leader="none" w:pos="1020" w:val="left"/>
        </w:tabs>
        <w:numPr>
          <w:ilvl w:val="0"/>
          <w:numId w:val="2"/>
        </w:numPr>
        <w:rPr>
          <w:rFonts w:ascii="Arial" w:cs="Arial" w:eastAsia="Arial" w:hAnsi="Arial"/>
          <w:sz w:val="21"/>
          <w:szCs w:val="21"/>
          <w:color w:val="1D1C1D"/>
        </w:rPr>
      </w:pPr>
      <w:r>
        <w:rPr>
          <w:rFonts w:ascii="Arial" w:cs="Arial" w:eastAsia="Arial" w:hAnsi="Arial"/>
          <w:sz w:val="21"/>
          <w:szCs w:val="21"/>
          <w:color w:val="1D1C1D"/>
        </w:rPr>
        <w:t>In Q2, we took further actions to reduce operating expenses with a 4% reduction in workforce on top of the 6% previously announced in Q1. Additionally, we consolidated office space, lowering office lease expense by $2.7 million on an annual basis.</w:t>
      </w:r>
    </w:p>
    <w:p>
      <w:pPr>
        <w:spacing w:after="0" w:line="71" w:lineRule="exact"/>
        <w:rPr>
          <w:rFonts w:ascii="Arial" w:cs="Arial" w:eastAsia="Arial" w:hAnsi="Arial"/>
          <w:sz w:val="21"/>
          <w:szCs w:val="21"/>
          <w:color w:val="1D1C1D"/>
        </w:rPr>
      </w:pPr>
    </w:p>
    <w:p>
      <w:pPr>
        <w:ind w:left="1020" w:hanging="503"/>
        <w:spacing w:after="0"/>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Expect Q3 revenue growth of 15%-17% year-over-year to $119-$121 million driven by strong marketplace growth.</w:t>
      </w:r>
    </w:p>
    <w:p>
      <w:pPr>
        <w:spacing w:after="0" w:line="107" w:lineRule="exact"/>
        <w:rPr>
          <w:rFonts w:ascii="Arial" w:cs="Arial" w:eastAsia="Arial" w:hAnsi="Arial"/>
          <w:sz w:val="20"/>
          <w:szCs w:val="20"/>
          <w:color w:val="auto"/>
        </w:rPr>
      </w:pPr>
    </w:p>
    <w:p>
      <w:pPr>
        <w:ind w:left="1020" w:right="200" w:hanging="503"/>
        <w:spacing w:after="0" w:line="237" w:lineRule="auto"/>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color w:val="auto"/>
        </w:rPr>
        <w:t>Continued positive results from our 5-point strategic plan with increasing focus on our top 200 accounts; rapidly expanding the marketplace menu; furthering international expansion and growth; driving adoption of new products, and driving operating leverage.</w:t>
      </w:r>
    </w:p>
    <w:p>
      <w:pPr>
        <w:spacing w:after="0" w:line="51"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b w:val="1"/>
          <w:bCs w:val="1"/>
          <w:color w:val="auto"/>
        </w:rPr>
        <w:t>NORTH BETHESDA, MD., August 9, 2023 /Globe Newswire/</w:t>
      </w:r>
      <w:r>
        <w:rPr>
          <w:rFonts w:ascii="Arial" w:cs="Arial" w:eastAsia="Arial" w:hAnsi="Arial"/>
          <w:sz w:val="20"/>
          <w:szCs w:val="20"/>
          <w:color w:val="auto"/>
        </w:rPr>
        <w:t>-- Xometry, Inc. (NASDAQ:XMTR), the global online marketplace</w:t>
      </w:r>
      <w:r>
        <w:rPr>
          <w:rFonts w:ascii="Arial" w:cs="Arial" w:eastAsia="Arial" w:hAnsi="Arial"/>
          <w:sz w:val="20"/>
          <w:szCs w:val="20"/>
          <w:b w:val="1"/>
          <w:bCs w:val="1"/>
          <w:color w:val="auto"/>
        </w:rPr>
        <w:t xml:space="preserve"> </w:t>
      </w:r>
      <w:r>
        <w:rPr>
          <w:rFonts w:ascii="Arial" w:cs="Arial" w:eastAsia="Arial" w:hAnsi="Arial"/>
          <w:sz w:val="20"/>
          <w:szCs w:val="20"/>
          <w:color w:val="auto"/>
        </w:rPr>
        <w:t>connecting enterprise buyers with suppliers of manufacturing services, today reported financial results for the second quarter ended June 30, 2023.</w:t>
      </w:r>
    </w:p>
    <w:p>
      <w:pPr>
        <w:spacing w:after="0" w:line="87" w:lineRule="exact"/>
        <w:rPr>
          <w:sz w:val="20"/>
          <w:szCs w:val="20"/>
          <w:color w:val="auto"/>
        </w:rPr>
      </w:pPr>
    </w:p>
    <w:p>
      <w:pPr>
        <w:ind w:right="100"/>
        <w:spacing w:after="0" w:line="231" w:lineRule="auto"/>
        <w:rPr>
          <w:sz w:val="20"/>
          <w:szCs w:val="20"/>
          <w:color w:val="auto"/>
        </w:rPr>
      </w:pPr>
      <w:r>
        <w:rPr>
          <w:rFonts w:ascii="Arial" w:cs="Arial" w:eastAsia="Arial" w:hAnsi="Arial"/>
          <w:sz w:val="20"/>
          <w:szCs w:val="20"/>
          <w:color w:val="auto"/>
        </w:rPr>
        <w:t>“In Q2 2023, Xometry delivered stronger-than-expected 24% marketplace growth year-over-year, delivered 19% growth in marketplace gross profit quarter-over-quarter and significantly improved operating leverage,” said Randy Altschuler, Xometry’s CEO. “Driven by Artificial Intelligence, the underpinnings of marketplace growth are robust with 44% active buyer growth and continued strong order growth. Xometry is empowering our customers to build parts that are critical components in next-generation industries from spacecraft and electric vehicles to medical devices and robotics. Our digital marketplace and suite of cloud-based solutions are enabling the long tail of the internet to finally reach the thousands of small- and medium-sized manufacturers in the United States and around the world. We expect to continue to rapidly gain market share fueling robust marketplace revenue growth in 2023 and continuing on our path to Adjusted EBITDA profitability in Q4 2023.”</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2023 Financial Highlights</w:t>
      </w:r>
    </w:p>
    <w:p>
      <w:pPr>
        <w:spacing w:after="0" w:line="104"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Total revenue for the second quarter 2023 was $111.0 million, an increase of 16% year-over-year.</w:t>
      </w:r>
    </w:p>
    <w:p>
      <w:pPr>
        <w:spacing w:after="0" w:line="107" w:lineRule="exact"/>
        <w:rPr>
          <w:rFonts w:ascii="Arial" w:cs="Arial" w:eastAsia="Arial" w:hAnsi="Arial"/>
          <w:sz w:val="20"/>
          <w:szCs w:val="20"/>
          <w:color w:val="auto"/>
        </w:rPr>
      </w:pPr>
    </w:p>
    <w:p>
      <w:pPr>
        <w:ind w:left="1020" w:hanging="503"/>
        <w:spacing w:after="0"/>
        <w:tabs>
          <w:tab w:leader="none" w:pos="1020" w:val="left"/>
        </w:tabs>
        <w:numPr>
          <w:ilvl w:val="0"/>
          <w:numId w:val="3"/>
        </w:numPr>
        <w:rPr>
          <w:rFonts w:ascii="Arial" w:cs="Arial" w:eastAsia="Arial" w:hAnsi="Arial"/>
          <w:sz w:val="20"/>
          <w:szCs w:val="20"/>
          <w:color w:val="auto"/>
        </w:rPr>
      </w:pPr>
      <w:r>
        <w:rPr>
          <w:rFonts w:ascii="Arial" w:cs="Arial" w:eastAsia="Arial" w:hAnsi="Arial"/>
          <w:sz w:val="20"/>
          <w:szCs w:val="20"/>
          <w:color w:val="auto"/>
        </w:rPr>
        <w:t>Marketplace revenue for the second quarter of 2023 was $93.5 million, an increase of 24% year-over-year.</w:t>
      </w:r>
    </w:p>
    <w:p>
      <w:pPr>
        <w:spacing w:after="0" w:line="107" w:lineRule="exact"/>
        <w:rPr>
          <w:rFonts w:ascii="Arial" w:cs="Arial" w:eastAsia="Arial" w:hAnsi="Arial"/>
          <w:sz w:val="20"/>
          <w:szCs w:val="20"/>
          <w:color w:val="auto"/>
        </w:rPr>
      </w:pPr>
    </w:p>
    <w:p>
      <w:pPr>
        <w:ind w:left="1020" w:right="560" w:hanging="503"/>
        <w:spacing w:after="0" w:line="273" w:lineRule="auto"/>
        <w:tabs>
          <w:tab w:leader="none" w:pos="1020" w:val="left"/>
        </w:tabs>
        <w:numPr>
          <w:ilvl w:val="0"/>
          <w:numId w:val="3"/>
        </w:numPr>
        <w:rPr>
          <w:rFonts w:ascii="Arial" w:cs="Arial" w:eastAsia="Arial" w:hAnsi="Arial"/>
          <w:sz w:val="19"/>
          <w:szCs w:val="19"/>
          <w:color w:val="auto"/>
        </w:rPr>
      </w:pPr>
      <w:r>
        <w:rPr>
          <w:rFonts w:ascii="Arial" w:cs="Arial" w:eastAsia="Arial" w:hAnsi="Arial"/>
          <w:sz w:val="19"/>
          <w:szCs w:val="19"/>
          <w:color w:val="auto"/>
        </w:rPr>
        <w:t>Supplier services revenue for the second quarter of 2023 was $17.5 million, a decrease of 13% year-over-year driven by the exit of the supplies business in the U.S. which reduced revenue by $1.7 million year-over-year.</w:t>
      </w:r>
    </w:p>
    <w:p>
      <w:pPr>
        <w:spacing w:after="0" w:line="42" w:lineRule="exact"/>
        <w:rPr>
          <w:rFonts w:ascii="Arial" w:cs="Arial" w:eastAsia="Arial" w:hAnsi="Arial"/>
          <w:sz w:val="19"/>
          <w:szCs w:val="19"/>
          <w:color w:val="auto"/>
        </w:rPr>
      </w:pPr>
    </w:p>
    <w:p>
      <w:pPr>
        <w:ind w:left="1020" w:hanging="503"/>
        <w:spacing w:after="0"/>
        <w:tabs>
          <w:tab w:leader="none" w:pos="10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Total gross profit for the second quarter 2023 was $43.6 million, an increase of 16% year-over-year.</w:t>
      </w:r>
    </w:p>
    <w:p>
      <w:pPr>
        <w:spacing w:after="0" w:line="107" w:lineRule="exact"/>
        <w:rPr>
          <w:rFonts w:ascii="Arial" w:cs="Arial" w:eastAsia="Arial" w:hAnsi="Arial"/>
          <w:sz w:val="20"/>
          <w:szCs w:val="20"/>
          <w:color w:val="auto"/>
        </w:rPr>
      </w:pPr>
    </w:p>
    <w:p>
      <w:pPr>
        <w:ind w:left="1020" w:hanging="503"/>
        <w:spacing w:after="0"/>
        <w:tabs>
          <w:tab w:leader="none" w:pos="1020" w:val="left"/>
        </w:tabs>
        <w:numPr>
          <w:ilvl w:val="0"/>
          <w:numId w:val="3"/>
        </w:numPr>
        <w:rPr>
          <w:rFonts w:ascii="Arial" w:cs="Arial" w:eastAsia="Arial" w:hAnsi="Arial"/>
          <w:sz w:val="20"/>
          <w:szCs w:val="20"/>
          <w:color w:val="auto"/>
        </w:rPr>
      </w:pPr>
      <w:r>
        <w:rPr>
          <w:rFonts w:ascii="Arial" w:cs="Arial" w:eastAsia="Arial" w:hAnsi="Arial"/>
          <w:sz w:val="20"/>
          <w:szCs w:val="20"/>
          <w:color w:val="auto"/>
        </w:rPr>
        <w:t>Marketplace Active Buyers increased 44% from 33,491 as of June 30, 2022 to 48,294 as of June 30, 2023.</w:t>
      </w:r>
    </w:p>
    <w:p>
      <w:pPr>
        <w:spacing w:after="0" w:line="107" w:lineRule="exact"/>
        <w:rPr>
          <w:rFonts w:ascii="Arial" w:cs="Arial" w:eastAsia="Arial" w:hAnsi="Arial"/>
          <w:sz w:val="20"/>
          <w:szCs w:val="20"/>
          <w:color w:val="auto"/>
        </w:rPr>
      </w:pPr>
    </w:p>
    <w:p>
      <w:pPr>
        <w:ind w:left="1020" w:right="260" w:hanging="503"/>
        <w:spacing w:after="0" w:line="247" w:lineRule="auto"/>
        <w:tabs>
          <w:tab w:leader="none" w:pos="1020" w:val="left"/>
        </w:tabs>
        <w:numPr>
          <w:ilvl w:val="0"/>
          <w:numId w:val="3"/>
        </w:numPr>
        <w:rPr>
          <w:rFonts w:ascii="Arial" w:cs="Arial" w:eastAsia="Arial" w:hAnsi="Arial"/>
          <w:sz w:val="20"/>
          <w:szCs w:val="20"/>
          <w:color w:val="auto"/>
        </w:rPr>
      </w:pPr>
      <w:r>
        <w:rPr>
          <w:rFonts w:ascii="Arial" w:cs="Arial" w:eastAsia="Arial" w:hAnsi="Arial"/>
          <w:sz w:val="20"/>
          <w:szCs w:val="20"/>
          <w:color w:val="auto"/>
        </w:rPr>
        <w:t>Marketplace Accounts with Last Twelve-Months Spend of at least $50,000 increased 30% from 894 as of June 30, 2022, to 1,159 as of June 30, 2023.</w:t>
      </w:r>
    </w:p>
    <w:p>
      <w:pPr>
        <w:spacing w:after="0" w:line="66" w:lineRule="exact"/>
        <w:rPr>
          <w:rFonts w:ascii="Arial" w:cs="Arial" w:eastAsia="Arial" w:hAnsi="Arial"/>
          <w:sz w:val="20"/>
          <w:szCs w:val="20"/>
          <w:color w:val="auto"/>
        </w:rPr>
      </w:pPr>
    </w:p>
    <w:p>
      <w:pPr>
        <w:ind w:left="1020" w:hanging="503"/>
        <w:spacing w:after="0"/>
        <w:tabs>
          <w:tab w:leader="none" w:pos="1020" w:val="left"/>
        </w:tabs>
        <w:numPr>
          <w:ilvl w:val="0"/>
          <w:numId w:val="3"/>
        </w:numPr>
        <w:rPr>
          <w:rFonts w:ascii="Arial" w:cs="Arial" w:eastAsia="Arial" w:hAnsi="Arial"/>
          <w:sz w:val="20"/>
          <w:szCs w:val="20"/>
          <w:color w:val="auto"/>
        </w:rPr>
      </w:pPr>
      <w:r>
        <w:rPr>
          <w:rFonts w:ascii="Arial" w:cs="Arial" w:eastAsia="Arial" w:hAnsi="Arial"/>
          <w:sz w:val="20"/>
          <w:szCs w:val="20"/>
          <w:color w:val="auto"/>
        </w:rPr>
        <w:t>Marketplace Percentage of Revenue from Existing Accounts was 96%.</w:t>
      </w:r>
    </w:p>
    <w:p>
      <w:pPr>
        <w:spacing w:after="0" w:line="107" w:lineRule="exact"/>
        <w:rPr>
          <w:rFonts w:ascii="Arial" w:cs="Arial" w:eastAsia="Arial" w:hAnsi="Arial"/>
          <w:sz w:val="20"/>
          <w:szCs w:val="20"/>
          <w:color w:val="auto"/>
        </w:rPr>
      </w:pPr>
    </w:p>
    <w:p>
      <w:pPr>
        <w:ind w:left="1020" w:hanging="503"/>
        <w:spacing w:after="0"/>
        <w:tabs>
          <w:tab w:leader="none" w:pos="1020" w:val="left"/>
        </w:tabs>
        <w:numPr>
          <w:ilvl w:val="0"/>
          <w:numId w:val="3"/>
        </w:numPr>
        <w:rPr>
          <w:rFonts w:ascii="Arial" w:cs="Arial" w:eastAsia="Arial" w:hAnsi="Arial"/>
          <w:sz w:val="20"/>
          <w:szCs w:val="20"/>
          <w:color w:val="auto"/>
        </w:rPr>
      </w:pPr>
      <w:r>
        <w:rPr>
          <w:rFonts w:ascii="Arial" w:cs="Arial" w:eastAsia="Arial" w:hAnsi="Arial"/>
          <w:sz w:val="20"/>
          <w:szCs w:val="20"/>
          <w:color w:val="auto"/>
        </w:rPr>
        <w:t>Active Paying Suppliers increased 5% from 7,202 as of June 30, 2022 to 7,553 as of June 30, 2023.</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left="1020" w:right="280" w:hanging="503"/>
        <w:spacing w:after="0" w:line="234" w:lineRule="auto"/>
        <w:tabs>
          <w:tab w:leader="none" w:pos="1020" w:val="left"/>
        </w:tabs>
        <w:numPr>
          <w:ilvl w:val="0"/>
          <w:numId w:val="4"/>
        </w:numPr>
        <w:rPr>
          <w:rFonts w:ascii="Arial" w:cs="Arial" w:eastAsia="Arial" w:hAnsi="Arial"/>
          <w:sz w:val="20"/>
          <w:szCs w:val="20"/>
          <w:color w:val="auto"/>
        </w:rPr>
      </w:pPr>
      <w:r>
        <w:rPr>
          <w:rFonts w:ascii="Arial" w:cs="Arial" w:eastAsia="Arial" w:hAnsi="Arial"/>
          <w:sz w:val="20"/>
          <w:szCs w:val="20"/>
          <w:color w:val="auto"/>
        </w:rPr>
        <w:t>Net loss attributable to common stockholders was $26.6 million for the quarter, an increase of $10.0 million year-over-year. Net loss for Q2 2023 included $5.8 million of stock-based compensation, $8.8 million of lease abandonment and termination costs and $0.7 million of restructuring costs related to a reduction in force and $0.6 million associated with our exit from the supplies business.</w:t>
      </w:r>
    </w:p>
    <w:p>
      <w:pPr>
        <w:spacing w:after="0" w:line="75" w:lineRule="exact"/>
        <w:rPr>
          <w:rFonts w:ascii="Arial" w:cs="Arial" w:eastAsia="Arial" w:hAnsi="Arial"/>
          <w:sz w:val="20"/>
          <w:szCs w:val="20"/>
          <w:color w:val="auto"/>
        </w:rPr>
      </w:pPr>
    </w:p>
    <w:p>
      <w:pPr>
        <w:ind w:left="1080" w:hanging="563"/>
        <w:spacing w:after="0"/>
        <w:tabs>
          <w:tab w:leader="none" w:pos="10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Adjusted EBITDA was negative $8.7 million for the quarter, reflecting an increase of $0.4 million year-over-year.</w:t>
      </w:r>
    </w:p>
    <w:p>
      <w:pPr>
        <w:spacing w:after="0" w:line="107" w:lineRule="exact"/>
        <w:rPr>
          <w:rFonts w:ascii="Arial" w:cs="Arial" w:eastAsia="Arial" w:hAnsi="Arial"/>
          <w:sz w:val="20"/>
          <w:szCs w:val="20"/>
          <w:color w:val="auto"/>
        </w:rPr>
      </w:pPr>
    </w:p>
    <w:p>
      <w:pPr>
        <w:ind w:left="1020" w:hanging="503"/>
        <w:spacing w:after="0"/>
        <w:tabs>
          <w:tab w:leader="none" w:pos="1020" w:val="left"/>
        </w:tabs>
        <w:numPr>
          <w:ilvl w:val="0"/>
          <w:numId w:val="4"/>
        </w:numPr>
        <w:rPr>
          <w:rFonts w:ascii="Arial" w:cs="Arial" w:eastAsia="Arial" w:hAnsi="Arial"/>
          <w:sz w:val="20"/>
          <w:szCs w:val="20"/>
          <w:color w:val="auto"/>
        </w:rPr>
      </w:pPr>
      <w:r>
        <w:rPr>
          <w:rFonts w:ascii="Arial" w:cs="Arial" w:eastAsia="Arial" w:hAnsi="Arial"/>
          <w:sz w:val="20"/>
          <w:szCs w:val="20"/>
          <w:color w:val="auto"/>
        </w:rPr>
        <w:t>Cash, cash equivalents and marketable securities were $286.1 million as of June 30, 2023.</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2023 Business Highlights</w:t>
      </w:r>
    </w:p>
    <w:p>
      <w:pPr>
        <w:spacing w:after="0" w:line="104" w:lineRule="exact"/>
        <w:rPr>
          <w:sz w:val="20"/>
          <w:szCs w:val="20"/>
          <w:color w:val="auto"/>
        </w:rPr>
      </w:pPr>
    </w:p>
    <w:p>
      <w:pPr>
        <w:jc w:val="both"/>
        <w:ind w:left="1020" w:right="180" w:hanging="503"/>
        <w:spacing w:after="0" w:line="234" w:lineRule="auto"/>
        <w:tabs>
          <w:tab w:leader="none" w:pos="1020" w:val="left"/>
        </w:tabs>
        <w:numPr>
          <w:ilvl w:val="0"/>
          <w:numId w:val="5"/>
        </w:numPr>
        <w:rPr>
          <w:rFonts w:ascii="Arial" w:cs="Arial" w:eastAsia="Arial" w:hAnsi="Arial"/>
          <w:sz w:val="20"/>
          <w:szCs w:val="20"/>
          <w:color w:val="auto"/>
        </w:rPr>
      </w:pPr>
      <w:r>
        <w:rPr>
          <w:rFonts w:ascii="Arial" w:cs="Arial" w:eastAsia="Arial" w:hAnsi="Arial"/>
          <w:sz w:val="20"/>
          <w:szCs w:val="20"/>
          <w:color w:val="auto"/>
        </w:rPr>
        <w:t>Expanded AI-powered Xometry Instant Quoting Engine to include instant-quoting of inserts, multi-part assemblies, and expanded sheet-cutting processes. The enhanced features allow buyers to instantly get pricing and lead times on CNC, sheet metal and sheet-cut parts with standard inserts while also analyzing multi-party assemblies, further accelerating Xometry’s assembly production work.</w:t>
      </w:r>
    </w:p>
    <w:p>
      <w:pPr>
        <w:spacing w:after="0" w:line="75" w:lineRule="exact"/>
        <w:rPr>
          <w:rFonts w:ascii="Arial" w:cs="Arial" w:eastAsia="Arial" w:hAnsi="Arial"/>
          <w:sz w:val="20"/>
          <w:szCs w:val="20"/>
          <w:color w:val="auto"/>
        </w:rPr>
      </w:pPr>
    </w:p>
    <w:p>
      <w:pPr>
        <w:ind w:left="1020" w:hanging="503"/>
        <w:spacing w:after="0" w:line="273" w:lineRule="auto"/>
        <w:tabs>
          <w:tab w:leader="none" w:pos="1020" w:val="left"/>
        </w:tabs>
        <w:numPr>
          <w:ilvl w:val="0"/>
          <w:numId w:val="5"/>
        </w:numPr>
        <w:rPr>
          <w:rFonts w:ascii="Arial" w:cs="Arial" w:eastAsia="Arial" w:hAnsi="Arial"/>
          <w:sz w:val="19"/>
          <w:szCs w:val="19"/>
          <w:color w:val="auto"/>
        </w:rPr>
      </w:pPr>
      <w:r>
        <w:rPr>
          <w:rFonts w:ascii="Arial" w:cs="Arial" w:eastAsia="Arial" w:hAnsi="Arial"/>
          <w:sz w:val="19"/>
          <w:szCs w:val="19"/>
          <w:color w:val="auto"/>
        </w:rPr>
        <w:t>Introduced expanded sheet-cutting options to include a wider array of metal, composite and rubber materials. Xometry’s sheet-cutting service can cut a variety of materials using the latest laser and waterjet-cutting technologies.</w:t>
      </w:r>
    </w:p>
    <w:p>
      <w:pPr>
        <w:spacing w:after="0" w:line="42" w:lineRule="exact"/>
        <w:rPr>
          <w:rFonts w:ascii="Arial" w:cs="Arial" w:eastAsia="Arial" w:hAnsi="Arial"/>
          <w:sz w:val="19"/>
          <w:szCs w:val="19"/>
          <w:color w:val="auto"/>
        </w:rPr>
      </w:pPr>
    </w:p>
    <w:p>
      <w:pPr>
        <w:ind w:left="1020" w:hanging="503"/>
        <w:spacing w:after="0"/>
        <w:tabs>
          <w:tab w:leader="none" w:pos="1020" w:val="left"/>
        </w:tabs>
        <w:numPr>
          <w:ilvl w:val="0"/>
          <w:numId w:val="5"/>
        </w:numPr>
        <w:rPr>
          <w:rFonts w:ascii="Arial" w:cs="Arial" w:eastAsia="Arial" w:hAnsi="Arial"/>
          <w:sz w:val="19"/>
          <w:szCs w:val="19"/>
          <w:color w:val="auto"/>
        </w:rPr>
      </w:pPr>
      <w:r>
        <w:rPr>
          <w:rFonts w:ascii="Arial" w:cs="Arial" w:eastAsia="Arial" w:hAnsi="Arial"/>
          <w:sz w:val="19"/>
          <w:szCs w:val="19"/>
          <w:color w:val="auto"/>
        </w:rPr>
        <w:t>Expanded Thomas Market Services (TMS) self-serve offering to include bundles with advertising and video services.</w:t>
      </w:r>
    </w:p>
    <w:p>
      <w:pPr>
        <w:spacing w:after="0" w:line="119" w:lineRule="exact"/>
        <w:rPr>
          <w:rFonts w:ascii="Arial" w:cs="Arial" w:eastAsia="Arial" w:hAnsi="Arial"/>
          <w:sz w:val="19"/>
          <w:szCs w:val="19"/>
          <w:color w:val="auto"/>
        </w:rPr>
      </w:pPr>
    </w:p>
    <w:p>
      <w:pPr>
        <w:ind w:left="1020" w:right="20" w:hanging="503"/>
        <w:spacing w:after="0" w:line="234" w:lineRule="auto"/>
        <w:tabs>
          <w:tab w:leader="none" w:pos="1020" w:val="left"/>
        </w:tabs>
        <w:numPr>
          <w:ilvl w:val="0"/>
          <w:numId w:val="5"/>
        </w:numPr>
        <w:rPr>
          <w:rFonts w:ascii="Arial" w:cs="Arial" w:eastAsia="Arial" w:hAnsi="Arial"/>
          <w:sz w:val="20"/>
          <w:szCs w:val="20"/>
          <w:color w:val="auto"/>
        </w:rPr>
      </w:pPr>
      <w:r>
        <w:rPr>
          <w:rFonts w:ascii="Arial" w:cs="Arial" w:eastAsia="Arial" w:hAnsi="Arial"/>
          <w:sz w:val="20"/>
          <w:szCs w:val="20"/>
          <w:color w:val="auto"/>
        </w:rPr>
        <w:t>Launched Instant Quoting for Alibaba Group’s 1688.com On-Demand Manufacturing Services through Xometry Asia. The collaboration gives buyers in China the ability to receive instant quotes and lead times from Chinese suppliers, data that is fueled by Xometry’s AI-powered Instant Quoting Engine. Xometry is the only partner specialized in the structural parts on 1688.com that will provide real-time pricing and lead times.</w:t>
      </w:r>
    </w:p>
    <w:p>
      <w:pPr>
        <w:spacing w:after="0" w:line="75" w:lineRule="exact"/>
        <w:rPr>
          <w:rFonts w:ascii="Arial" w:cs="Arial" w:eastAsia="Arial" w:hAnsi="Arial"/>
          <w:sz w:val="20"/>
          <w:szCs w:val="20"/>
          <w:color w:val="auto"/>
        </w:rPr>
      </w:pPr>
    </w:p>
    <w:p>
      <w:pPr>
        <w:ind w:left="1020" w:hanging="503"/>
        <w:spacing w:after="0" w:line="234" w:lineRule="auto"/>
        <w:tabs>
          <w:tab w:leader="none" w:pos="1020" w:val="left"/>
        </w:tabs>
        <w:numPr>
          <w:ilvl w:val="0"/>
          <w:numId w:val="5"/>
        </w:numPr>
        <w:rPr>
          <w:rFonts w:ascii="Arial" w:cs="Arial" w:eastAsia="Arial" w:hAnsi="Arial"/>
          <w:sz w:val="20"/>
          <w:szCs w:val="20"/>
          <w:color w:val="auto"/>
        </w:rPr>
      </w:pPr>
      <w:r>
        <w:rPr>
          <w:rFonts w:ascii="Arial" w:cs="Arial" w:eastAsia="Arial" w:hAnsi="Arial"/>
          <w:sz w:val="20"/>
          <w:szCs w:val="20"/>
          <w:color w:val="auto"/>
        </w:rPr>
        <w:t>Expanded the Xometry platform to include team functionality. This new dashboard allows teams of engineers and procurement professionals within an organization to collaborate and manage manufacturing supply chain projects on Xometry’s marketplace. It provides a suite of tools that enables customers to increase productivity and efficiency by providing real time order status and other data across the organization. The product is in limited beta release.</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6" w:right="35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20"/>
          <w:szCs w:val="20"/>
          <w:b w:val="1"/>
          <w:bCs w:val="1"/>
          <w:color w:val="auto"/>
        </w:rPr>
        <w:t>Financial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20"/>
          <w:szCs w:val="20"/>
          <w:b w:val="1"/>
          <w:bCs w:val="1"/>
          <w:color w:val="auto"/>
        </w:rPr>
        <w:t>(In thousands, except per share amounts)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For the Three Months</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9"/>
              </w:rPr>
              <w:t>For the Six Months</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Ended June 30,</w:t>
            </w:r>
          </w:p>
        </w:tc>
        <w:tc>
          <w:tcPr>
            <w:tcW w:w="114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Change</w:t>
            </w:r>
          </w:p>
        </w:tc>
        <w:tc>
          <w:tcPr>
            <w:tcW w:w="260" w:type="dxa"/>
            <w:vAlign w:val="bottom"/>
            <w:vMerge w:val="restart"/>
          </w:tcPr>
          <w:p>
            <w:pPr>
              <w:spacing w:after="0"/>
              <w:rPr>
                <w:sz w:val="20"/>
                <w:szCs w:val="20"/>
                <w:color w:val="auto"/>
              </w:rPr>
            </w:pPr>
          </w:p>
        </w:tc>
        <w:tc>
          <w:tcPr>
            <w:tcW w:w="200" w:type="dxa"/>
            <w:vAlign w:val="bottom"/>
          </w:tcPr>
          <w:p>
            <w:pPr>
              <w:spacing w:after="0"/>
              <w:rPr>
                <w:sz w:val="20"/>
                <w:szCs w:val="20"/>
                <w:color w:val="auto"/>
              </w:rPr>
            </w:pPr>
          </w:p>
        </w:tc>
        <w:tc>
          <w:tcPr>
            <w:tcW w:w="23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9"/>
              </w:rPr>
              <w:t>Ended June 30,</w:t>
            </w: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 Change</w:t>
            </w:r>
          </w:p>
        </w:tc>
        <w:tc>
          <w:tcPr>
            <w:tcW w:w="240" w:type="dxa"/>
            <w:vAlign w:val="bottom"/>
            <w:gridSpan w:val="2"/>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(unaudited)</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9"/>
              </w:rPr>
              <w:t>(unaudited)</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Consolidated</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111,008</w:t>
            </w:r>
          </w:p>
        </w:tc>
        <w:tc>
          <w:tcPr>
            <w:tcW w:w="2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95,615</w:t>
            </w:r>
          </w:p>
        </w:tc>
        <w:tc>
          <w:tcPr>
            <w:tcW w:w="240" w:type="dxa"/>
            <w:vAlign w:val="bottom"/>
          </w:tcPr>
          <w:p>
            <w:pPr>
              <w:spacing w:after="0"/>
              <w:rPr>
                <w:sz w:val="19"/>
                <w:szCs w:val="19"/>
                <w:color w:val="auto"/>
              </w:rPr>
            </w:pPr>
          </w:p>
        </w:tc>
        <w:tc>
          <w:tcPr>
            <w:tcW w:w="1600" w:type="dxa"/>
            <w:vAlign w:val="bottom"/>
            <w:gridSpan w:val="3"/>
          </w:tcPr>
          <w:p>
            <w:pPr>
              <w:jc w:val="right"/>
              <w:ind w:right="80"/>
              <w:spacing w:after="0"/>
              <w:rPr>
                <w:sz w:val="20"/>
                <w:szCs w:val="20"/>
                <w:color w:val="auto"/>
              </w:rPr>
            </w:pPr>
            <w:r>
              <w:rPr>
                <w:rFonts w:ascii="Arial" w:cs="Arial" w:eastAsia="Arial" w:hAnsi="Arial"/>
                <w:sz w:val="18"/>
                <w:szCs w:val="18"/>
                <w:color w:val="auto"/>
              </w:rPr>
              <w:t>16 % $</w:t>
            </w:r>
          </w:p>
        </w:tc>
        <w:tc>
          <w:tcPr>
            <w:tcW w:w="740" w:type="dxa"/>
            <w:vAlign w:val="bottom"/>
          </w:tcPr>
          <w:p>
            <w:pPr>
              <w:jc w:val="right"/>
              <w:spacing w:after="0"/>
              <w:rPr>
                <w:sz w:val="20"/>
                <w:szCs w:val="20"/>
                <w:color w:val="auto"/>
              </w:rPr>
            </w:pPr>
            <w:r>
              <w:rPr>
                <w:rFonts w:ascii="Arial" w:cs="Arial" w:eastAsia="Arial" w:hAnsi="Arial"/>
                <w:sz w:val="18"/>
                <w:szCs w:val="18"/>
                <w:color w:val="auto"/>
              </w:rPr>
              <w:t>216,334</w:t>
            </w:r>
          </w:p>
        </w:tc>
        <w:tc>
          <w:tcPr>
            <w:tcW w:w="2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179,286</w:t>
            </w:r>
          </w:p>
        </w:tc>
        <w:tc>
          <w:tcPr>
            <w:tcW w:w="260" w:type="dxa"/>
            <w:vAlign w:val="bottom"/>
          </w:tcPr>
          <w:p>
            <w:pPr>
              <w:spacing w:after="0"/>
              <w:rPr>
                <w:sz w:val="19"/>
                <w:szCs w:val="19"/>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43,556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37,696</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16 %</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82,925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70,635</w:t>
            </w: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line="203" w:lineRule="exact"/>
              <w:rPr>
                <w:sz w:val="20"/>
                <w:szCs w:val="20"/>
                <w:color w:val="auto"/>
              </w:rPr>
            </w:pPr>
            <w:r>
              <w:rPr>
                <w:rFonts w:ascii="Arial" w:cs="Arial" w:eastAsia="Arial" w:hAnsi="Arial"/>
                <w:sz w:val="18"/>
                <w:szCs w:val="18"/>
                <w:color w:val="auto"/>
              </w:rPr>
              <w:t>Net loss attributable to common</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stockholders</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(26,554 )</w:t>
            </w: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(16,553 )</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(60 )%</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(44,898 )</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(36,565 )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line="203" w:lineRule="exact"/>
              <w:rPr>
                <w:sz w:val="20"/>
                <w:szCs w:val="20"/>
                <w:color w:val="auto"/>
              </w:rPr>
            </w:pPr>
            <w:r>
              <w:rPr>
                <w:rFonts w:ascii="Arial" w:cs="Arial" w:eastAsia="Arial" w:hAnsi="Arial"/>
                <w:sz w:val="18"/>
                <w:szCs w:val="18"/>
                <w:color w:val="auto"/>
              </w:rPr>
              <w:t>EPS, basic and diluted, of Class A and</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60" w:type="dxa"/>
            <w:vAlign w:val="bottom"/>
          </w:tcPr>
          <w:p>
            <w:pPr>
              <w:ind w:left="20"/>
              <w:spacing w:after="0"/>
              <w:rPr>
                <w:sz w:val="20"/>
                <w:szCs w:val="20"/>
                <w:color w:val="auto"/>
              </w:rPr>
            </w:pPr>
            <w:r>
              <w:rPr>
                <w:rFonts w:ascii="Arial" w:cs="Arial" w:eastAsia="Arial" w:hAnsi="Arial"/>
                <w:sz w:val="18"/>
                <w:szCs w:val="18"/>
                <w:color w:val="auto"/>
              </w:rPr>
              <w:t>Class B common stock</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(0.55 )</w:t>
            </w:r>
          </w:p>
        </w:tc>
        <w:tc>
          <w:tcPr>
            <w:tcW w:w="22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(0.35 )</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(57 )%</w:t>
            </w:r>
          </w:p>
        </w:tc>
        <w:tc>
          <w:tcPr>
            <w:tcW w:w="2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(0.94 )</w:t>
            </w:r>
          </w:p>
        </w:tc>
        <w:tc>
          <w:tcPr>
            <w:tcW w:w="22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(0.78 )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52"/>
        </w:trPr>
        <w:tc>
          <w:tcPr>
            <w:tcW w:w="3560" w:type="dxa"/>
            <w:vAlign w:val="bottom"/>
          </w:tcPr>
          <w:p>
            <w:pPr>
              <w:ind w:left="20"/>
              <w:spacing w:after="0" w:line="252" w:lineRule="exact"/>
              <w:rPr>
                <w:sz w:val="20"/>
                <w:szCs w:val="20"/>
                <w:color w:val="auto"/>
              </w:rPr>
            </w:pPr>
            <w:r>
              <w:rPr>
                <w:rFonts w:ascii="Arial" w:cs="Arial" w:eastAsia="Arial" w:hAnsi="Arial"/>
                <w:sz w:val="18"/>
                <w:szCs w:val="18"/>
                <w:color w:val="auto"/>
              </w:rPr>
              <w:t>Adjusted EBITDA</w:t>
            </w:r>
            <w:r>
              <w:rPr>
                <w:rFonts w:ascii="Arial" w:cs="Arial" w:eastAsia="Arial" w:hAnsi="Arial"/>
                <w:sz w:val="24"/>
                <w:szCs w:val="24"/>
                <w:color w:val="auto"/>
                <w:vertAlign w:val="superscript"/>
              </w:rPr>
              <w:t>(1)</w:t>
            </w:r>
          </w:p>
        </w:tc>
        <w:tc>
          <w:tcPr>
            <w:tcW w:w="1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(8,658 )</w:t>
            </w:r>
          </w:p>
        </w:tc>
        <w:tc>
          <w:tcPr>
            <w:tcW w:w="22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(8,300 )</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(4 )%</w:t>
            </w:r>
          </w:p>
        </w:tc>
        <w:tc>
          <w:tcPr>
            <w:tcW w:w="20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(20,425 )</w:t>
            </w:r>
          </w:p>
        </w:tc>
        <w:tc>
          <w:tcPr>
            <w:tcW w:w="2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(21,026 )</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9"/>
        </w:trPr>
        <w:tc>
          <w:tcPr>
            <w:tcW w:w="3560" w:type="dxa"/>
            <w:vAlign w:val="bottom"/>
            <w:shd w:val="clear" w:color="auto" w:fill="CFF0FC"/>
          </w:tcPr>
          <w:p>
            <w:pPr>
              <w:ind w:left="20"/>
              <w:spacing w:after="0" w:line="229" w:lineRule="exact"/>
              <w:rPr>
                <w:sz w:val="20"/>
                <w:szCs w:val="20"/>
                <w:color w:val="auto"/>
              </w:rPr>
            </w:pPr>
            <w:r>
              <w:rPr>
                <w:rFonts w:ascii="Arial" w:cs="Arial" w:eastAsia="Arial" w:hAnsi="Arial"/>
                <w:sz w:val="18"/>
                <w:szCs w:val="18"/>
                <w:color w:val="auto"/>
              </w:rPr>
              <w:t>Non-GAAP net loss</w:t>
            </w:r>
            <w:r>
              <w:rPr>
                <w:rFonts w:ascii="Arial" w:cs="Arial" w:eastAsia="Arial" w:hAnsi="Arial"/>
                <w:sz w:val="24"/>
                <w:szCs w:val="24"/>
                <w:color w:val="auto"/>
                <w:vertAlign w:val="superscript"/>
              </w:rPr>
              <w:t>(1)</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(6,627 )</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(8,447 )</w:t>
            </w: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22 %</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(16,393 )</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(20,974 )</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line="203" w:lineRule="exact"/>
              <w:rPr>
                <w:sz w:val="20"/>
                <w:szCs w:val="20"/>
                <w:color w:val="auto"/>
              </w:rPr>
            </w:pPr>
            <w:r>
              <w:rPr>
                <w:rFonts w:ascii="Arial" w:cs="Arial" w:eastAsia="Arial" w:hAnsi="Arial"/>
                <w:sz w:val="17"/>
                <w:szCs w:val="17"/>
                <w:color w:val="auto"/>
              </w:rPr>
              <w:t>Non-GAAP EPS, basic and diluted</w:t>
            </w:r>
            <w:r>
              <w:rPr>
                <w:rFonts w:ascii="Arial" w:cs="Arial" w:eastAsia="Arial" w:hAnsi="Arial"/>
                <w:sz w:val="23"/>
                <w:szCs w:val="23"/>
                <w:color w:val="auto"/>
                <w:vertAlign w:val="superscript"/>
              </w:rPr>
              <w:t>(1)</w:t>
            </w:r>
            <w:r>
              <w:rPr>
                <w:rFonts w:ascii="Arial" w:cs="Arial" w:eastAsia="Arial" w:hAnsi="Arial"/>
                <w:sz w:val="17"/>
                <w:szCs w:val="17"/>
                <w:color w:val="auto"/>
              </w:rPr>
              <w:t>, of</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Class A and Class B common stock</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(0.14 )</w:t>
            </w: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(0.18 )</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22 %</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(0.34 )</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(0.45 )</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29"/>
        </w:trPr>
        <w:tc>
          <w:tcPr>
            <w:tcW w:w="3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Marketplace</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93,511</w:t>
            </w:r>
          </w:p>
        </w:tc>
        <w:tc>
          <w:tcPr>
            <w:tcW w:w="2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75,598</w:t>
            </w:r>
          </w:p>
        </w:tc>
        <w:tc>
          <w:tcPr>
            <w:tcW w:w="240" w:type="dxa"/>
            <w:vAlign w:val="bottom"/>
          </w:tcPr>
          <w:p>
            <w:pPr>
              <w:spacing w:after="0"/>
              <w:rPr>
                <w:sz w:val="19"/>
                <w:szCs w:val="19"/>
                <w:color w:val="auto"/>
              </w:rPr>
            </w:pPr>
          </w:p>
        </w:tc>
        <w:tc>
          <w:tcPr>
            <w:tcW w:w="1600" w:type="dxa"/>
            <w:vAlign w:val="bottom"/>
            <w:gridSpan w:val="3"/>
          </w:tcPr>
          <w:p>
            <w:pPr>
              <w:jc w:val="right"/>
              <w:ind w:right="80"/>
              <w:spacing w:after="0"/>
              <w:rPr>
                <w:sz w:val="20"/>
                <w:szCs w:val="20"/>
                <w:color w:val="auto"/>
              </w:rPr>
            </w:pPr>
            <w:r>
              <w:rPr>
                <w:rFonts w:ascii="Arial" w:cs="Arial" w:eastAsia="Arial" w:hAnsi="Arial"/>
                <w:sz w:val="18"/>
                <w:szCs w:val="18"/>
                <w:color w:val="auto"/>
              </w:rPr>
              <w:t>24 % $</w:t>
            </w:r>
          </w:p>
        </w:tc>
        <w:tc>
          <w:tcPr>
            <w:tcW w:w="740" w:type="dxa"/>
            <w:vAlign w:val="bottom"/>
          </w:tcPr>
          <w:p>
            <w:pPr>
              <w:jc w:val="right"/>
              <w:spacing w:after="0"/>
              <w:rPr>
                <w:sz w:val="20"/>
                <w:szCs w:val="20"/>
                <w:color w:val="auto"/>
              </w:rPr>
            </w:pPr>
            <w:r>
              <w:rPr>
                <w:rFonts w:ascii="Arial" w:cs="Arial" w:eastAsia="Arial" w:hAnsi="Arial"/>
                <w:sz w:val="18"/>
                <w:szCs w:val="18"/>
                <w:color w:val="auto"/>
              </w:rPr>
              <w:t>180,191</w:t>
            </w:r>
          </w:p>
        </w:tc>
        <w:tc>
          <w:tcPr>
            <w:tcW w:w="2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140,013</w:t>
            </w:r>
          </w:p>
        </w:tc>
        <w:tc>
          <w:tcPr>
            <w:tcW w:w="260" w:type="dxa"/>
            <w:vAlign w:val="bottom"/>
          </w:tcPr>
          <w:p>
            <w:pPr>
              <w:spacing w:after="0"/>
              <w:rPr>
                <w:sz w:val="19"/>
                <w:szCs w:val="19"/>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63,914</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53,492</w:t>
            </w:r>
          </w:p>
        </w:tc>
        <w:tc>
          <w:tcPr>
            <w:tcW w:w="24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(19 )%</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125,661</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100,233</w:t>
            </w:r>
          </w:p>
        </w:tc>
        <w:tc>
          <w:tcPr>
            <w:tcW w:w="26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29,597</w:t>
            </w:r>
          </w:p>
        </w:tc>
        <w:tc>
          <w:tcPr>
            <w:tcW w:w="2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22,106</w:t>
            </w:r>
          </w:p>
        </w:tc>
        <w:tc>
          <w:tcPr>
            <w:tcW w:w="240" w:type="dxa"/>
            <w:vAlign w:val="bottom"/>
          </w:tcPr>
          <w:p>
            <w:pPr>
              <w:spacing w:after="0"/>
              <w:rPr>
                <w:sz w:val="19"/>
                <w:szCs w:val="19"/>
                <w:color w:val="auto"/>
              </w:rPr>
            </w:pPr>
          </w:p>
        </w:tc>
        <w:tc>
          <w:tcPr>
            <w:tcW w:w="1600" w:type="dxa"/>
            <w:vAlign w:val="bottom"/>
            <w:gridSpan w:val="3"/>
          </w:tcPr>
          <w:p>
            <w:pPr>
              <w:jc w:val="right"/>
              <w:ind w:right="80"/>
              <w:spacing w:after="0" w:line="223" w:lineRule="exact"/>
              <w:rPr>
                <w:sz w:val="20"/>
                <w:szCs w:val="20"/>
                <w:color w:val="auto"/>
              </w:rPr>
            </w:pPr>
            <w:r>
              <w:rPr>
                <w:rFonts w:ascii="Arial" w:cs="Arial" w:eastAsia="Arial" w:hAnsi="Arial"/>
                <w:sz w:val="14"/>
                <w:szCs w:val="14"/>
                <w:color w:val="auto"/>
              </w:rPr>
              <w:t xml:space="preserve">34 % </w:t>
            </w:r>
            <w:r>
              <w:rPr>
                <w:rFonts w:ascii="Arial" w:cs="Arial" w:eastAsia="Arial" w:hAnsi="Arial"/>
                <w:sz w:val="25"/>
                <w:szCs w:val="25"/>
                <w:color w:val="auto"/>
                <w:vertAlign w:val="superscript"/>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54,530</w:t>
            </w:r>
          </w:p>
        </w:tc>
        <w:tc>
          <w:tcPr>
            <w:tcW w:w="2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39,780</w:t>
            </w:r>
          </w:p>
        </w:tc>
        <w:tc>
          <w:tcPr>
            <w:tcW w:w="260" w:type="dxa"/>
            <w:vAlign w:val="bottom"/>
          </w:tcPr>
          <w:p>
            <w:pPr>
              <w:spacing w:after="0"/>
              <w:rPr>
                <w:sz w:val="19"/>
                <w:szCs w:val="19"/>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31.7 %</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29.2 %</w:t>
            </w: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2.5 %</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30.3 %</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28.4 %</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Supplier services</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17,497</w:t>
            </w:r>
          </w:p>
        </w:tc>
        <w:tc>
          <w:tcPr>
            <w:tcW w:w="2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20,017</w:t>
            </w:r>
          </w:p>
        </w:tc>
        <w:tc>
          <w:tcPr>
            <w:tcW w:w="240" w:type="dxa"/>
            <w:vAlign w:val="bottom"/>
          </w:tcPr>
          <w:p>
            <w:pPr>
              <w:spacing w:after="0"/>
              <w:rPr>
                <w:sz w:val="19"/>
                <w:szCs w:val="19"/>
                <w:color w:val="auto"/>
              </w:rPr>
            </w:pPr>
          </w:p>
        </w:tc>
        <w:tc>
          <w:tcPr>
            <w:tcW w:w="1600" w:type="dxa"/>
            <w:vAlign w:val="bottom"/>
            <w:gridSpan w:val="3"/>
          </w:tcPr>
          <w:p>
            <w:pPr>
              <w:jc w:val="right"/>
              <w:ind w:right="80"/>
              <w:spacing w:after="0"/>
              <w:rPr>
                <w:sz w:val="20"/>
                <w:szCs w:val="20"/>
                <w:color w:val="auto"/>
              </w:rPr>
            </w:pPr>
            <w:r>
              <w:rPr>
                <w:rFonts w:ascii="Arial" w:cs="Arial" w:eastAsia="Arial" w:hAnsi="Arial"/>
                <w:sz w:val="18"/>
                <w:szCs w:val="18"/>
                <w:color w:val="auto"/>
              </w:rPr>
              <w:t>(13 )% $</w:t>
            </w:r>
          </w:p>
        </w:tc>
        <w:tc>
          <w:tcPr>
            <w:tcW w:w="740" w:type="dxa"/>
            <w:vAlign w:val="bottom"/>
          </w:tcPr>
          <w:p>
            <w:pPr>
              <w:jc w:val="right"/>
              <w:spacing w:after="0"/>
              <w:rPr>
                <w:sz w:val="20"/>
                <w:szCs w:val="20"/>
                <w:color w:val="auto"/>
              </w:rPr>
            </w:pPr>
            <w:r>
              <w:rPr>
                <w:rFonts w:ascii="Arial" w:cs="Arial" w:eastAsia="Arial" w:hAnsi="Arial"/>
                <w:sz w:val="18"/>
                <w:szCs w:val="18"/>
                <w:color w:val="auto"/>
              </w:rPr>
              <w:t>36,143</w:t>
            </w:r>
          </w:p>
        </w:tc>
        <w:tc>
          <w:tcPr>
            <w:tcW w:w="2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39,273</w:t>
            </w:r>
          </w:p>
        </w:tc>
        <w:tc>
          <w:tcPr>
            <w:tcW w:w="26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w:t>
            </w:r>
          </w:p>
        </w:tc>
        <w:tc>
          <w:tcPr>
            <w:tcW w:w="24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20 %</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7,748</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8,418</w:t>
            </w:r>
          </w:p>
        </w:tc>
        <w:tc>
          <w:tcPr>
            <w:tcW w:w="260" w:type="dxa"/>
            <w:vAlign w:val="bottom"/>
          </w:tcPr>
          <w:p>
            <w:pPr>
              <w:spacing w:after="0"/>
              <w:rPr>
                <w:sz w:val="19"/>
                <w:szCs w:val="19"/>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13,959</w:t>
            </w:r>
          </w:p>
        </w:tc>
        <w:tc>
          <w:tcPr>
            <w:tcW w:w="2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15,590</w:t>
            </w:r>
          </w:p>
        </w:tc>
        <w:tc>
          <w:tcPr>
            <w:tcW w:w="240" w:type="dxa"/>
            <w:vAlign w:val="bottom"/>
          </w:tcPr>
          <w:p>
            <w:pPr>
              <w:spacing w:after="0"/>
              <w:rPr>
                <w:sz w:val="19"/>
                <w:szCs w:val="19"/>
                <w:color w:val="auto"/>
              </w:rPr>
            </w:pPr>
          </w:p>
        </w:tc>
        <w:tc>
          <w:tcPr>
            <w:tcW w:w="1600" w:type="dxa"/>
            <w:vAlign w:val="bottom"/>
            <w:gridSpan w:val="3"/>
          </w:tcPr>
          <w:p>
            <w:pPr>
              <w:jc w:val="right"/>
              <w:ind w:right="80"/>
              <w:spacing w:after="0" w:line="223" w:lineRule="exact"/>
              <w:rPr>
                <w:sz w:val="20"/>
                <w:szCs w:val="20"/>
                <w:color w:val="auto"/>
              </w:rPr>
            </w:pPr>
            <w:r>
              <w:rPr>
                <w:rFonts w:ascii="Arial" w:cs="Arial" w:eastAsia="Arial" w:hAnsi="Arial"/>
                <w:sz w:val="14"/>
                <w:szCs w:val="14"/>
                <w:color w:val="auto"/>
              </w:rPr>
              <w:t xml:space="preserve">(10 )% </w:t>
            </w:r>
            <w:r>
              <w:rPr>
                <w:rFonts w:ascii="Arial" w:cs="Arial" w:eastAsia="Arial" w:hAnsi="Arial"/>
                <w:sz w:val="25"/>
                <w:szCs w:val="25"/>
                <w:color w:val="auto"/>
                <w:vertAlign w:val="superscript"/>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28,395</w:t>
            </w:r>
          </w:p>
        </w:tc>
        <w:tc>
          <w:tcPr>
            <w:tcW w:w="2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30,855</w:t>
            </w:r>
          </w:p>
        </w:tc>
        <w:tc>
          <w:tcPr>
            <w:tcW w:w="26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
        </w:trPr>
        <w:tc>
          <w:tcPr>
            <w:tcW w:w="3560" w:type="dxa"/>
            <w:vAlign w:val="bottom"/>
            <w:vMerge w:val="restart"/>
          </w:tcPr>
          <w:p>
            <w:pPr>
              <w:ind w:left="20"/>
              <w:spacing w:after="0"/>
              <w:rPr>
                <w:sz w:val="20"/>
                <w:szCs w:val="20"/>
                <w:color w:val="auto"/>
              </w:rPr>
            </w:pPr>
            <w:r>
              <w:rPr>
                <w:rFonts w:ascii="Arial" w:cs="Arial" w:eastAsia="Arial" w:hAnsi="Arial"/>
                <w:sz w:val="18"/>
                <w:szCs w:val="18"/>
                <w:color w:val="auto"/>
              </w:rPr>
              <w:t>Gross Margin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1.9 %</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9"/>
        </w:trPr>
        <w:tc>
          <w:tcPr>
            <w:tcW w:w="35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 xml:space="preserve">79.8 </w:t>
            </w:r>
            <w:r>
              <w:rPr>
                <w:rFonts w:ascii="Arial" w:cs="Arial" w:eastAsia="Arial" w:hAnsi="Arial"/>
                <w:sz w:val="18"/>
                <w:szCs w:val="18"/>
                <w:color w:val="auto"/>
                <w:highlight w:val="white"/>
              </w:rPr>
              <w:t>%</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 xml:space="preserve">77.9 </w:t>
            </w:r>
            <w:r>
              <w:rPr>
                <w:rFonts w:ascii="Arial" w:cs="Arial" w:eastAsia="Arial" w:hAnsi="Arial"/>
                <w:sz w:val="18"/>
                <w:szCs w:val="18"/>
                <w:color w:val="auto"/>
                <w:highlight w:val="white"/>
              </w:rPr>
              <w:t>%</w:t>
            </w:r>
          </w:p>
        </w:tc>
        <w:tc>
          <w:tcPr>
            <w:tcW w:w="14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 xml:space="preserve">78.6 </w:t>
            </w:r>
            <w:r>
              <w:rPr>
                <w:rFonts w:ascii="Arial" w:cs="Arial" w:eastAsia="Arial" w:hAnsi="Arial"/>
                <w:sz w:val="18"/>
                <w:szCs w:val="18"/>
                <w:color w:val="auto"/>
                <w:highlight w:val="white"/>
              </w:rPr>
              <w:t>%</w:t>
            </w:r>
          </w:p>
        </w:tc>
        <w:tc>
          <w:tcPr>
            <w:tcW w:w="2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 xml:space="preserve">78.6 </w:t>
            </w:r>
            <w:r>
              <w:rPr>
                <w:rFonts w:ascii="Arial" w:cs="Arial" w:eastAsia="Arial" w:hAnsi="Arial"/>
                <w:sz w:val="18"/>
                <w:szCs w:val="18"/>
                <w:color w:val="auto"/>
                <w:highlight w:val="white"/>
              </w:rPr>
              <w:t>%</w:t>
            </w:r>
          </w:p>
        </w:tc>
        <w:tc>
          <w:tcPr>
            <w:tcW w:w="13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-2656205</wp:posOffset>
            </wp:positionV>
            <wp:extent cx="713232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-1379220</wp:posOffset>
            </wp:positionV>
            <wp:extent cx="7132320" cy="325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-615950</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380" w:right="360" w:hanging="372"/>
        <w:spacing w:after="0" w:line="246"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non-GAAP financial measures, and the reasons why we believe these non-GAAP financial measures are useful, are described below and reconciled to their most directly comparable GAAP measures in the accompanying tables.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Operating Metrics</w:t>
      </w:r>
      <w:r>
        <w:rPr>
          <w:rFonts w:ascii="Arial" w:cs="Arial" w:eastAsia="Arial" w:hAnsi="Arial"/>
          <w:sz w:val="26"/>
          <w:szCs w:val="26"/>
          <w:b w:val="1"/>
          <w:bCs w:val="1"/>
          <w:color w:val="auto"/>
          <w:vertAlign w:val="superscript"/>
        </w:rPr>
        <w:t>(2)</w:t>
      </w:r>
      <w:r>
        <w:rPr>
          <w:rFonts w:ascii="Arial" w:cs="Arial" w:eastAsia="Arial" w:hAnsi="Arial"/>
          <w:sz w:val="20"/>
          <w:szCs w:val="20"/>
          <w:b w:val="1"/>
          <w:bCs w:val="1"/>
          <w:color w:val="auto"/>
        </w:rPr>
        <w:t>:</w:t>
      </w:r>
    </w:p>
    <w:tbl>
      <w:tblPr>
        <w:tblLayout w:type="fixed"/>
        <w:tblInd w:w="0" w:type="dxa"/>
        <w:tblCellMar>
          <w:top w:w="0" w:type="dxa"/>
          <w:left w:w="0" w:type="dxa"/>
          <w:bottom w:w="0" w:type="dxa"/>
          <w:right w:w="0" w:type="dxa"/>
        </w:tblCellMar>
      </w:tblPr>
      <w:tr>
        <w:trPr>
          <w:trHeight w:val="217"/>
        </w:trPr>
        <w:tc>
          <w:tcPr>
            <w:tcW w:w="642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As of June 30,</w:t>
            </w:r>
          </w:p>
        </w:tc>
        <w:tc>
          <w:tcPr>
            <w:tcW w:w="14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7"/>
        </w:trPr>
        <w:tc>
          <w:tcPr>
            <w:tcW w:w="6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550"/>
              <w:spacing w:after="0" w:line="187"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9"/>
        </w:trPr>
        <w:tc>
          <w:tcPr>
            <w:tcW w:w="6420" w:type="dxa"/>
            <w:vAlign w:val="bottom"/>
          </w:tcPr>
          <w:p>
            <w:pPr>
              <w:spacing w:after="0"/>
              <w:rPr>
                <w:sz w:val="20"/>
                <w:szCs w:val="20"/>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180" w:type="dxa"/>
            <w:vAlign w:val="bottom"/>
            <w:gridSpan w:val="2"/>
          </w:tcPr>
          <w:p>
            <w:pPr>
              <w:spacing w:after="0"/>
              <w:rPr>
                <w:sz w:val="20"/>
                <w:szCs w:val="20"/>
                <w:color w:val="auto"/>
              </w:rPr>
            </w:pPr>
          </w:p>
        </w:tc>
      </w:tr>
      <w:tr>
        <w:trPr>
          <w:trHeight w:val="223"/>
        </w:trPr>
        <w:tc>
          <w:tcPr>
            <w:tcW w:w="6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3"/>
          </w:tcPr>
          <w:p>
            <w:pPr>
              <w:spacing w:after="0"/>
              <w:rPr>
                <w:sz w:val="19"/>
                <w:szCs w:val="19"/>
                <w:color w:val="auto"/>
              </w:rPr>
            </w:pPr>
          </w:p>
        </w:tc>
      </w:tr>
      <w:tr>
        <w:trPr>
          <w:trHeight w:val="230"/>
        </w:trPr>
        <w:tc>
          <w:tcPr>
            <w:tcW w:w="6420" w:type="dxa"/>
            <w:vAlign w:val="bottom"/>
            <w:shd w:val="clear" w:color="auto" w:fill="CFF0FC"/>
          </w:tcPr>
          <w:p>
            <w:pPr>
              <w:ind w:left="20"/>
              <w:spacing w:after="0" w:line="229" w:lineRule="exact"/>
              <w:rPr>
                <w:sz w:val="20"/>
                <w:szCs w:val="20"/>
                <w:color w:val="auto"/>
              </w:rPr>
            </w:pPr>
            <w:r>
              <w:rPr>
                <w:rFonts w:ascii="Arial" w:cs="Arial" w:eastAsia="Arial" w:hAnsi="Arial"/>
                <w:sz w:val="18"/>
                <w:szCs w:val="18"/>
                <w:color w:val="auto"/>
              </w:rPr>
              <w:t>Active Buyers</w:t>
            </w:r>
            <w:r>
              <w:rPr>
                <w:rFonts w:ascii="Arial" w:cs="Arial" w:eastAsia="Arial" w:hAnsi="Arial"/>
                <w:sz w:val="24"/>
                <w:szCs w:val="24"/>
                <w:color w:val="auto"/>
                <w:vertAlign w:val="superscript"/>
              </w:rPr>
              <w:t>(3)</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48,294</w:t>
            </w: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33,491</w:t>
            </w:r>
          </w:p>
        </w:tc>
        <w:tc>
          <w:tcPr>
            <w:tcW w:w="2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44 %</w:t>
            </w:r>
          </w:p>
        </w:tc>
        <w:tc>
          <w:tcPr>
            <w:tcW w:w="40" w:type="dxa"/>
            <w:vAlign w:val="bottom"/>
          </w:tcPr>
          <w:p>
            <w:pPr>
              <w:spacing w:after="0"/>
              <w:rPr>
                <w:sz w:val="19"/>
                <w:szCs w:val="19"/>
                <w:color w:val="auto"/>
              </w:rPr>
            </w:pPr>
          </w:p>
        </w:tc>
      </w:tr>
      <w:tr>
        <w:trPr>
          <w:trHeight w:val="230"/>
        </w:trPr>
        <w:tc>
          <w:tcPr>
            <w:tcW w:w="6420" w:type="dxa"/>
            <w:vAlign w:val="bottom"/>
          </w:tcPr>
          <w:p>
            <w:pPr>
              <w:ind w:left="20"/>
              <w:spacing w:after="0" w:line="229" w:lineRule="exact"/>
              <w:rPr>
                <w:sz w:val="20"/>
                <w:szCs w:val="20"/>
                <w:color w:val="auto"/>
              </w:rPr>
            </w:pPr>
            <w:r>
              <w:rPr>
                <w:rFonts w:ascii="Arial" w:cs="Arial" w:eastAsia="Arial" w:hAnsi="Arial"/>
                <w:sz w:val="18"/>
                <w:szCs w:val="18"/>
                <w:color w:val="auto"/>
              </w:rPr>
              <w:t>Percentage of Revenue from Existing Accounts</w:t>
            </w:r>
            <w:r>
              <w:rPr>
                <w:rFonts w:ascii="Arial" w:cs="Arial" w:eastAsia="Arial" w:hAnsi="Arial"/>
                <w:sz w:val="24"/>
                <w:szCs w:val="24"/>
                <w:color w:val="auto"/>
                <w:vertAlign w:val="superscript"/>
              </w:rPr>
              <w:t>(3)</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96 %</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95 %</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420" w:type="dxa"/>
            <w:vAlign w:val="bottom"/>
            <w:shd w:val="clear" w:color="auto" w:fill="CFF0FC"/>
          </w:tcPr>
          <w:p>
            <w:pPr>
              <w:ind w:left="20"/>
              <w:spacing w:after="0" w:line="229" w:lineRule="exact"/>
              <w:rPr>
                <w:sz w:val="20"/>
                <w:szCs w:val="20"/>
                <w:color w:val="auto"/>
              </w:rPr>
            </w:pPr>
            <w:r>
              <w:rPr>
                <w:rFonts w:ascii="Arial" w:cs="Arial" w:eastAsia="Arial" w:hAnsi="Arial"/>
                <w:sz w:val="18"/>
                <w:szCs w:val="18"/>
                <w:color w:val="auto"/>
              </w:rPr>
              <w:t>Accounts with Last Twelve-Months Spend of at Least $50,000</w:t>
            </w:r>
            <w:r>
              <w:rPr>
                <w:rFonts w:ascii="Arial" w:cs="Arial" w:eastAsia="Arial" w:hAnsi="Arial"/>
                <w:sz w:val="24"/>
                <w:szCs w:val="24"/>
                <w:color w:val="auto"/>
                <w:vertAlign w:val="superscript"/>
              </w:rPr>
              <w:t>(3)</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w:t>
            </w: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w:t>
            </w:r>
          </w:p>
        </w:tc>
        <w:tc>
          <w:tcPr>
            <w:tcW w:w="2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30 %</w:t>
            </w:r>
          </w:p>
        </w:tc>
        <w:tc>
          <w:tcPr>
            <w:tcW w:w="40" w:type="dxa"/>
            <w:vAlign w:val="bottom"/>
          </w:tcPr>
          <w:p>
            <w:pPr>
              <w:spacing w:after="0"/>
              <w:rPr>
                <w:sz w:val="19"/>
                <w:szCs w:val="19"/>
                <w:color w:val="auto"/>
              </w:rPr>
            </w:pPr>
          </w:p>
        </w:tc>
      </w:tr>
      <w:tr>
        <w:trPr>
          <w:trHeight w:val="317"/>
        </w:trPr>
        <w:tc>
          <w:tcPr>
            <w:tcW w:w="6420" w:type="dxa"/>
            <w:vAlign w:val="bottom"/>
          </w:tcPr>
          <w:p>
            <w:pPr>
              <w:ind w:left="20"/>
              <w:spacing w:after="0"/>
              <w:rPr>
                <w:sz w:val="20"/>
                <w:szCs w:val="20"/>
                <w:color w:val="auto"/>
              </w:rPr>
            </w:pPr>
            <w:r>
              <w:rPr>
                <w:rFonts w:ascii="Arial" w:cs="Arial" w:eastAsia="Arial" w:hAnsi="Arial"/>
                <w:sz w:val="18"/>
                <w:szCs w:val="18"/>
                <w:color w:val="auto"/>
              </w:rPr>
              <w:t>Active Paying Suppliers</w:t>
            </w:r>
            <w:r>
              <w:rPr>
                <w:rFonts w:ascii="Arial" w:cs="Arial" w:eastAsia="Arial" w:hAnsi="Arial"/>
                <w:sz w:val="24"/>
                <w:szCs w:val="24"/>
                <w:color w:val="auto"/>
                <w:vertAlign w:val="superscript"/>
              </w:rPr>
              <w:t>(3)</w:t>
            </w:r>
          </w:p>
        </w:tc>
        <w:tc>
          <w:tcPr>
            <w:tcW w:w="1280" w:type="dxa"/>
            <w:vAlign w:val="bottom"/>
          </w:tcPr>
          <w:p>
            <w:pPr>
              <w:jc w:val="right"/>
              <w:spacing w:after="0"/>
              <w:rPr>
                <w:sz w:val="20"/>
                <w:szCs w:val="20"/>
                <w:color w:val="auto"/>
              </w:rPr>
            </w:pPr>
            <w:r>
              <w:rPr>
                <w:rFonts w:ascii="Arial" w:cs="Arial" w:eastAsia="Arial" w:hAnsi="Arial"/>
                <w:sz w:val="18"/>
                <w:szCs w:val="18"/>
                <w:color w:val="auto"/>
              </w:rPr>
              <w:t>7,553</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7,202</w:t>
            </w:r>
          </w:p>
        </w:tc>
        <w:tc>
          <w:tcPr>
            <w:tcW w:w="26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5 %</w:t>
            </w:r>
          </w:p>
        </w:tc>
      </w:tr>
    </w:tbl>
    <w:p>
      <w:pPr>
        <w:spacing w:after="0" w:line="129" w:lineRule="exact"/>
        <w:rPr>
          <w:sz w:val="20"/>
          <w:szCs w:val="20"/>
          <w:color w:val="auto"/>
        </w:rPr>
      </w:pPr>
    </w:p>
    <w:p>
      <w:pPr>
        <w:ind w:left="380" w:right="300" w:hanging="372"/>
        <w:spacing w:after="0" w:line="241"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key operating metrics are for Marketplace and Supplier Services. See “Key Terms for our Key Metrics and Non-GAAP Financial Measures” below for definitions of these metrics.</w:t>
      </w:r>
    </w:p>
    <w:p>
      <w:pPr>
        <w:spacing w:after="0" w:line="1" w:lineRule="exact"/>
        <w:rPr>
          <w:rFonts w:ascii="Arial" w:cs="Arial" w:eastAsia="Arial" w:hAnsi="Arial"/>
          <w:sz w:val="18"/>
          <w:szCs w:val="18"/>
          <w:color w:val="auto"/>
        </w:rPr>
      </w:pPr>
    </w:p>
    <w:p>
      <w:pPr>
        <w:ind w:left="380" w:right="180" w:hanging="372"/>
        <w:spacing w:after="0" w:line="248"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Amounts shown for Active Buyers, Accounts with Last Twelve-Months Spend of at Least $50,000, and Active Paying Suppliers are as of June 30, 2023 and 2022, and Percentage of Revenue from Existing Accounts is presented for the quarters ended June 30, 2023 and 2022.</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55" w:right="2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Financial Guidance and Outlook:</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Q3 2023</w:t>
            </w:r>
          </w:p>
        </w:tc>
        <w:tc>
          <w:tcPr>
            <w:tcW w:w="8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FY 2023</w:t>
            </w: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5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(in</w:t>
            </w: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millions)</w:t>
            </w:r>
          </w:p>
        </w:tc>
        <w:tc>
          <w:tcPr>
            <w:tcW w:w="9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5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Low</w:t>
            </w:r>
          </w:p>
        </w:tc>
        <w:tc>
          <w:tcPr>
            <w:tcW w:w="400" w:type="dxa"/>
            <w:vAlign w:val="bottom"/>
          </w:tcPr>
          <w:p>
            <w:pPr>
              <w:spacing w:after="0"/>
              <w:rPr>
                <w:sz w:val="19"/>
                <w:szCs w:val="19"/>
                <w:color w:val="auto"/>
              </w:rPr>
            </w:pPr>
          </w:p>
        </w:tc>
        <w:tc>
          <w:tcPr>
            <w:tcW w:w="116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High</w:t>
            </w:r>
          </w:p>
        </w:tc>
        <w:tc>
          <w:tcPr>
            <w:tcW w:w="400" w:type="dxa"/>
            <w:vAlign w:val="bottom"/>
          </w:tcPr>
          <w:p>
            <w:pPr>
              <w:spacing w:after="0"/>
              <w:rPr>
                <w:sz w:val="19"/>
                <w:szCs w:val="19"/>
                <w:color w:val="auto"/>
              </w:rPr>
            </w:pPr>
          </w:p>
        </w:tc>
        <w:tc>
          <w:tcPr>
            <w:tcW w:w="98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Low</w:t>
            </w:r>
          </w:p>
        </w:tc>
        <w:tc>
          <w:tcPr>
            <w:tcW w:w="40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High</w:t>
            </w:r>
          </w:p>
        </w:tc>
        <w:tc>
          <w:tcPr>
            <w:tcW w:w="140" w:type="dxa"/>
            <w:vAlign w:val="bottom"/>
          </w:tcPr>
          <w:p>
            <w:pPr>
              <w:spacing w:after="0"/>
              <w:rPr>
                <w:sz w:val="19"/>
                <w:szCs w:val="19"/>
                <w:color w:val="auto"/>
              </w:rPr>
            </w:pPr>
          </w:p>
        </w:tc>
      </w:tr>
      <w:tr>
        <w:trPr>
          <w:trHeight w:val="230"/>
        </w:trPr>
        <w:tc>
          <w:tcPr>
            <w:tcW w:w="5500" w:type="dxa"/>
            <w:vAlign w:val="bottom"/>
            <w:shd w:val="clear" w:color="auto" w:fill="CFF0FC"/>
          </w:tcPr>
          <w:p>
            <w:pPr>
              <w:ind w:left="20"/>
              <w:spacing w:after="0" w:line="229" w:lineRule="exact"/>
              <w:rPr>
                <w:sz w:val="20"/>
                <w:szCs w:val="20"/>
                <w:color w:val="auto"/>
              </w:rPr>
            </w:pPr>
            <w:r>
              <w:rPr>
                <w:rFonts w:ascii="Arial" w:cs="Arial" w:eastAsia="Arial" w:hAnsi="Arial"/>
                <w:sz w:val="18"/>
                <w:szCs w:val="18"/>
                <w:color w:val="auto"/>
              </w:rPr>
              <w:t>Revenue</w:t>
            </w:r>
            <w:r>
              <w:rPr>
                <w:rFonts w:ascii="Arial" w:cs="Arial" w:eastAsia="Arial" w:hAnsi="Arial"/>
                <w:sz w:val="24"/>
                <w:szCs w:val="24"/>
                <w:color w:val="auto"/>
                <w:vertAlign w:val="superscript"/>
              </w:rPr>
              <w:t>(1)</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119.0</w:t>
            </w:r>
          </w:p>
        </w:tc>
        <w:tc>
          <w:tcPr>
            <w:tcW w:w="4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jc w:val="center"/>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464.0</w:t>
            </w:r>
          </w:p>
        </w:tc>
        <w:tc>
          <w:tcPr>
            <w:tcW w:w="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474.0</w:t>
            </w:r>
          </w:p>
        </w:tc>
        <w:tc>
          <w:tcPr>
            <w:tcW w:w="140" w:type="dxa"/>
            <w:vAlign w:val="bottom"/>
            <w:shd w:val="clear" w:color="auto" w:fill="CFF0FC"/>
          </w:tcPr>
          <w:p>
            <w:pPr>
              <w:spacing w:after="0"/>
              <w:rPr>
                <w:sz w:val="19"/>
                <w:szCs w:val="19"/>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(6.5 )</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(5.5 )</w:t>
            </w:r>
          </w:p>
        </w:tc>
        <w:tc>
          <w:tcPr>
            <w:tcW w:w="400" w:type="dxa"/>
            <w:vAlign w:val="bottom"/>
          </w:tcPr>
          <w:p>
            <w:pPr>
              <w:jc w:val="center"/>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(27.0 )</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(25.0 )</w:t>
            </w:r>
          </w:p>
        </w:tc>
      </w:tr>
    </w:tbl>
    <w:p>
      <w:pPr>
        <w:spacing w:after="0" w:line="203" w:lineRule="exact"/>
        <w:rPr>
          <w:sz w:val="20"/>
          <w:szCs w:val="20"/>
          <w:color w:val="auto"/>
        </w:rPr>
      </w:pPr>
    </w:p>
    <w:p>
      <w:pPr>
        <w:ind w:right="280" w:firstLine="8"/>
        <w:spacing w:after="0" w:line="260" w:lineRule="auto"/>
        <w:tabs>
          <w:tab w:leader="none" w:pos="270" w:val="left"/>
        </w:tabs>
        <w:numPr>
          <w:ilvl w:val="0"/>
          <w:numId w:val="8"/>
        </w:numPr>
        <w:rPr>
          <w:rFonts w:ascii="Arial" w:cs="Arial" w:eastAsia="Arial" w:hAnsi="Arial"/>
          <w:sz w:val="18"/>
          <w:szCs w:val="18"/>
          <w:color w:val="auto"/>
        </w:rPr>
      </w:pPr>
      <w:r>
        <w:rPr>
          <w:rFonts w:ascii="Arial" w:cs="Arial" w:eastAsia="Arial" w:hAnsi="Arial"/>
          <w:sz w:val="18"/>
          <w:szCs w:val="18"/>
          <w:color w:val="auto"/>
        </w:rPr>
        <w:t>Xometry’s third quarter and full year 2023 guidance reflects the impact of exiting the supplies business in the U.S. lowering revenue by approximately $2.0 million and $6.0 million, respectively.</w:t>
      </w:r>
    </w:p>
    <w:p>
      <w:pPr>
        <w:spacing w:after="0" w:line="168" w:lineRule="exact"/>
        <w:rPr>
          <w:sz w:val="20"/>
          <w:szCs w:val="20"/>
          <w:color w:val="auto"/>
        </w:rPr>
      </w:pPr>
    </w:p>
    <w:p>
      <w:pPr>
        <w:ind w:right="80"/>
        <w:spacing w:after="0" w:line="237" w:lineRule="auto"/>
        <w:rPr>
          <w:sz w:val="20"/>
          <w:szCs w:val="20"/>
          <w:color w:val="auto"/>
        </w:rPr>
      </w:pPr>
      <w:r>
        <w:rPr>
          <w:rFonts w:ascii="Arial" w:cs="Arial" w:eastAsia="Arial" w:hAnsi="Arial"/>
          <w:sz w:val="20"/>
          <w:szCs w:val="20"/>
          <w:color w:val="auto"/>
        </w:rPr>
        <w:t>Xometry’s third quarter and full year 2023 financial outlook is based on a number of assumptions that are subject to change and many of which are outside of its control. If actual results vary from these assumptions, Xometry’s expectations may change. There can be no assurance that Xometry will achieve these results.</w:t>
      </w:r>
    </w:p>
    <w:p>
      <w:pPr>
        <w:spacing w:after="0" w:line="183" w:lineRule="exact"/>
        <w:rPr>
          <w:sz w:val="20"/>
          <w:szCs w:val="20"/>
          <w:color w:val="auto"/>
        </w:rPr>
      </w:pPr>
    </w:p>
    <w:p>
      <w:pPr>
        <w:ind w:right="220"/>
        <w:spacing w:after="0" w:line="246" w:lineRule="auto"/>
        <w:rPr>
          <w:sz w:val="20"/>
          <w:szCs w:val="20"/>
          <w:color w:val="auto"/>
        </w:rPr>
      </w:pPr>
      <w:r>
        <w:rPr>
          <w:rFonts w:ascii="Arial" w:cs="Arial" w:eastAsia="Arial" w:hAnsi="Arial"/>
          <w:sz w:val="19"/>
          <w:szCs w:val="19"/>
          <w:color w:val="auto"/>
        </w:rPr>
        <w:t>Reconciliation of Adjusted EBITDA on a forward-looking basis to net loss, the most directly comparable GAAP measure, is not available without unreasonable efforts due to the high variability and complexity and low visibility with respect to the charges excluded from this non-GAAP measure; in particular, the effects of stock-based compensation expense specific to equity compensation awards that are directly impacted by unpredictable fluctuations in Xometry’s stock price. Xometry expects the variability of the above charges to have a significant, and potentially unpredictable, impact on its future GAAP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10"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To supplement its consolidated financial statements, which are prepared and presented in accordance with generally accepted accounting principles in the United States of America (“GAAP”), Xometry, Inc. (“Xometry”, the “Company”, “we” or “our”) uses Adjusted EBITDA, non-GAAP net loss and non-GAAP Earnings Per Share, which are considered non-GAAP financial measures, as described below. These non-GAAP financial measures are presented to enhance the user’s overall understanding of Xometry’s financial performance and should not be considered a substitute for, nor superior to, the financial information prepared and presented in accordance with GAAP. The non-GAAP financial measures presented in this release, together with the GAAP financial results, are the primary measures used by the Company’s management and board of directors to understand and evaluate the Company’s financial performance and operating trends, including period-to-period comparisons, because they exclude certain expenses and gains that management believes are not indicative of the Company’s core operating results. Management also uses these measures to prepare and update the Company’s short and long term financial and operational plans, to evaluate investment decisions, and in its discussions with investors, commercial bankers, equity research analysts and other users of the Company’s financial statements. Accordingly, the Company believes that these non-GAAP financial measures provide useful information to investors and others in understanding and evaluating the Company’s operating results in the same manner as the Company’s management and in comparing operating results across periods and to those of Xometry’s peer companies. In addition, from time to time we may present adjusted information (for example, revenue growth) to exclude the impact of certain gains, losses or other changes that affect period-to-period comparability of our operating performance.</w:t>
      </w:r>
    </w:p>
    <w:p>
      <w:pPr>
        <w:spacing w:after="0" w:line="192" w:lineRule="exact"/>
        <w:rPr>
          <w:sz w:val="20"/>
          <w:szCs w:val="20"/>
          <w:color w:val="auto"/>
        </w:rPr>
      </w:pPr>
    </w:p>
    <w:p>
      <w:pPr>
        <w:ind w:right="40"/>
        <w:spacing w:after="0" w:line="230" w:lineRule="auto"/>
        <w:rPr>
          <w:sz w:val="20"/>
          <w:szCs w:val="20"/>
          <w:color w:val="auto"/>
        </w:rPr>
      </w:pPr>
      <w:r>
        <w:rPr>
          <w:rFonts w:ascii="Arial" w:cs="Arial" w:eastAsia="Arial" w:hAnsi="Arial"/>
          <w:sz w:val="20"/>
          <w:szCs w:val="20"/>
          <w:color w:val="auto"/>
        </w:rPr>
        <w:t>The use of non-GAAP financial measures has certain limitations because they do not reflect all items of income and expense, or cash flows, that affect the Company’s financial performance and operations. Additionally, non-GAAP financial measures do not have standardized meanings, and therefore other companies, including peer companies, may use the same or similarly named measures but exclude or include different items or use different computations. Management compensates for these limitations by reconciling these non-GAAP financial measures to their most comparable GAAP financial measures in the tables captioned “Reconciliations of Non-GAAP Financial Measures” included at the end of this release. Investors and others are encouraged to review the Company’s financial information in its entirety and not rely on a single financial measure.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 w:name="page9"/>
    <w:bookmarkEnd w:id="8"/>
    <w:p>
      <w:pPr>
        <w:ind w:right="5000"/>
        <w:spacing w:after="0" w:line="326" w:lineRule="auto"/>
        <w:rPr>
          <w:sz w:val="20"/>
          <w:szCs w:val="20"/>
          <w:color w:val="auto"/>
        </w:rPr>
      </w:pPr>
      <w:r>
        <w:rPr>
          <w:rFonts w:ascii="Arial" w:cs="Arial" w:eastAsia="Arial" w:hAnsi="Arial"/>
          <w:sz w:val="19"/>
          <w:szCs w:val="19"/>
          <w:b w:val="1"/>
          <w:bCs w:val="1"/>
          <w:color w:val="auto"/>
        </w:rPr>
        <w:t xml:space="preserve">Key Terms for our Key Metrics and Non-GAAP Financial Measures Marketplace revenue: </w:t>
      </w:r>
      <w:r>
        <w:rPr>
          <w:rFonts w:ascii="Arial" w:cs="Arial" w:eastAsia="Arial" w:hAnsi="Arial"/>
          <w:sz w:val="19"/>
          <w:szCs w:val="19"/>
          <w:color w:val="auto"/>
        </w:rPr>
        <w:t>includes the sale of parts and assemblies.</w:t>
      </w:r>
    </w:p>
    <w:p>
      <w:pPr>
        <w:ind w:right="520"/>
        <w:spacing w:after="0" w:line="257" w:lineRule="auto"/>
        <w:rPr>
          <w:sz w:val="20"/>
          <w:szCs w:val="20"/>
          <w:color w:val="auto"/>
        </w:rPr>
      </w:pPr>
      <w:r>
        <w:rPr>
          <w:rFonts w:ascii="Arial" w:cs="Arial" w:eastAsia="Arial" w:hAnsi="Arial"/>
          <w:sz w:val="20"/>
          <w:szCs w:val="20"/>
          <w:b w:val="1"/>
          <w:bCs w:val="1"/>
          <w:color w:val="auto"/>
        </w:rPr>
        <w:t xml:space="preserve">Supplier service revenue: </w:t>
      </w:r>
      <w:r>
        <w:rPr>
          <w:rFonts w:ascii="Arial" w:cs="Arial" w:eastAsia="Arial" w:hAnsi="Arial"/>
          <w:sz w:val="20"/>
          <w:szCs w:val="20"/>
          <w:color w:val="auto"/>
        </w:rPr>
        <w:t>includes the sales of advertising on Thomasnet, marketing services, supplies, financial service</w:t>
      </w:r>
      <w:r>
        <w:rPr>
          <w:rFonts w:ascii="Arial" w:cs="Arial" w:eastAsia="Arial" w:hAnsi="Arial"/>
          <w:sz w:val="20"/>
          <w:szCs w:val="20"/>
          <w:b w:val="1"/>
          <w:bCs w:val="1"/>
          <w:color w:val="auto"/>
        </w:rPr>
        <w:t xml:space="preserve"> </w:t>
      </w:r>
      <w:r>
        <w:rPr>
          <w:rFonts w:ascii="Arial" w:cs="Arial" w:eastAsia="Arial" w:hAnsi="Arial"/>
          <w:sz w:val="20"/>
          <w:szCs w:val="20"/>
          <w:color w:val="auto"/>
        </w:rPr>
        <w:t>products and other fintech products.</w:t>
      </w:r>
    </w:p>
    <w:p>
      <w:pPr>
        <w:spacing w:after="0" w:line="20" w:lineRule="exact"/>
        <w:rPr>
          <w:sz w:val="20"/>
          <w:szCs w:val="20"/>
          <w:color w:val="auto"/>
        </w:rPr>
      </w:pPr>
    </w:p>
    <w:p>
      <w:pPr>
        <w:ind w:right="460"/>
        <w:spacing w:after="0" w:line="241" w:lineRule="auto"/>
        <w:rPr>
          <w:sz w:val="20"/>
          <w:szCs w:val="20"/>
          <w:color w:val="auto"/>
        </w:rPr>
      </w:pPr>
      <w:r>
        <w:rPr>
          <w:rFonts w:ascii="Arial" w:cs="Arial" w:eastAsia="Arial" w:hAnsi="Arial"/>
          <w:sz w:val="20"/>
          <w:szCs w:val="20"/>
          <w:b w:val="1"/>
          <w:bCs w:val="1"/>
          <w:color w:val="auto"/>
        </w:rPr>
        <w:t xml:space="preserve">Active Buyers: </w:t>
      </w:r>
      <w:r>
        <w:rPr>
          <w:rFonts w:ascii="Arial" w:cs="Arial" w:eastAsia="Arial" w:hAnsi="Arial"/>
          <w:sz w:val="20"/>
          <w:szCs w:val="20"/>
          <w:color w:val="auto"/>
        </w:rPr>
        <w:t>The Company defines “buyers” as individuals who have placed an order to purchase on-demand parts or</w:t>
      </w:r>
      <w:r>
        <w:rPr>
          <w:rFonts w:ascii="Arial" w:cs="Arial" w:eastAsia="Arial" w:hAnsi="Arial"/>
          <w:sz w:val="20"/>
          <w:szCs w:val="20"/>
          <w:b w:val="1"/>
          <w:bCs w:val="1"/>
          <w:color w:val="auto"/>
        </w:rPr>
        <w:t xml:space="preserve"> </w:t>
      </w:r>
      <w:r>
        <w:rPr>
          <w:rFonts w:ascii="Arial" w:cs="Arial" w:eastAsia="Arial" w:hAnsi="Arial"/>
          <w:sz w:val="20"/>
          <w:szCs w:val="20"/>
          <w:color w:val="auto"/>
        </w:rPr>
        <w:t>assemblies on our marketplace. The Company defines Active Buyers as the number of buyers who have made at least one purchase on our marketplace during the last twelve months.</w:t>
      </w:r>
    </w:p>
    <w:p>
      <w:pPr>
        <w:spacing w:after="0" w:line="36"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b w:val="1"/>
          <w:bCs w:val="1"/>
          <w:color w:val="auto"/>
        </w:rPr>
        <w:t xml:space="preserve">Active Suppliers: </w:t>
      </w:r>
      <w:r>
        <w:rPr>
          <w:rFonts w:ascii="Arial" w:cs="Arial" w:eastAsia="Arial" w:hAnsi="Arial"/>
          <w:sz w:val="20"/>
          <w:szCs w:val="20"/>
          <w:color w:val="auto"/>
        </w:rPr>
        <w:t>The Company defines “suppliers” as individuals or businesses that have been approved by us to either</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manufacture a product on our platform for a buyer or have utilized our supplier services, including our digital marketing services, data services, financial services or supplies. The Company defines Active Suppliers as suppliers that have used our platform at least once during the last twelve months to manufacture a product or buy tools or supplies.</w:t>
      </w:r>
    </w:p>
    <w:p>
      <w:pPr>
        <w:spacing w:after="0" w:line="37" w:lineRule="exact"/>
        <w:rPr>
          <w:sz w:val="20"/>
          <w:szCs w:val="20"/>
          <w:color w:val="auto"/>
        </w:rPr>
      </w:pPr>
    </w:p>
    <w:p>
      <w:pPr>
        <w:ind w:right="120"/>
        <w:spacing w:after="0" w:line="260" w:lineRule="auto"/>
        <w:rPr>
          <w:sz w:val="20"/>
          <w:szCs w:val="20"/>
          <w:color w:val="auto"/>
        </w:rPr>
      </w:pPr>
      <w:r>
        <w:rPr>
          <w:rFonts w:ascii="Arial" w:cs="Arial" w:eastAsia="Arial" w:hAnsi="Arial"/>
          <w:sz w:val="19"/>
          <w:szCs w:val="19"/>
          <w:b w:val="1"/>
          <w:bCs w:val="1"/>
          <w:color w:val="auto"/>
        </w:rPr>
        <w:t xml:space="preserve">Percentage of Revenue from Existing Accounts: </w:t>
      </w:r>
      <w:r>
        <w:rPr>
          <w:rFonts w:ascii="Arial" w:cs="Arial" w:eastAsia="Arial" w:hAnsi="Arial"/>
          <w:sz w:val="19"/>
          <w:szCs w:val="19"/>
          <w:color w:val="auto"/>
        </w:rPr>
        <w:t>The Company defines an “account” as an individual entity, such as a sole</w:t>
      </w:r>
      <w:r>
        <w:rPr>
          <w:rFonts w:ascii="Arial" w:cs="Arial" w:eastAsia="Arial" w:hAnsi="Arial"/>
          <w:sz w:val="19"/>
          <w:szCs w:val="19"/>
          <w:b w:val="1"/>
          <w:bCs w:val="1"/>
          <w:color w:val="auto"/>
        </w:rPr>
        <w:t xml:space="preserve"> </w:t>
      </w:r>
      <w:r>
        <w:rPr>
          <w:rFonts w:ascii="Arial" w:cs="Arial" w:eastAsia="Arial" w:hAnsi="Arial"/>
          <w:sz w:val="19"/>
          <w:szCs w:val="19"/>
          <w:color w:val="auto"/>
        </w:rPr>
        <w:t>proprietor with a single buyer or corporate entities with multiple buyers, having purchased at least one part on our marketplace. The Company defines an existing account as an account where at least one buyer has made a purchase on our marketplace.</w:t>
      </w:r>
    </w:p>
    <w:p>
      <w:pPr>
        <w:spacing w:after="0" w:line="19" w:lineRule="exact"/>
        <w:rPr>
          <w:sz w:val="20"/>
          <w:szCs w:val="20"/>
          <w:color w:val="auto"/>
        </w:rPr>
      </w:pPr>
    </w:p>
    <w:p>
      <w:pPr>
        <w:ind w:right="220"/>
        <w:spacing w:after="0" w:line="241" w:lineRule="auto"/>
        <w:rPr>
          <w:sz w:val="20"/>
          <w:szCs w:val="20"/>
          <w:color w:val="auto"/>
        </w:rPr>
      </w:pPr>
      <w:r>
        <w:rPr>
          <w:rFonts w:ascii="Arial" w:cs="Arial" w:eastAsia="Arial" w:hAnsi="Arial"/>
          <w:sz w:val="20"/>
          <w:szCs w:val="20"/>
          <w:b w:val="1"/>
          <w:bCs w:val="1"/>
          <w:color w:val="auto"/>
        </w:rPr>
        <w:t xml:space="preserve">Accounts with Last Twelve-Month Spend of At Least $50,000: </w:t>
      </w:r>
      <w:r>
        <w:rPr>
          <w:rFonts w:ascii="Arial" w:cs="Arial" w:eastAsia="Arial" w:hAnsi="Arial"/>
          <w:sz w:val="20"/>
          <w:szCs w:val="20"/>
          <w:color w:val="auto"/>
        </w:rPr>
        <w:t>The Company defines Accounts with Last Twelve-Month</w:t>
      </w:r>
      <w:r>
        <w:rPr>
          <w:rFonts w:ascii="Arial" w:cs="Arial" w:eastAsia="Arial" w:hAnsi="Arial"/>
          <w:sz w:val="20"/>
          <w:szCs w:val="20"/>
          <w:b w:val="1"/>
          <w:bCs w:val="1"/>
          <w:color w:val="auto"/>
        </w:rPr>
        <w:t xml:space="preserve"> </w:t>
      </w:r>
      <w:r>
        <w:rPr>
          <w:rFonts w:ascii="Arial" w:cs="Arial" w:eastAsia="Arial" w:hAnsi="Arial"/>
          <w:sz w:val="20"/>
          <w:szCs w:val="20"/>
          <w:color w:val="auto"/>
        </w:rPr>
        <w:t>Spend of At Least $50,000 as an account that has spent at least $50,000 on our marketplace in the most recent twelve-month period.</w:t>
      </w:r>
    </w:p>
    <w:p>
      <w:pPr>
        <w:spacing w:after="0" w:line="36" w:lineRule="exact"/>
        <w:rPr>
          <w:sz w:val="20"/>
          <w:szCs w:val="20"/>
          <w:color w:val="auto"/>
        </w:rPr>
      </w:pPr>
    </w:p>
    <w:p>
      <w:pPr>
        <w:spacing w:after="0" w:line="241" w:lineRule="auto"/>
        <w:rPr>
          <w:sz w:val="20"/>
          <w:szCs w:val="20"/>
          <w:color w:val="auto"/>
        </w:rPr>
      </w:pPr>
      <w:r>
        <w:rPr>
          <w:rFonts w:ascii="Arial" w:cs="Arial" w:eastAsia="Arial" w:hAnsi="Arial"/>
          <w:sz w:val="20"/>
          <w:szCs w:val="20"/>
          <w:b w:val="1"/>
          <w:bCs w:val="1"/>
          <w:color w:val="auto"/>
        </w:rPr>
        <w:t xml:space="preserve">Active Paying Suppliers: </w:t>
      </w:r>
      <w:r>
        <w:rPr>
          <w:rFonts w:ascii="Arial" w:cs="Arial" w:eastAsia="Arial" w:hAnsi="Arial"/>
          <w:sz w:val="20"/>
          <w:szCs w:val="20"/>
          <w:color w:val="auto"/>
        </w:rPr>
        <w:t>The Company defines Active Paying Suppliers as individuals or businesses who have purchased one</w:t>
      </w:r>
      <w:r>
        <w:rPr>
          <w:rFonts w:ascii="Arial" w:cs="Arial" w:eastAsia="Arial" w:hAnsi="Arial"/>
          <w:sz w:val="20"/>
          <w:szCs w:val="20"/>
          <w:b w:val="1"/>
          <w:bCs w:val="1"/>
          <w:color w:val="auto"/>
        </w:rPr>
        <w:t xml:space="preserve"> </w:t>
      </w:r>
      <w:r>
        <w:rPr>
          <w:rFonts w:ascii="Arial" w:cs="Arial" w:eastAsia="Arial" w:hAnsi="Arial"/>
          <w:sz w:val="20"/>
          <w:szCs w:val="20"/>
          <w:color w:val="auto"/>
        </w:rPr>
        <w:t>or more of our supplier services, including digital marketing services, data services, financial services or supplies on our platforms during the last twelve months.</w:t>
      </w:r>
    </w:p>
    <w:p>
      <w:pPr>
        <w:spacing w:after="0" w:line="36" w:lineRule="exact"/>
        <w:rPr>
          <w:sz w:val="20"/>
          <w:szCs w:val="20"/>
          <w:color w:val="auto"/>
        </w:rPr>
      </w:pPr>
    </w:p>
    <w:p>
      <w:pPr>
        <w:ind w:right="60"/>
        <w:spacing w:after="0" w:line="245" w:lineRule="auto"/>
        <w:rPr>
          <w:sz w:val="20"/>
          <w:szCs w:val="20"/>
          <w:color w:val="auto"/>
        </w:rPr>
      </w:pPr>
      <w:r>
        <w:rPr>
          <w:rFonts w:ascii="Arial" w:cs="Arial" w:eastAsia="Arial" w:hAnsi="Arial"/>
          <w:sz w:val="19"/>
          <w:szCs w:val="19"/>
          <w:b w:val="1"/>
          <w:bCs w:val="1"/>
          <w:color w:val="auto"/>
        </w:rPr>
        <w:t>Adjusted earnings before interest, taxes, depreciation and amortization (Adjusted EBITDA)</w:t>
      </w:r>
      <w:r>
        <w:rPr>
          <w:rFonts w:ascii="Arial" w:cs="Arial" w:eastAsia="Arial" w:hAnsi="Arial"/>
          <w:sz w:val="19"/>
          <w:szCs w:val="19"/>
          <w:color w:val="auto"/>
        </w:rPr>
        <w:t>: The Company defines</w:t>
      </w:r>
      <w:r>
        <w:rPr>
          <w:rFonts w:ascii="Arial" w:cs="Arial" w:eastAsia="Arial" w:hAnsi="Arial"/>
          <w:sz w:val="19"/>
          <w:szCs w:val="19"/>
          <w:b w:val="1"/>
          <w:bCs w:val="1"/>
          <w:color w:val="auto"/>
        </w:rPr>
        <w:t xml:space="preserve"> </w:t>
      </w:r>
      <w:r>
        <w:rPr>
          <w:rFonts w:ascii="Arial" w:cs="Arial" w:eastAsia="Arial" w:hAnsi="Arial"/>
          <w:sz w:val="19"/>
          <w:szCs w:val="19"/>
          <w:color w:val="auto"/>
        </w:rPr>
        <w:t>Adjusted EBITDA as net loss, adjusted for interest expense, interest and dividend income and other expenses, income tax provision (benefit), and certain other non-cash or non-recurring items impacting net loss from time to time, principally comprised of depreciation and amortization, amortization of lease intangible, stock-based compensation, lease abandonment, charitable contributions of common stock, income from unconsolidated joint venture, impairment of assets, restructuring charges, costs to exit the supplies business and acquisition and other adjustments not reflective of the Company’s ongoing business, such as adjustments related to purchase accounting, the revaluation of contingent consideration and transaction costs.</w:t>
      </w:r>
    </w:p>
    <w:p>
      <w:pPr>
        <w:spacing w:after="0" w:line="32" w:lineRule="exact"/>
        <w:rPr>
          <w:sz w:val="20"/>
          <w:szCs w:val="20"/>
          <w:color w:val="auto"/>
        </w:rPr>
      </w:pPr>
    </w:p>
    <w:p>
      <w:pPr>
        <w:ind w:right="60"/>
        <w:spacing w:after="0" w:line="233" w:lineRule="auto"/>
        <w:rPr>
          <w:sz w:val="20"/>
          <w:szCs w:val="20"/>
          <w:color w:val="auto"/>
        </w:rPr>
      </w:pPr>
      <w:r>
        <w:rPr>
          <w:rFonts w:ascii="Arial" w:cs="Arial" w:eastAsia="Arial" w:hAnsi="Arial"/>
          <w:sz w:val="20"/>
          <w:szCs w:val="20"/>
          <w:b w:val="1"/>
          <w:bCs w:val="1"/>
          <w:color w:val="auto"/>
        </w:rPr>
        <w:t xml:space="preserve">Non-GAAP net loss: </w:t>
      </w:r>
      <w:r>
        <w:rPr>
          <w:rFonts w:ascii="Arial" w:cs="Arial" w:eastAsia="Arial" w:hAnsi="Arial"/>
          <w:sz w:val="20"/>
          <w:szCs w:val="20"/>
          <w:color w:val="auto"/>
        </w:rPr>
        <w:t>The Company defines non-GAAP net loss as net loss adjusted for depreciation and amortization, stock-based compensation expense, amortization of lease intangible, amortization of deferred costs on convertible notes, loss on marketable securities, loss on sale of property and equipment, charitable contributions of common stock, lease abandonment and termination costs, impairment of assets, restructuring charges, costs to exit the supplies business and acquisition and other adjustments not reflective of the Company’s ongoing business, such as adjustments related to purchase accounting, the revaluation of contingent consideration and transaction costs.</w:t>
      </w:r>
    </w:p>
    <w:p>
      <w:pPr>
        <w:spacing w:after="0" w:line="37" w:lineRule="exact"/>
        <w:rPr>
          <w:sz w:val="20"/>
          <w:szCs w:val="20"/>
          <w:color w:val="auto"/>
        </w:rPr>
      </w:pPr>
    </w:p>
    <w:p>
      <w:pPr>
        <w:jc w:val="both"/>
        <w:ind w:right="460"/>
        <w:spacing w:after="0" w:line="241" w:lineRule="auto"/>
        <w:rPr>
          <w:sz w:val="20"/>
          <w:szCs w:val="20"/>
          <w:color w:val="auto"/>
        </w:rPr>
      </w:pPr>
      <w:r>
        <w:rPr>
          <w:rFonts w:ascii="Arial" w:cs="Arial" w:eastAsia="Arial" w:hAnsi="Arial"/>
          <w:sz w:val="20"/>
          <w:szCs w:val="20"/>
          <w:b w:val="1"/>
          <w:bCs w:val="1"/>
          <w:color w:val="auto"/>
        </w:rPr>
        <w:t xml:space="preserve">Non-GAAP Earnings Per Share, basic and diluted (Non-GAAP EPS, basic and diluted): </w:t>
      </w:r>
      <w:r>
        <w:rPr>
          <w:rFonts w:ascii="Arial" w:cs="Arial" w:eastAsia="Arial" w:hAnsi="Arial"/>
          <w:sz w:val="20"/>
          <w:szCs w:val="20"/>
          <w:color w:val="auto"/>
        </w:rPr>
        <w:t>The Company calculates non-GAAP earnings per share, basic and diluted as non-GAAP net loss divided by weighted average number of common stock outstanding.</w:t>
      </w:r>
    </w:p>
    <w:p>
      <w:pPr>
        <w:spacing w:after="0" w:line="46" w:lineRule="exact"/>
        <w:rPr>
          <w:sz w:val="20"/>
          <w:szCs w:val="20"/>
          <w:color w:val="auto"/>
        </w:rPr>
      </w:pPr>
    </w:p>
    <w:p>
      <w:pPr>
        <w:ind w:right="40"/>
        <w:spacing w:after="0" w:line="231" w:lineRule="auto"/>
        <w:rPr>
          <w:sz w:val="20"/>
          <w:szCs w:val="20"/>
          <w:color w:val="auto"/>
        </w:rPr>
      </w:pPr>
      <w:r>
        <w:rPr>
          <w:rFonts w:ascii="Arial" w:cs="Arial" w:eastAsia="Arial" w:hAnsi="Arial"/>
          <w:sz w:val="20"/>
          <w:szCs w:val="20"/>
          <w:color w:val="auto"/>
        </w:rPr>
        <w:t>Management believes that the exclusion of certain expenses and gains in calculating Adjusted EBITDA, non-GAAP net loss and non-GAAP EPS, basic and diluted provides a useful measure for period-to-period comparisons of the Company’s underlying core revenue and operating costs that is focused more closely on the current costs necessary to operate the Company’s businesses and reflects its ongoing business in a manner that allows for meaningful analysis of trends. Management also believes that excluding certain non-cash charges can be useful because the amount of such expenses is the result of long-term investment decisions made in previous periods rather than day-to-day operating decisions.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About Xometry</w:t>
      </w:r>
    </w:p>
    <w:p>
      <w:pPr>
        <w:spacing w:after="0" w:line="10"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Xometry (XMTR) powers the industries of today and tomorrow by connecting the people with big ideas to the manufacturers who can bring them to life. Xometry’s digital marketplace gives manufacturers the critical resources they need to grow their business while also making it easy for buyers at Fortune 1000 companies to tap into global manufacturing capacity and create locally resilient supply chains. Learn more at www.xometry.com or follow @xometry.</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Information</w:t>
      </w:r>
    </w:p>
    <w:p>
      <w:pPr>
        <w:spacing w:after="0" w:line="10" w:lineRule="exact"/>
        <w:rPr>
          <w:sz w:val="20"/>
          <w:szCs w:val="20"/>
          <w:color w:val="auto"/>
        </w:rPr>
      </w:pPr>
    </w:p>
    <w:p>
      <w:pPr>
        <w:ind w:right="180"/>
        <w:spacing w:after="0" w:line="232" w:lineRule="auto"/>
        <w:rPr>
          <w:sz w:val="20"/>
          <w:szCs w:val="20"/>
          <w:color w:val="auto"/>
        </w:rPr>
      </w:pPr>
      <w:r>
        <w:rPr>
          <w:rFonts w:ascii="Arial" w:cs="Arial" w:eastAsia="Arial" w:hAnsi="Arial"/>
          <w:sz w:val="20"/>
          <w:szCs w:val="20"/>
          <w:color w:val="auto"/>
        </w:rPr>
        <w:t>The Company will host a conference call and webcast to discuss the results at 8:30 a.m. ET (5:30 a.m. PT) on August 9, 2023. In addition to issuing a press release, the Company will post an earnings presentation to its investor website at investors.xometry.com.</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Xometry, Inc. Second Quarter 2023 Earnings Presentation and Conference Call</w:t>
      </w:r>
    </w:p>
    <w:p>
      <w:pPr>
        <w:ind w:left="1020" w:hanging="503"/>
        <w:spacing w:after="0"/>
        <w:tabs>
          <w:tab w:leader="none" w:pos="1020" w:val="left"/>
        </w:tabs>
        <w:numPr>
          <w:ilvl w:val="0"/>
          <w:numId w:val="9"/>
        </w:numPr>
        <w:rPr>
          <w:rFonts w:ascii="Arial" w:cs="Arial" w:eastAsia="Arial" w:hAnsi="Arial"/>
          <w:sz w:val="20"/>
          <w:szCs w:val="20"/>
          <w:color w:val="auto"/>
        </w:rPr>
      </w:pPr>
      <w:r>
        <w:rPr>
          <w:rFonts w:ascii="Arial" w:cs="Arial" w:eastAsia="Arial" w:hAnsi="Arial"/>
          <w:sz w:val="20"/>
          <w:szCs w:val="20"/>
          <w:color w:val="auto"/>
        </w:rPr>
        <w:t>8:30 a.m. Eastern / 5:30 a.m. Pacific on Wednesday, August 9, 2023</w:t>
      </w:r>
    </w:p>
    <w:p>
      <w:pPr>
        <w:ind w:left="1020" w:right="3520" w:hanging="503"/>
        <w:spacing w:after="0" w:line="237" w:lineRule="auto"/>
        <w:tabs>
          <w:tab w:leader="none" w:pos="1020" w:val="left"/>
        </w:tabs>
        <w:numPr>
          <w:ilvl w:val="0"/>
          <w:numId w:val="9"/>
        </w:numPr>
        <w:rPr>
          <w:rFonts w:ascii="Arial" w:cs="Arial" w:eastAsia="Arial" w:hAnsi="Arial"/>
          <w:sz w:val="19"/>
          <w:szCs w:val="19"/>
          <w:color w:val="auto"/>
        </w:rPr>
      </w:pPr>
      <w:r>
        <w:rPr>
          <w:rFonts w:ascii="Arial" w:cs="Arial" w:eastAsia="Arial" w:hAnsi="Arial"/>
          <w:sz w:val="19"/>
          <w:szCs w:val="19"/>
          <w:color w:val="auto"/>
        </w:rPr>
        <w:t>To register please use the following link: https://register.vevent.com/register/BIc35c53c604594be08549f74738e84b27</w:t>
      </w:r>
    </w:p>
    <w:p>
      <w:pPr>
        <w:ind w:left="1020" w:right="140" w:hanging="503"/>
        <w:spacing w:after="0" w:line="236" w:lineRule="auto"/>
        <w:tabs>
          <w:tab w:leader="none" w:pos="1020" w:val="left"/>
        </w:tabs>
        <w:numPr>
          <w:ilvl w:val="0"/>
          <w:numId w:val="9"/>
        </w:numPr>
        <w:rPr>
          <w:rFonts w:ascii="Arial" w:cs="Arial" w:eastAsia="Arial" w:hAnsi="Arial"/>
          <w:sz w:val="20"/>
          <w:szCs w:val="20"/>
          <w:color w:val="auto"/>
        </w:rPr>
      </w:pPr>
      <w:r>
        <w:rPr>
          <w:rFonts w:ascii="Arial" w:cs="Arial" w:eastAsia="Arial" w:hAnsi="Arial"/>
          <w:sz w:val="20"/>
          <w:szCs w:val="20"/>
          <w:color w:val="auto"/>
        </w:rPr>
        <w:t>You may also visit the Xometry Investor Relations Homepage at investors.xometry.com to listen to a live webcast of the call</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Information Regarding Forward-Looking Statements</w:t>
      </w:r>
    </w:p>
    <w:p>
      <w:pPr>
        <w:spacing w:after="0" w:line="10"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This press release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“would,” “intend,” “target,” “project,” “contemplate,” “believe,” “estimate,” “predict,” “potential” or “continue” or the negative of these words or other similar terms or expressions that concern our expectations, strategy, plans or intentions. Forward-looking statements in this press release include, but are not limited to, our beliefs regarding our financial position and operating performance, including our outlook and guidance for the third quarter and full year 2023, our expectation regarding our operating leverage and path to Adjusted EBITDA profitability in the fourth quarter of 2023, our potential for growth, and demand for our marketplaces in general. Our expectations and beliefs regarding these matters may not materialize, and actual results in future periods are subject to risks and uncertainties that could cause actual results to differ materially from those projected, including risks and uncertainties related to: competition, managing our growth, financial performance, our ability to forecast our performance due to our limited operating history, investments in new products or offerings, our ability to attract buyers and sellers to our marketplace, legal proceedings and regulatory matters and developments, any future changes to our business or our financial or operating model, our brand and reputation, and the impact of fluctuations in general macroeconomic conditions, such as the current inflationary environment and rising interest rates. The forward-looking statements contained in this press release are also subject to other risks and uncertainties that could cause actual results to differ from the results predicted, including those more fully described in our filings with the SEC, including our Annual Report on Form 10-K for the period ended December 31, 2022, our Quarterly Reports on Form 10-Q, and other filings and reports that we may file from time to time with the SEC. All forward-looking statements in this press release are based on information available to Xometry and assumptions and beliefs as of the date hereof, and we disclaim any obligation to update any forward-looking statements, except as required by law.</w:t>
      </w:r>
    </w:p>
    <w:p>
      <w:pPr>
        <w:spacing w:after="0" w:line="261"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20"/>
          <w:szCs w:val="20"/>
          <w:b w:val="1"/>
          <w:bCs w:val="1"/>
          <w:color w:val="auto"/>
        </w:rPr>
        <w:t>Investor Contact:</w:t>
      </w:r>
      <w:r>
        <w:rPr>
          <w:sz w:val="20"/>
          <w:szCs w:val="20"/>
          <w:color w:val="auto"/>
        </w:rPr>
        <w:tab/>
      </w:r>
      <w:r>
        <w:rPr>
          <w:rFonts w:ascii="Arial" w:cs="Arial" w:eastAsia="Arial" w:hAnsi="Arial"/>
          <w:sz w:val="19"/>
          <w:szCs w:val="19"/>
          <w:b w:val="1"/>
          <w:bCs w:val="1"/>
          <w:color w:val="auto"/>
        </w:rPr>
        <w:t>Media Contact:</w:t>
      </w:r>
    </w:p>
    <w:p>
      <w:pPr>
        <w:sectPr>
          <w:pgSz w:w="11900" w:h="16838" w:orient="portrait"/>
          <w:cols w:equalWidth="0" w:num="1">
            <w:col w:w="11240"/>
          </w:cols>
          <w:pgMar w:left="320" w:top="436" w:right="339" w:bottom="1440" w:gutter="0" w:footer="0" w:header="0"/>
        </w:sect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20"/>
          <w:szCs w:val="20"/>
          <w:color w:val="auto"/>
        </w:rPr>
        <w:t>Shawn Milne</w:t>
      </w:r>
    </w:p>
    <w:p>
      <w:pPr>
        <w:ind w:left="20"/>
        <w:spacing w:after="0" w:line="225" w:lineRule="auto"/>
        <w:rPr>
          <w:sz w:val="20"/>
          <w:szCs w:val="20"/>
          <w:color w:val="auto"/>
        </w:rPr>
      </w:pPr>
      <w:r>
        <w:rPr>
          <w:rFonts w:ascii="Arial" w:cs="Arial" w:eastAsia="Arial" w:hAnsi="Arial"/>
          <w:sz w:val="20"/>
          <w:szCs w:val="20"/>
          <w:color w:val="auto"/>
        </w:rPr>
        <w:t>VP Investor Relations</w:t>
      </w:r>
    </w:p>
    <w:p>
      <w:pPr>
        <w:ind w:left="20"/>
        <w:spacing w:after="0" w:line="225" w:lineRule="auto"/>
        <w:rPr>
          <w:sz w:val="20"/>
          <w:szCs w:val="20"/>
          <w:color w:val="auto"/>
        </w:rPr>
      </w:pPr>
      <w:r>
        <w:rPr>
          <w:rFonts w:ascii="Arial" w:cs="Arial" w:eastAsia="Arial" w:hAnsi="Arial"/>
          <w:sz w:val="20"/>
          <w:szCs w:val="20"/>
          <w:color w:val="auto"/>
        </w:rPr>
        <w:t>240-335-8132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9"/>
          <w:szCs w:val="19"/>
          <w:color w:val="auto"/>
        </w:rPr>
        <w:t>shawn.milne@xometry.com</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Matthew Hutchison</w:t>
      </w:r>
    </w:p>
    <w:p>
      <w:pPr>
        <w:spacing w:after="0" w:line="237" w:lineRule="auto"/>
        <w:rPr>
          <w:sz w:val="20"/>
          <w:szCs w:val="20"/>
          <w:color w:val="auto"/>
        </w:rPr>
      </w:pPr>
      <w:r>
        <w:rPr>
          <w:rFonts w:ascii="Arial" w:cs="Arial" w:eastAsia="Arial" w:hAnsi="Arial"/>
          <w:sz w:val="19"/>
          <w:szCs w:val="19"/>
          <w:color w:val="auto"/>
        </w:rPr>
        <w:t>Corporate Communications for Xometry</w:t>
      </w:r>
    </w:p>
    <w:p>
      <w:pPr>
        <w:spacing w:after="0" w:line="225" w:lineRule="auto"/>
        <w:rPr>
          <w:sz w:val="20"/>
          <w:szCs w:val="20"/>
          <w:color w:val="auto"/>
        </w:rPr>
      </w:pPr>
      <w:r>
        <w:rPr>
          <w:rFonts w:ascii="Arial" w:cs="Arial" w:eastAsia="Arial" w:hAnsi="Arial"/>
          <w:sz w:val="20"/>
          <w:szCs w:val="20"/>
          <w:color w:val="auto"/>
        </w:rPr>
        <w:t>415-583-2119</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matthew.hutchison@xometry.com</w:t>
      </w:r>
    </w:p>
    <w:p>
      <w:pPr>
        <w:spacing w:after="0" w:line="200" w:lineRule="exact"/>
        <w:rPr>
          <w:sz w:val="20"/>
          <w:szCs w:val="20"/>
          <w:color w:val="auto"/>
        </w:rPr>
      </w:pPr>
    </w:p>
    <w:p>
      <w:pPr>
        <w:sectPr>
          <w:pgSz w:w="11900" w:h="16838" w:orient="portrait"/>
          <w:cols w:equalWidth="0" w:num="2">
            <w:col w:w="4920" w:space="720"/>
            <w:col w:w="5600"/>
          </w:cols>
          <w:pgMar w:left="320" w:top="436" w:right="339" w:bottom="144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type w:val="continuous"/>
        </w:sectPr>
      </w:pPr>
    </w:p>
    <w:bookmarkStart w:id="10" w:name="page11"/>
    <w:bookmarkEnd w:id="10"/>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ind w:left="3280"/>
        <w:spacing w:after="0" w:line="235" w:lineRule="auto"/>
        <w:rPr>
          <w:sz w:val="20"/>
          <w:szCs w:val="20"/>
          <w:color w:val="auto"/>
        </w:rPr>
      </w:pPr>
      <w:r>
        <w:rPr>
          <w:rFonts w:ascii="Arial" w:cs="Arial" w:eastAsia="Arial" w:hAnsi="Arial"/>
          <w:sz w:val="20"/>
          <w:szCs w:val="20"/>
          <w:color w:val="auto"/>
        </w:rPr>
        <w:t>Unaudited Condensed Consolidated Balance Sheets</w:t>
      </w:r>
    </w:p>
    <w:p>
      <w:pPr>
        <w:spacing w:after="0" w:line="1"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(In thousands, except share and per share data)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78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r>
      <w:tr>
        <w:trPr>
          <w:trHeight w:val="223"/>
        </w:trPr>
        <w:tc>
          <w:tcPr>
            <w:tcW w:w="7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9"/>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9"/>
        </w:trPr>
        <w:tc>
          <w:tcPr>
            <w:tcW w:w="78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56,738</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65,662</w:t>
            </w:r>
          </w:p>
        </w:tc>
        <w:tc>
          <w:tcPr>
            <w:tcW w:w="140" w:type="dxa"/>
            <w:vAlign w:val="bottom"/>
            <w:shd w:val="clear" w:color="auto" w:fill="CFF0FC"/>
          </w:tcPr>
          <w:p>
            <w:pPr>
              <w:spacing w:after="0"/>
              <w:rPr>
                <w:sz w:val="19"/>
                <w:szCs w:val="19"/>
                <w:color w:val="auto"/>
              </w:rPr>
            </w:pPr>
          </w:p>
        </w:tc>
      </w:tr>
      <w:tr>
        <w:trPr>
          <w:trHeight w:val="230"/>
        </w:trPr>
        <w:tc>
          <w:tcPr>
            <w:tcW w:w="7860" w:type="dxa"/>
            <w:vAlign w:val="bottom"/>
          </w:tcPr>
          <w:p>
            <w:pPr>
              <w:ind w:left="28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229,411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253,770</w:t>
            </w:r>
          </w:p>
        </w:tc>
        <w:tc>
          <w:tcPr>
            <w:tcW w:w="140" w:type="dxa"/>
            <w:vAlign w:val="bottom"/>
          </w:tcPr>
          <w:p>
            <w:pPr>
              <w:spacing w:after="0"/>
              <w:rPr>
                <w:sz w:val="19"/>
                <w:szCs w:val="19"/>
                <w:color w:val="auto"/>
              </w:rPr>
            </w:pPr>
          </w:p>
        </w:tc>
      </w:tr>
      <w:tr>
        <w:trPr>
          <w:trHeight w:val="203"/>
        </w:trPr>
        <w:tc>
          <w:tcPr>
            <w:tcW w:w="7860" w:type="dxa"/>
            <w:vAlign w:val="bottom"/>
            <w:shd w:val="clear" w:color="auto" w:fill="CFF0FC"/>
          </w:tcPr>
          <w:p>
            <w:pPr>
              <w:ind w:left="280"/>
              <w:spacing w:after="0" w:line="203" w:lineRule="exact"/>
              <w:rPr>
                <w:sz w:val="20"/>
                <w:szCs w:val="20"/>
                <w:color w:val="auto"/>
              </w:rPr>
            </w:pPr>
            <w:r>
              <w:rPr>
                <w:rFonts w:ascii="Arial" w:cs="Arial" w:eastAsia="Arial" w:hAnsi="Arial"/>
                <w:sz w:val="18"/>
                <w:szCs w:val="18"/>
                <w:color w:val="auto"/>
              </w:rPr>
              <w:t>Accounts receivable, less allowance for credit losses of $2.0 million and $2.0 million as of</w:t>
            </w: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29"/>
        </w:trPr>
        <w:tc>
          <w:tcPr>
            <w:tcW w:w="78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June 30, 2023 and December 31, 2022</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57,658</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49,188</w:t>
            </w:r>
          </w:p>
        </w:tc>
        <w:tc>
          <w:tcPr>
            <w:tcW w:w="140" w:type="dxa"/>
            <w:vAlign w:val="bottom"/>
            <w:shd w:val="clear" w:color="auto" w:fill="CFF0FC"/>
          </w:tcPr>
          <w:p>
            <w:pPr>
              <w:spacing w:after="0"/>
              <w:rPr>
                <w:sz w:val="19"/>
                <w:szCs w:val="19"/>
                <w:color w:val="auto"/>
              </w:rPr>
            </w:pPr>
          </w:p>
        </w:tc>
      </w:tr>
      <w:tr>
        <w:trPr>
          <w:trHeight w:val="229"/>
        </w:trPr>
        <w:tc>
          <w:tcPr>
            <w:tcW w:w="7860" w:type="dxa"/>
            <w:vAlign w:val="bottom"/>
          </w:tcPr>
          <w:p>
            <w:pPr>
              <w:ind w:left="28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1,571</w:t>
            </w:r>
          </w:p>
        </w:tc>
        <w:tc>
          <w:tcPr>
            <w:tcW w:w="140" w:type="dxa"/>
            <w:vAlign w:val="bottom"/>
          </w:tcPr>
          <w:p>
            <w:pPr>
              <w:spacing w:after="0"/>
              <w:rPr>
                <w:sz w:val="19"/>
                <w:szCs w:val="19"/>
                <w:color w:val="auto"/>
              </w:rPr>
            </w:pPr>
          </w:p>
        </w:tc>
      </w:tr>
      <w:tr>
        <w:trPr>
          <w:trHeight w:val="230"/>
        </w:trPr>
        <w:tc>
          <w:tcPr>
            <w:tcW w:w="78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5,831</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7,591</w:t>
            </w:r>
          </w:p>
        </w:tc>
        <w:tc>
          <w:tcPr>
            <w:tcW w:w="140" w:type="dxa"/>
            <w:vAlign w:val="bottom"/>
            <w:shd w:val="clear" w:color="auto" w:fill="CFF0FC"/>
          </w:tcPr>
          <w:p>
            <w:pPr>
              <w:spacing w:after="0"/>
              <w:rPr>
                <w:sz w:val="19"/>
                <w:szCs w:val="19"/>
                <w:color w:val="auto"/>
              </w:rPr>
            </w:pPr>
          </w:p>
        </w:tc>
      </w:tr>
      <w:tr>
        <w:trPr>
          <w:trHeight w:val="229"/>
        </w:trPr>
        <w:tc>
          <w:tcPr>
            <w:tcW w:w="786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12,273</w:t>
            </w:r>
          </w:p>
        </w:tc>
        <w:tc>
          <w:tcPr>
            <w:tcW w:w="140" w:type="dxa"/>
            <w:vAlign w:val="bottom"/>
          </w:tcPr>
          <w:p>
            <w:pPr>
              <w:spacing w:after="0"/>
              <w:rPr>
                <w:sz w:val="19"/>
                <w:szCs w:val="19"/>
                <w:color w:val="auto"/>
              </w:rPr>
            </w:pPr>
          </w:p>
        </w:tc>
      </w:tr>
      <w:tr>
        <w:trPr>
          <w:trHeight w:val="223"/>
        </w:trPr>
        <w:tc>
          <w:tcPr>
            <w:tcW w:w="7860" w:type="dxa"/>
            <w:vAlign w:val="bottom"/>
            <w:shd w:val="clear" w:color="auto" w:fill="CFF0FC"/>
          </w:tcPr>
          <w:p>
            <w:pPr>
              <w:ind w:left="52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364,802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390,055</w:t>
            </w:r>
          </w:p>
        </w:tc>
        <w:tc>
          <w:tcPr>
            <w:tcW w:w="140" w:type="dxa"/>
            <w:vAlign w:val="bottom"/>
            <w:shd w:val="clear" w:color="auto" w:fill="CFF0FC"/>
          </w:tcPr>
          <w:p>
            <w:pPr>
              <w:spacing w:after="0"/>
              <w:rPr>
                <w:sz w:val="19"/>
                <w:szCs w:val="19"/>
                <w:color w:val="auto"/>
              </w:rPr>
            </w:pPr>
          </w:p>
        </w:tc>
      </w:tr>
      <w:tr>
        <w:trPr>
          <w:trHeight w:val="229"/>
        </w:trPr>
        <w:tc>
          <w:tcPr>
            <w:tcW w:w="786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23,990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19,079</w:t>
            </w:r>
          </w:p>
        </w:tc>
        <w:tc>
          <w:tcPr>
            <w:tcW w:w="140" w:type="dxa"/>
            <w:vAlign w:val="bottom"/>
          </w:tcPr>
          <w:p>
            <w:pPr>
              <w:spacing w:after="0"/>
              <w:rPr>
                <w:sz w:val="19"/>
                <w:szCs w:val="19"/>
                <w:color w:val="auto"/>
              </w:rPr>
            </w:pPr>
          </w:p>
        </w:tc>
      </w:tr>
      <w:tr>
        <w:trPr>
          <w:trHeight w:val="230"/>
        </w:trPr>
        <w:tc>
          <w:tcPr>
            <w:tcW w:w="78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14,401</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25,923</w:t>
            </w:r>
          </w:p>
        </w:tc>
        <w:tc>
          <w:tcPr>
            <w:tcW w:w="140" w:type="dxa"/>
            <w:vAlign w:val="bottom"/>
            <w:shd w:val="clear" w:color="auto" w:fill="CFF0FC"/>
          </w:tcPr>
          <w:p>
            <w:pPr>
              <w:spacing w:after="0"/>
              <w:rPr>
                <w:sz w:val="19"/>
                <w:szCs w:val="19"/>
                <w:color w:val="auto"/>
              </w:rPr>
            </w:pPr>
          </w:p>
        </w:tc>
      </w:tr>
      <w:tr>
        <w:trPr>
          <w:trHeight w:val="229"/>
        </w:trPr>
        <w:tc>
          <w:tcPr>
            <w:tcW w:w="7860" w:type="dxa"/>
            <w:vAlign w:val="bottom"/>
          </w:tcPr>
          <w:p>
            <w:pPr>
              <w:ind w:left="280"/>
              <w:spacing w:after="0"/>
              <w:rPr>
                <w:sz w:val="20"/>
                <w:szCs w:val="20"/>
                <w:color w:val="auto"/>
              </w:rPr>
            </w:pPr>
            <w:r>
              <w:rPr>
                <w:rFonts w:ascii="Arial" w:cs="Arial" w:eastAsia="Arial" w:hAnsi="Arial"/>
                <w:sz w:val="18"/>
                <w:szCs w:val="18"/>
                <w:color w:val="auto"/>
              </w:rPr>
              <w:t>Investment in unconsolidated joint venture</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4,271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4,068</w:t>
            </w:r>
          </w:p>
        </w:tc>
        <w:tc>
          <w:tcPr>
            <w:tcW w:w="140" w:type="dxa"/>
            <w:vAlign w:val="bottom"/>
          </w:tcPr>
          <w:p>
            <w:pPr>
              <w:spacing w:after="0"/>
              <w:rPr>
                <w:sz w:val="19"/>
                <w:szCs w:val="19"/>
                <w:color w:val="auto"/>
              </w:rPr>
            </w:pPr>
          </w:p>
        </w:tc>
      </w:tr>
      <w:tr>
        <w:trPr>
          <w:trHeight w:val="229"/>
        </w:trPr>
        <w:tc>
          <w:tcPr>
            <w:tcW w:w="78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37,589</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39,351</w:t>
            </w:r>
          </w:p>
        </w:tc>
        <w:tc>
          <w:tcPr>
            <w:tcW w:w="140" w:type="dxa"/>
            <w:vAlign w:val="bottom"/>
            <w:shd w:val="clear" w:color="auto" w:fill="CFF0FC"/>
          </w:tcPr>
          <w:p>
            <w:pPr>
              <w:spacing w:after="0"/>
              <w:rPr>
                <w:sz w:val="19"/>
                <w:szCs w:val="19"/>
                <w:color w:val="auto"/>
              </w:rPr>
            </w:pPr>
          </w:p>
        </w:tc>
      </w:tr>
      <w:tr>
        <w:trPr>
          <w:trHeight w:val="230"/>
        </w:trPr>
        <w:tc>
          <w:tcPr>
            <w:tcW w:w="7860" w:type="dxa"/>
            <w:vAlign w:val="bottom"/>
          </w:tcPr>
          <w:p>
            <w:pPr>
              <w:ind w:left="28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263,002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258,036</w:t>
            </w:r>
          </w:p>
        </w:tc>
        <w:tc>
          <w:tcPr>
            <w:tcW w:w="140" w:type="dxa"/>
            <w:vAlign w:val="bottom"/>
          </w:tcPr>
          <w:p>
            <w:pPr>
              <w:spacing w:after="0"/>
              <w:rPr>
                <w:sz w:val="19"/>
                <w:szCs w:val="19"/>
                <w:color w:val="auto"/>
              </w:rPr>
            </w:pPr>
          </w:p>
        </w:tc>
      </w:tr>
      <w:tr>
        <w:trPr>
          <w:trHeight w:val="229"/>
        </w:trPr>
        <w:tc>
          <w:tcPr>
            <w:tcW w:w="78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7860" w:type="dxa"/>
            <w:vAlign w:val="bottom"/>
          </w:tcPr>
          <w:p>
            <w:pPr>
              <w:ind w:left="5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708,482</w:t>
            </w:r>
          </w:p>
        </w:tc>
        <w:tc>
          <w:tcPr>
            <w:tcW w:w="14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736,925</w:t>
            </w:r>
          </w:p>
        </w:tc>
        <w:tc>
          <w:tcPr>
            <w:tcW w:w="14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9"/>
        </w:trPr>
        <w:tc>
          <w:tcPr>
            <w:tcW w:w="78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12,592</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12,437</w:t>
            </w:r>
          </w:p>
        </w:tc>
        <w:tc>
          <w:tcPr>
            <w:tcW w:w="140" w:type="dxa"/>
            <w:vAlign w:val="bottom"/>
            <w:shd w:val="clear" w:color="auto" w:fill="CFF0FC"/>
          </w:tcPr>
          <w:p>
            <w:pPr>
              <w:spacing w:after="0"/>
              <w:rPr>
                <w:sz w:val="19"/>
                <w:szCs w:val="19"/>
                <w:color w:val="auto"/>
              </w:rPr>
            </w:pPr>
          </w:p>
        </w:tc>
      </w:tr>
      <w:tr>
        <w:trPr>
          <w:trHeight w:val="230"/>
        </w:trPr>
        <w:tc>
          <w:tcPr>
            <w:tcW w:w="786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37,136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33,430</w:t>
            </w:r>
          </w:p>
        </w:tc>
        <w:tc>
          <w:tcPr>
            <w:tcW w:w="140" w:type="dxa"/>
            <w:vAlign w:val="bottom"/>
          </w:tcPr>
          <w:p>
            <w:pPr>
              <w:spacing w:after="0"/>
              <w:rPr>
                <w:sz w:val="19"/>
                <w:szCs w:val="19"/>
                <w:color w:val="auto"/>
              </w:rPr>
            </w:pPr>
          </w:p>
        </w:tc>
      </w:tr>
      <w:tr>
        <w:trPr>
          <w:trHeight w:val="230"/>
        </w:trPr>
        <w:tc>
          <w:tcPr>
            <w:tcW w:w="78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Contract liabilities</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9,999</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8,509</w:t>
            </w:r>
          </w:p>
        </w:tc>
        <w:tc>
          <w:tcPr>
            <w:tcW w:w="140" w:type="dxa"/>
            <w:vAlign w:val="bottom"/>
            <w:shd w:val="clear" w:color="auto" w:fill="CFF0FC"/>
          </w:tcPr>
          <w:p>
            <w:pPr>
              <w:spacing w:after="0"/>
              <w:rPr>
                <w:sz w:val="19"/>
                <w:szCs w:val="19"/>
                <w:color w:val="auto"/>
              </w:rPr>
            </w:pPr>
          </w:p>
        </w:tc>
      </w:tr>
      <w:tr>
        <w:trPr>
          <w:trHeight w:val="229"/>
        </w:trPr>
        <w:tc>
          <w:tcPr>
            <w:tcW w:w="786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2,796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3,956</w:t>
            </w:r>
          </w:p>
        </w:tc>
        <w:tc>
          <w:tcPr>
            <w:tcW w:w="140" w:type="dxa"/>
            <w:vAlign w:val="bottom"/>
          </w:tcPr>
          <w:p>
            <w:pPr>
              <w:spacing w:after="0"/>
              <w:rPr>
                <w:sz w:val="19"/>
                <w:szCs w:val="19"/>
                <w:color w:val="auto"/>
              </w:rPr>
            </w:pPr>
          </w:p>
        </w:tc>
      </w:tr>
      <w:tr>
        <w:trPr>
          <w:trHeight w:val="230"/>
        </w:trPr>
        <w:tc>
          <w:tcPr>
            <w:tcW w:w="78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Operating lease liabilities, current portion</w:t>
            </w:r>
          </w:p>
        </w:tc>
        <w:tc>
          <w:tcPr>
            <w:tcW w:w="2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6,504</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5,471</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7860" w:type="dxa"/>
            <w:vAlign w:val="bottom"/>
          </w:tcPr>
          <w:p>
            <w:pPr>
              <w:ind w:left="52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69,027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63,803</w:t>
            </w:r>
          </w:p>
        </w:tc>
        <w:tc>
          <w:tcPr>
            <w:tcW w:w="140" w:type="dxa"/>
            <w:vAlign w:val="bottom"/>
          </w:tcPr>
          <w:p>
            <w:pPr>
              <w:spacing w:after="0"/>
              <w:rPr>
                <w:sz w:val="19"/>
                <w:szCs w:val="19"/>
                <w:color w:val="auto"/>
              </w:rPr>
            </w:pPr>
          </w:p>
        </w:tc>
      </w:tr>
      <w:tr>
        <w:trPr>
          <w:trHeight w:val="230"/>
        </w:trPr>
        <w:tc>
          <w:tcPr>
            <w:tcW w:w="78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Convertible notes</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280,840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279,909</w:t>
            </w:r>
          </w:p>
        </w:tc>
        <w:tc>
          <w:tcPr>
            <w:tcW w:w="140" w:type="dxa"/>
            <w:vAlign w:val="bottom"/>
            <w:shd w:val="clear" w:color="auto" w:fill="CFF0FC"/>
          </w:tcPr>
          <w:p>
            <w:pPr>
              <w:spacing w:after="0"/>
              <w:rPr>
                <w:sz w:val="19"/>
                <w:szCs w:val="19"/>
                <w:color w:val="auto"/>
              </w:rPr>
            </w:pPr>
          </w:p>
        </w:tc>
      </w:tr>
      <w:tr>
        <w:trPr>
          <w:trHeight w:val="230"/>
        </w:trPr>
        <w:tc>
          <w:tcPr>
            <w:tcW w:w="7860" w:type="dxa"/>
            <w:vAlign w:val="bottom"/>
          </w:tcPr>
          <w:p>
            <w:pPr>
              <w:ind w:left="280"/>
              <w:spacing w:after="0"/>
              <w:rPr>
                <w:sz w:val="20"/>
                <w:szCs w:val="20"/>
                <w:color w:val="auto"/>
              </w:rPr>
            </w:pPr>
            <w:r>
              <w:rPr>
                <w:rFonts w:ascii="Arial" w:cs="Arial" w:eastAsia="Arial" w:hAnsi="Arial"/>
                <w:sz w:val="18"/>
                <w:szCs w:val="18"/>
                <w:color w:val="auto"/>
              </w:rPr>
              <w:t>Operating lease liabilities, net of current portion</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14,372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16,940</w:t>
            </w:r>
          </w:p>
        </w:tc>
        <w:tc>
          <w:tcPr>
            <w:tcW w:w="140" w:type="dxa"/>
            <w:vAlign w:val="bottom"/>
          </w:tcPr>
          <w:p>
            <w:pPr>
              <w:spacing w:after="0"/>
              <w:rPr>
                <w:sz w:val="19"/>
                <w:szCs w:val="19"/>
                <w:color w:val="auto"/>
              </w:rPr>
            </w:pPr>
          </w:p>
        </w:tc>
      </w:tr>
      <w:tr>
        <w:trPr>
          <w:trHeight w:val="230"/>
        </w:trPr>
        <w:tc>
          <w:tcPr>
            <w:tcW w:w="78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140" w:type="dxa"/>
            <w:vAlign w:val="bottom"/>
            <w:shd w:val="clear" w:color="auto" w:fill="CFF0FC"/>
          </w:tcPr>
          <w:p>
            <w:pPr>
              <w:spacing w:after="0"/>
              <w:rPr>
                <w:sz w:val="19"/>
                <w:szCs w:val="19"/>
                <w:color w:val="auto"/>
              </w:rPr>
            </w:pPr>
          </w:p>
        </w:tc>
      </w:tr>
      <w:tr>
        <w:trPr>
          <w:trHeight w:val="229"/>
        </w:trPr>
        <w:tc>
          <w:tcPr>
            <w:tcW w:w="7860" w:type="dxa"/>
            <w:vAlign w:val="bottom"/>
          </w:tcPr>
          <w:p>
            <w:pPr>
              <w:ind w:left="28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366,006</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362,092</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3"/>
        </w:trPr>
        <w:tc>
          <w:tcPr>
            <w:tcW w:w="7860" w:type="dxa"/>
            <w:vAlign w:val="bottom"/>
          </w:tcPr>
          <w:p>
            <w:pPr>
              <w:ind w:left="280"/>
              <w:spacing w:after="0" w:line="203" w:lineRule="exact"/>
              <w:rPr>
                <w:sz w:val="20"/>
                <w:szCs w:val="20"/>
                <w:color w:val="auto"/>
              </w:rPr>
            </w:pPr>
            <w:r>
              <w:rPr>
                <w:rFonts w:ascii="Arial" w:cs="Arial" w:eastAsia="Arial" w:hAnsi="Arial"/>
                <w:sz w:val="18"/>
                <w:szCs w:val="18"/>
                <w:color w:val="auto"/>
              </w:rPr>
              <w:t>Preferred stock, $0.000001 par value. Authorized; 50,000,000 shares; zero shares issued</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9"/>
        </w:trPr>
        <w:tc>
          <w:tcPr>
            <w:tcW w:w="7860" w:type="dxa"/>
            <w:vAlign w:val="bottom"/>
          </w:tcPr>
          <w:p>
            <w:pPr>
              <w:ind w:left="280"/>
              <w:spacing w:after="0"/>
              <w:rPr>
                <w:sz w:val="20"/>
                <w:szCs w:val="20"/>
                <w:color w:val="auto"/>
              </w:rPr>
            </w:pPr>
            <w:r>
              <w:rPr>
                <w:rFonts w:ascii="Arial" w:cs="Arial" w:eastAsia="Arial" w:hAnsi="Arial"/>
                <w:sz w:val="18"/>
                <w:szCs w:val="18"/>
                <w:color w:val="auto"/>
              </w:rPr>
              <w:t>and outstanding as of June 30, 2023 and December 31, 2022, respectively</w:t>
            </w:r>
          </w:p>
        </w:tc>
        <w:tc>
          <w:tcPr>
            <w:tcW w:w="24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3"/>
        </w:trPr>
        <w:tc>
          <w:tcPr>
            <w:tcW w:w="7860" w:type="dxa"/>
            <w:vAlign w:val="bottom"/>
            <w:shd w:val="clear" w:color="auto" w:fill="CFF0FC"/>
          </w:tcPr>
          <w:p>
            <w:pPr>
              <w:ind w:left="280"/>
              <w:spacing w:after="0" w:line="203" w:lineRule="exact"/>
              <w:rPr>
                <w:sz w:val="20"/>
                <w:szCs w:val="20"/>
                <w:color w:val="auto"/>
              </w:rPr>
            </w:pPr>
            <w:r>
              <w:rPr>
                <w:rFonts w:ascii="Arial" w:cs="Arial" w:eastAsia="Arial" w:hAnsi="Arial"/>
                <w:sz w:val="18"/>
                <w:szCs w:val="18"/>
                <w:color w:val="auto"/>
              </w:rPr>
              <w:t>Class A Common stock, $0.000001 par value. Authorized; 750,000,000 shares; 45,243,447</w:t>
            </w: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78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shares and 44,822,264 shares issued and outstanding as of June 30, 2023 and December</w:t>
            </w: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29"/>
        </w:trPr>
        <w:tc>
          <w:tcPr>
            <w:tcW w:w="78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31, 2022, respectively</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03"/>
        </w:trPr>
        <w:tc>
          <w:tcPr>
            <w:tcW w:w="7860" w:type="dxa"/>
            <w:vAlign w:val="bottom"/>
          </w:tcPr>
          <w:p>
            <w:pPr>
              <w:ind w:left="280"/>
              <w:spacing w:after="0" w:line="203" w:lineRule="exact"/>
              <w:rPr>
                <w:sz w:val="20"/>
                <w:szCs w:val="20"/>
                <w:color w:val="auto"/>
              </w:rPr>
            </w:pPr>
            <w:r>
              <w:rPr>
                <w:rFonts w:ascii="Arial" w:cs="Arial" w:eastAsia="Arial" w:hAnsi="Arial"/>
                <w:sz w:val="18"/>
                <w:szCs w:val="18"/>
                <w:color w:val="auto"/>
              </w:rPr>
              <w:t>Class B Common stock, $0.000001 par value. Authorized; 5,000,000 shares; 2,676,154</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9"/>
        </w:trPr>
        <w:tc>
          <w:tcPr>
            <w:tcW w:w="7860" w:type="dxa"/>
            <w:vAlign w:val="bottom"/>
          </w:tcPr>
          <w:p>
            <w:pPr>
              <w:ind w:left="280"/>
              <w:spacing w:after="0"/>
              <w:rPr>
                <w:sz w:val="20"/>
                <w:szCs w:val="20"/>
                <w:color w:val="auto"/>
              </w:rPr>
            </w:pPr>
            <w:r>
              <w:rPr>
                <w:rFonts w:ascii="Arial" w:cs="Arial" w:eastAsia="Arial" w:hAnsi="Arial"/>
                <w:sz w:val="18"/>
                <w:szCs w:val="18"/>
                <w:color w:val="auto"/>
              </w:rPr>
              <w:t>shares issued and outstanding as of June 30, 2023 and December 31, 2022, respectively</w:t>
            </w:r>
          </w:p>
        </w:tc>
        <w:tc>
          <w:tcPr>
            <w:tcW w:w="24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635,267</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623,081</w:t>
            </w:r>
          </w:p>
        </w:tc>
        <w:tc>
          <w:tcPr>
            <w:tcW w:w="140" w:type="dxa"/>
            <w:vAlign w:val="bottom"/>
            <w:shd w:val="clear" w:color="auto" w:fill="CFF0FC"/>
          </w:tcPr>
          <w:p>
            <w:pPr>
              <w:spacing w:after="0"/>
              <w:rPr>
                <w:sz w:val="19"/>
                <w:szCs w:val="19"/>
                <w:color w:val="auto"/>
              </w:rPr>
            </w:pPr>
          </w:p>
        </w:tc>
      </w:tr>
      <w:tr>
        <w:trPr>
          <w:trHeight w:val="229"/>
        </w:trPr>
        <w:tc>
          <w:tcPr>
            <w:tcW w:w="7860" w:type="dxa"/>
            <w:vAlign w:val="bottom"/>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r>
      <w:tr>
        <w:trPr>
          <w:trHeight w:val="230"/>
        </w:trPr>
        <w:tc>
          <w:tcPr>
            <w:tcW w:w="78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(294,264 )</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(249,366 )</w:t>
            </w:r>
          </w:p>
        </w:tc>
      </w:tr>
      <w:tr>
        <w:trPr>
          <w:trHeight w:val="223"/>
        </w:trPr>
        <w:tc>
          <w:tcPr>
            <w:tcW w:w="78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341,362</w:t>
            </w:r>
          </w:p>
        </w:tc>
        <w:tc>
          <w:tcPr>
            <w:tcW w:w="14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373,743</w:t>
            </w:r>
          </w:p>
        </w:tc>
        <w:tc>
          <w:tcPr>
            <w:tcW w:w="140" w:type="dxa"/>
            <w:vAlign w:val="bottom"/>
            <w:tcBorders>
              <w:top w:val="single" w:sz="8" w:color="CFF0FC"/>
            </w:tcBorders>
          </w:tcPr>
          <w:p>
            <w:pPr>
              <w:spacing w:after="0"/>
              <w:rPr>
                <w:sz w:val="19"/>
                <w:szCs w:val="19"/>
                <w:color w:val="auto"/>
              </w:rPr>
            </w:pPr>
          </w:p>
        </w:tc>
      </w:tr>
      <w:tr>
        <w:trPr>
          <w:trHeight w:val="230"/>
        </w:trPr>
        <w:tc>
          <w:tcPr>
            <w:tcW w:w="78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b w:val="1"/>
                <w:bCs w:val="1"/>
                <w:color w:val="auto"/>
              </w:rPr>
              <w:t>Noncontrolling interest</w:t>
            </w:r>
          </w:p>
        </w:tc>
        <w:tc>
          <w:tcPr>
            <w:tcW w:w="2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7860" w:type="dxa"/>
            <w:vAlign w:val="bottom"/>
          </w:tcPr>
          <w:p>
            <w:pPr>
              <w:ind w:left="520"/>
              <w:spacing w:after="0"/>
              <w:rPr>
                <w:sz w:val="20"/>
                <w:szCs w:val="20"/>
                <w:color w:val="auto"/>
              </w:rPr>
            </w:pPr>
            <w:r>
              <w:rPr>
                <w:rFonts w:ascii="Arial" w:cs="Arial" w:eastAsia="Arial" w:hAnsi="Arial"/>
                <w:sz w:val="18"/>
                <w:szCs w:val="18"/>
                <w:b w:val="1"/>
                <w:bCs w:val="1"/>
                <w:color w:val="auto"/>
              </w:rPr>
              <w:t>Total equity</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342,476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374,833</w:t>
            </w:r>
          </w:p>
        </w:tc>
        <w:tc>
          <w:tcPr>
            <w:tcW w:w="140" w:type="dxa"/>
            <w:vAlign w:val="bottom"/>
          </w:tcPr>
          <w:p>
            <w:pPr>
              <w:spacing w:after="0"/>
              <w:rPr>
                <w:sz w:val="19"/>
                <w:szCs w:val="19"/>
                <w:color w:val="auto"/>
              </w:rPr>
            </w:pPr>
          </w:p>
        </w:tc>
      </w:tr>
      <w:tr>
        <w:trPr>
          <w:trHeight w:val="263"/>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708,482</w:t>
            </w:r>
          </w:p>
        </w:tc>
        <w:tc>
          <w:tcPr>
            <w:tcW w:w="140" w:type="dxa"/>
            <w:vAlign w:val="bottom"/>
            <w:shd w:val="clear" w:color="auto" w:fill="CFF0FC"/>
          </w:tcPr>
          <w:p>
            <w:pPr>
              <w:spacing w:after="0"/>
              <w:rPr>
                <w:sz w:val="22"/>
                <w:szCs w:val="22"/>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736,925</w:t>
            </w:r>
          </w:p>
        </w:tc>
        <w:tc>
          <w:tcPr>
            <w:tcW w:w="140" w:type="dxa"/>
            <w:vAlign w:val="bottom"/>
            <w:shd w:val="clear" w:color="auto" w:fill="CFF0FC"/>
          </w:tcPr>
          <w:p>
            <w:pPr>
              <w:spacing w:after="0"/>
              <w:rPr>
                <w:sz w:val="22"/>
                <w:szCs w:val="22"/>
                <w:color w:val="auto"/>
              </w:rPr>
            </w:pPr>
          </w:p>
        </w:tc>
      </w:tr>
      <w:tr>
        <w:trPr>
          <w:trHeight w:val="858"/>
        </w:trPr>
        <w:tc>
          <w:tcPr>
            <w:tcW w:w="7860" w:type="dxa"/>
            <w:vAlign w:val="bottom"/>
            <w:tcBorders>
              <w:top w:val="single" w:sz="8" w:color="CFF0FC"/>
            </w:tcBorders>
          </w:tcPr>
          <w:p>
            <w:pPr>
              <w:ind w:left="5580"/>
              <w:spacing w:after="0"/>
              <w:rPr>
                <w:sz w:val="20"/>
                <w:szCs w:val="20"/>
                <w:color w:val="auto"/>
              </w:rPr>
            </w:pPr>
            <w:r>
              <w:rPr>
                <w:rFonts w:ascii="Arial" w:cs="Arial" w:eastAsia="Arial" w:hAnsi="Arial"/>
                <w:sz w:val="18"/>
                <w:szCs w:val="18"/>
                <w:color w:val="auto"/>
              </w:rPr>
              <w:t>7</w:t>
            </w: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r>
      <w:tr>
        <w:trPr>
          <w:trHeight w:val="115"/>
        </w:trPr>
        <w:tc>
          <w:tcPr>
            <w:tcW w:w="7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-5057140</wp:posOffset>
            </wp:positionV>
            <wp:extent cx="85725"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-5057140</wp:posOffset>
            </wp:positionV>
            <wp:extent cx="85725"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-3856990</wp:posOffset>
            </wp:positionV>
            <wp:extent cx="8572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-3856990</wp:posOffset>
            </wp:positionV>
            <wp:extent cx="8572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-2965450</wp:posOffset>
            </wp:positionV>
            <wp:extent cx="8572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-2965450</wp:posOffset>
            </wp:positionV>
            <wp:extent cx="85725"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-1276350</wp:posOffset>
            </wp:positionV>
            <wp:extent cx="8572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-1276350</wp:posOffset>
            </wp:positionV>
            <wp:extent cx="8572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-976630</wp:posOffset>
            </wp:positionV>
            <wp:extent cx="85725"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-976630</wp:posOffset>
            </wp:positionV>
            <wp:extent cx="85725"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-668020</wp:posOffset>
            </wp:positionV>
            <wp:extent cx="121729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17295"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5" w:lineRule="auto"/>
        <w:rPr>
          <w:sz w:val="20"/>
          <w:szCs w:val="20"/>
          <w:color w:val="auto"/>
        </w:rPr>
      </w:pPr>
      <w:r>
        <w:rPr>
          <w:rFonts w:ascii="Arial" w:cs="Arial" w:eastAsia="Arial" w:hAnsi="Arial"/>
          <w:sz w:val="20"/>
          <w:szCs w:val="20"/>
          <w:color w:val="auto"/>
        </w:rPr>
        <w:t>Unaudited Condensed Consolidated Statements of Operations and Comprehensive Loss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 except share and per share amounts)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6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5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548"/>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3"/>
          </w:tcPr>
          <w:p>
            <w:pPr>
              <w:jc w:val="center"/>
              <w:ind w:left="548"/>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3"/>
          </w:tcPr>
          <w:p>
            <w:pPr>
              <w:jc w:val="center"/>
              <w:ind w:left="528"/>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111,008</w:t>
            </w:r>
          </w:p>
        </w:tc>
        <w:tc>
          <w:tcPr>
            <w:tcW w:w="30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95,615</w:t>
            </w:r>
          </w:p>
        </w:tc>
        <w:tc>
          <w:tcPr>
            <w:tcW w:w="30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216,334</w:t>
            </w:r>
          </w:p>
        </w:tc>
        <w:tc>
          <w:tcPr>
            <w:tcW w:w="30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179,286</w:t>
            </w: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67,452</w:t>
            </w:r>
          </w:p>
        </w:tc>
        <w:tc>
          <w:tcPr>
            <w:tcW w:w="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57,919</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133,409</w:t>
            </w:r>
          </w:p>
        </w:tc>
        <w:tc>
          <w:tcPr>
            <w:tcW w:w="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108,651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b w:val="1"/>
                <w:bCs w:val="1"/>
                <w:color w:val="auto"/>
              </w:rPr>
              <w:t>Gross profit</w:t>
            </w:r>
          </w:p>
        </w:tc>
        <w:tc>
          <w:tcPr>
            <w:tcW w:w="26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43,556</w:t>
            </w:r>
          </w:p>
        </w:tc>
        <w:tc>
          <w:tcPr>
            <w:tcW w:w="3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37,696</w:t>
            </w:r>
          </w:p>
        </w:tc>
        <w:tc>
          <w:tcPr>
            <w:tcW w:w="30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82,925</w:t>
            </w:r>
          </w:p>
        </w:tc>
        <w:tc>
          <w:tcPr>
            <w:tcW w:w="3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70,635</w:t>
            </w:r>
          </w:p>
        </w:tc>
        <w:tc>
          <w:tcPr>
            <w:tcW w:w="14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2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22,666</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18,145</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45,105</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37,430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Operations and support</w:t>
            </w: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14,220</w:t>
            </w:r>
          </w:p>
        </w:tc>
        <w:tc>
          <w:tcPr>
            <w:tcW w:w="3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12,180</w:t>
            </w:r>
          </w:p>
        </w:tc>
        <w:tc>
          <w:tcPr>
            <w:tcW w:w="3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26,828</w:t>
            </w:r>
          </w:p>
        </w:tc>
        <w:tc>
          <w:tcPr>
            <w:tcW w:w="3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24,538</w:t>
            </w: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20"/>
              <w:spacing w:after="0"/>
              <w:rPr>
                <w:sz w:val="20"/>
                <w:szCs w:val="20"/>
                <w:color w:val="auto"/>
              </w:rPr>
            </w:pPr>
            <w:r>
              <w:rPr>
                <w:rFonts w:ascii="Arial" w:cs="Arial" w:eastAsia="Arial" w:hAnsi="Arial"/>
                <w:sz w:val="14"/>
                <w:szCs w:val="14"/>
                <w:color w:val="auto"/>
              </w:rPr>
              <w:t>Product development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8,922</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7,796</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17,047</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15,085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General and administrative</w:t>
            </w: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25,582</w:t>
            </w:r>
          </w:p>
        </w:tc>
        <w:tc>
          <w:tcPr>
            <w:tcW w:w="3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15,057</w:t>
            </w:r>
          </w:p>
        </w:tc>
        <w:tc>
          <w:tcPr>
            <w:tcW w:w="3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41,539</w:t>
            </w:r>
          </w:p>
        </w:tc>
        <w:tc>
          <w:tcPr>
            <w:tcW w:w="3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28,017</w:t>
            </w: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20"/>
              <w:spacing w:after="0"/>
              <w:rPr>
                <w:sz w:val="20"/>
                <w:szCs w:val="20"/>
                <w:color w:val="auto"/>
              </w:rPr>
            </w:pPr>
            <w:r>
              <w:rPr>
                <w:rFonts w:ascii="Arial" w:cs="Arial" w:eastAsia="Arial" w:hAnsi="Arial"/>
                <w:sz w:val="14"/>
                <w:szCs w:val="14"/>
                <w:color w:val="auto"/>
              </w:rPr>
              <w:t>Impairment of assets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w:t>
            </w:r>
          </w:p>
        </w:tc>
        <w:tc>
          <w:tcPr>
            <w:tcW w:w="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w:t>
            </w:r>
          </w:p>
        </w:tc>
        <w:tc>
          <w:tcPr>
            <w:tcW w:w="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operating expenses</w:t>
            </w:r>
          </w:p>
        </w:tc>
        <w:tc>
          <w:tcPr>
            <w:tcW w:w="26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71,609</w:t>
            </w:r>
          </w:p>
        </w:tc>
        <w:tc>
          <w:tcPr>
            <w:tcW w:w="3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53,297</w:t>
            </w:r>
          </w:p>
        </w:tc>
        <w:tc>
          <w:tcPr>
            <w:tcW w:w="30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130,765</w:t>
            </w:r>
          </w:p>
        </w:tc>
        <w:tc>
          <w:tcPr>
            <w:tcW w:w="3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105,189</w:t>
            </w:r>
          </w:p>
        </w:tc>
        <w:tc>
          <w:tcPr>
            <w:tcW w:w="14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20" w:type="dxa"/>
            <w:vAlign w:val="bottom"/>
          </w:tcPr>
          <w:p>
            <w:pPr>
              <w:ind w:left="200"/>
              <w:spacing w:after="0"/>
              <w:rPr>
                <w:sz w:val="20"/>
                <w:szCs w:val="20"/>
                <w:color w:val="auto"/>
              </w:rPr>
            </w:pPr>
            <w:r>
              <w:rPr>
                <w:rFonts w:ascii="Arial" w:cs="Arial" w:eastAsia="Arial" w:hAnsi="Arial"/>
                <w:sz w:val="14"/>
                <w:szCs w:val="14"/>
                <w:b w:val="1"/>
                <w:bCs w:val="1"/>
                <w:color w:val="auto"/>
              </w:rPr>
              <w:t>Loss from operations</w:t>
            </w:r>
          </w:p>
        </w:tc>
        <w:tc>
          <w:tcPr>
            <w:tcW w:w="26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(28,053 )</w:t>
            </w:r>
          </w:p>
        </w:tc>
        <w:tc>
          <w:tcPr>
            <w:tcW w:w="34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(15,601 )</w:t>
            </w:r>
          </w:p>
        </w:tc>
        <w:tc>
          <w:tcPr>
            <w:tcW w:w="28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(47,840 )</w:t>
            </w:r>
          </w:p>
        </w:tc>
        <w:tc>
          <w:tcPr>
            <w:tcW w:w="34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(34,554 )</w:t>
            </w:r>
          </w:p>
        </w:tc>
        <w:tc>
          <w:tcPr>
            <w:tcW w:w="0" w:type="dxa"/>
            <w:vAlign w:val="bottom"/>
          </w:tcPr>
          <w:p>
            <w:pPr>
              <w:spacing w:after="0"/>
              <w:rPr>
                <w:sz w:val="1"/>
                <w:szCs w:val="1"/>
                <w:color w:val="auto"/>
              </w:rPr>
            </w:pPr>
          </w:p>
        </w:tc>
      </w:tr>
      <w:tr>
        <w:trPr>
          <w:trHeight w:val="189"/>
        </w:trPr>
        <w:tc>
          <w:tcPr>
            <w:tcW w:w="53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Other income (expenses)</w:t>
            </w: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(1,193 )</w:t>
            </w:r>
          </w:p>
        </w:tc>
        <w:tc>
          <w:tcPr>
            <w:tcW w:w="34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(1,209 )</w:t>
            </w:r>
          </w:p>
        </w:tc>
        <w:tc>
          <w:tcPr>
            <w:tcW w:w="28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(2,391 )</w:t>
            </w:r>
          </w:p>
        </w:tc>
        <w:tc>
          <w:tcPr>
            <w:tcW w:w="3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(1,978 )</w:t>
            </w:r>
          </w:p>
        </w:tc>
        <w:tc>
          <w:tcPr>
            <w:tcW w:w="0" w:type="dxa"/>
            <w:vAlign w:val="bottom"/>
          </w:tcPr>
          <w:p>
            <w:pPr>
              <w:spacing w:after="0"/>
              <w:rPr>
                <w:sz w:val="1"/>
                <w:szCs w:val="1"/>
                <w:color w:val="auto"/>
              </w:rPr>
            </w:pPr>
          </w:p>
        </w:tc>
      </w:tr>
      <w:tr>
        <w:trPr>
          <w:trHeight w:val="189"/>
        </w:trPr>
        <w:tc>
          <w:tcPr>
            <w:tcW w:w="5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and dividend income</w:t>
            </w: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2,959</w:t>
            </w:r>
          </w:p>
        </w:tc>
        <w:tc>
          <w:tcPr>
            <w:tcW w:w="3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474</w:t>
            </w:r>
          </w:p>
        </w:tc>
        <w:tc>
          <w:tcPr>
            <w:tcW w:w="3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5,654</w:t>
            </w:r>
          </w:p>
        </w:tc>
        <w:tc>
          <w:tcPr>
            <w:tcW w:w="3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570</w:t>
            </w: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20"/>
              <w:spacing w:after="0"/>
              <w:rPr>
                <w:sz w:val="20"/>
                <w:szCs w:val="20"/>
                <w:color w:val="auto"/>
              </w:rPr>
            </w:pPr>
            <w:r>
              <w:rPr>
                <w:rFonts w:ascii="Arial" w:cs="Arial" w:eastAsia="Arial" w:hAnsi="Arial"/>
                <w:sz w:val="14"/>
                <w:szCs w:val="14"/>
                <w:color w:val="auto"/>
              </w:rPr>
              <w:t>Other expenses</w:t>
            </w:r>
          </w:p>
        </w:tc>
        <w:tc>
          <w:tcPr>
            <w:tcW w:w="26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(576 )</w:t>
            </w:r>
          </w:p>
        </w:tc>
        <w:tc>
          <w:tcPr>
            <w:tcW w:w="34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(482 )</w:t>
            </w:r>
          </w:p>
        </w:tc>
        <w:tc>
          <w:tcPr>
            <w:tcW w:w="28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(559 )</w:t>
            </w:r>
          </w:p>
        </w:tc>
        <w:tc>
          <w:tcPr>
            <w:tcW w:w="3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(1,444 )</w:t>
            </w:r>
          </w:p>
        </w:tc>
        <w:tc>
          <w:tcPr>
            <w:tcW w:w="0" w:type="dxa"/>
            <w:vAlign w:val="bottom"/>
          </w:tcPr>
          <w:p>
            <w:pPr>
              <w:spacing w:after="0"/>
              <w:rPr>
                <w:sz w:val="1"/>
                <w:szCs w:val="1"/>
                <w:color w:val="auto"/>
              </w:rPr>
            </w:pPr>
          </w:p>
        </w:tc>
      </w:tr>
      <w:tr>
        <w:trPr>
          <w:trHeight w:val="189"/>
        </w:trPr>
        <w:tc>
          <w:tcPr>
            <w:tcW w:w="5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Income from unconsolidated joint venture</w:t>
            </w:r>
          </w:p>
        </w:tc>
        <w:tc>
          <w:tcPr>
            <w:tcW w:w="2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237</w:t>
            </w:r>
          </w:p>
        </w:tc>
        <w:tc>
          <w:tcPr>
            <w:tcW w:w="30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269</w:t>
            </w:r>
          </w:p>
        </w:tc>
        <w:tc>
          <w:tcPr>
            <w:tcW w:w="3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303</w:t>
            </w:r>
          </w:p>
        </w:tc>
        <w:tc>
          <w:tcPr>
            <w:tcW w:w="30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303</w:t>
            </w:r>
          </w:p>
        </w:tc>
        <w:tc>
          <w:tcPr>
            <w:tcW w:w="14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20" w:type="dxa"/>
            <w:vAlign w:val="bottom"/>
          </w:tcPr>
          <w:p>
            <w:pPr>
              <w:ind w:left="20"/>
              <w:spacing w:after="0"/>
              <w:rPr>
                <w:sz w:val="20"/>
                <w:szCs w:val="20"/>
                <w:color w:val="auto"/>
              </w:rPr>
            </w:pPr>
            <w:r>
              <w:rPr>
                <w:rFonts w:ascii="Arial" w:cs="Arial" w:eastAsia="Arial" w:hAnsi="Arial"/>
                <w:sz w:val="14"/>
                <w:szCs w:val="14"/>
                <w:color w:val="auto"/>
              </w:rPr>
              <w:t>Total other income (expenses)</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1,427</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(948 )</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3,007</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(2,549 )</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2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Loss before income taxes</w:t>
            </w:r>
          </w:p>
        </w:tc>
        <w:tc>
          <w:tcPr>
            <w:tcW w:w="2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(26,626 )</w:t>
            </w:r>
          </w:p>
        </w:tc>
        <w:tc>
          <w:tcPr>
            <w:tcW w:w="3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(16,549 )</w:t>
            </w:r>
          </w:p>
        </w:tc>
        <w:tc>
          <w:tcPr>
            <w:tcW w:w="2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(44,833 )</w:t>
            </w:r>
          </w:p>
        </w:tc>
        <w:tc>
          <w:tcPr>
            <w:tcW w:w="3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(37,103 )</w:t>
            </w:r>
          </w:p>
        </w:tc>
        <w:tc>
          <w:tcPr>
            <w:tcW w:w="0" w:type="dxa"/>
            <w:vAlign w:val="bottom"/>
          </w:tcPr>
          <w:p>
            <w:pPr>
              <w:spacing w:after="0"/>
              <w:rPr>
                <w:sz w:val="1"/>
                <w:szCs w:val="1"/>
                <w:color w:val="auto"/>
              </w:rPr>
            </w:pPr>
          </w:p>
        </w:tc>
      </w:tr>
      <w:tr>
        <w:trPr>
          <w:trHeight w:val="189"/>
        </w:trPr>
        <w:tc>
          <w:tcPr>
            <w:tcW w:w="5320" w:type="dxa"/>
            <w:vAlign w:val="bottom"/>
          </w:tcPr>
          <w:p>
            <w:pPr>
              <w:ind w:left="20"/>
              <w:spacing w:after="0"/>
              <w:rPr>
                <w:sz w:val="20"/>
                <w:szCs w:val="20"/>
                <w:color w:val="auto"/>
              </w:rPr>
            </w:pPr>
            <w:r>
              <w:rPr>
                <w:rFonts w:ascii="Arial" w:cs="Arial" w:eastAsia="Arial" w:hAnsi="Arial"/>
                <w:sz w:val="14"/>
                <w:szCs w:val="14"/>
                <w:color w:val="auto"/>
              </w:rPr>
              <w:t>Benefit (provision) for income taxes</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(69 )</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2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Net loss</w:t>
            </w:r>
          </w:p>
        </w:tc>
        <w:tc>
          <w:tcPr>
            <w:tcW w:w="2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(26,559 )</w:t>
            </w:r>
          </w:p>
        </w:tc>
        <w:tc>
          <w:tcPr>
            <w:tcW w:w="3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(16,549 )</w:t>
            </w:r>
          </w:p>
        </w:tc>
        <w:tc>
          <w:tcPr>
            <w:tcW w:w="2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(44,902 )</w:t>
            </w:r>
          </w:p>
        </w:tc>
        <w:tc>
          <w:tcPr>
            <w:tcW w:w="3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(36,544 )</w:t>
            </w:r>
          </w:p>
        </w:tc>
        <w:tc>
          <w:tcPr>
            <w:tcW w:w="0" w:type="dxa"/>
            <w:vAlign w:val="bottom"/>
          </w:tcPr>
          <w:p>
            <w:pPr>
              <w:spacing w:after="0"/>
              <w:rPr>
                <w:sz w:val="1"/>
                <w:szCs w:val="1"/>
                <w:color w:val="auto"/>
              </w:rPr>
            </w:pPr>
          </w:p>
        </w:tc>
      </w:tr>
      <w:tr>
        <w:trPr>
          <w:trHeight w:val="189"/>
        </w:trPr>
        <w:tc>
          <w:tcPr>
            <w:tcW w:w="5320" w:type="dxa"/>
            <w:vAlign w:val="bottom"/>
          </w:tcPr>
          <w:p>
            <w:pPr>
              <w:ind w:left="20"/>
              <w:spacing w:after="0"/>
              <w:rPr>
                <w:sz w:val="20"/>
                <w:szCs w:val="20"/>
                <w:color w:val="auto"/>
              </w:rPr>
            </w:pPr>
            <w:r>
              <w:rPr>
                <w:rFonts w:ascii="Arial" w:cs="Arial" w:eastAsia="Arial" w:hAnsi="Arial"/>
                <w:sz w:val="14"/>
                <w:szCs w:val="14"/>
                <w:color w:val="auto"/>
              </w:rPr>
              <w:t>Net (loss) income attributable to noncontrolling interest</w:t>
            </w:r>
          </w:p>
        </w:tc>
        <w:tc>
          <w:tcPr>
            <w:tcW w:w="26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(5 )</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(4 )</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Net loss attributable to common stockholders</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(26,554 )</w:t>
            </w:r>
          </w:p>
        </w:tc>
        <w:tc>
          <w:tcPr>
            <w:tcW w:w="3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(16,553 )</w:t>
            </w: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(44,898 )</w:t>
            </w:r>
          </w:p>
        </w:tc>
        <w:tc>
          <w:tcPr>
            <w:tcW w:w="3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(36,565 )</w:t>
            </w:r>
          </w:p>
        </w:tc>
        <w:tc>
          <w:tcPr>
            <w:tcW w:w="0" w:type="dxa"/>
            <w:vAlign w:val="bottom"/>
          </w:tcPr>
          <w:p>
            <w:pPr>
              <w:spacing w:after="0"/>
              <w:rPr>
                <w:sz w:val="1"/>
                <w:szCs w:val="1"/>
                <w:color w:val="auto"/>
              </w:rPr>
            </w:pPr>
          </w:p>
        </w:tc>
      </w:tr>
      <w:tr>
        <w:trPr>
          <w:trHeight w:val="20"/>
        </w:trPr>
        <w:tc>
          <w:tcPr>
            <w:tcW w:w="53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320" w:type="dxa"/>
            <w:vAlign w:val="bottom"/>
          </w:tcPr>
          <w:p>
            <w:pPr>
              <w:ind w:left="20"/>
              <w:spacing w:after="0" w:line="151" w:lineRule="exact"/>
              <w:rPr>
                <w:sz w:val="20"/>
                <w:szCs w:val="20"/>
                <w:color w:val="auto"/>
              </w:rPr>
            </w:pPr>
            <w:r>
              <w:rPr>
                <w:rFonts w:ascii="Arial" w:cs="Arial" w:eastAsia="Arial" w:hAnsi="Arial"/>
                <w:sz w:val="14"/>
                <w:szCs w:val="14"/>
                <w:color w:val="auto"/>
              </w:rPr>
              <w:t>Net loss per share, basic and diluted, of Class A and Class B common</w:t>
            </w:r>
          </w:p>
        </w:tc>
        <w:tc>
          <w:tcPr>
            <w:tcW w:w="260" w:type="dxa"/>
            <w:vAlign w:val="bottom"/>
            <w:vMerge w:val="restart"/>
          </w:tcPr>
          <w:p>
            <w:pPr>
              <w:jc w:val="right"/>
              <w:ind w:right="108"/>
              <w:spacing w:after="0"/>
              <w:rPr>
                <w:sz w:val="20"/>
                <w:szCs w:val="20"/>
                <w:color w:val="auto"/>
              </w:rPr>
            </w:pPr>
            <w:r>
              <w:rPr>
                <w:rFonts w:ascii="Arial" w:cs="Arial" w:eastAsia="Arial" w:hAnsi="Arial"/>
                <w:sz w:val="14"/>
                <w:szCs w:val="14"/>
                <w:color w:val="auto"/>
                <w:w w:val="76"/>
              </w:rPr>
              <w:t>$</w:t>
            </w: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(0.55 )</w:t>
            </w: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(0.35 )</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(0.94 )</w:t>
            </w: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(0.78 )</w:t>
            </w:r>
          </w:p>
        </w:tc>
        <w:tc>
          <w:tcPr>
            <w:tcW w:w="0" w:type="dxa"/>
            <w:vAlign w:val="bottom"/>
          </w:tcPr>
          <w:p>
            <w:pPr>
              <w:spacing w:after="0"/>
              <w:rPr>
                <w:sz w:val="1"/>
                <w:szCs w:val="1"/>
                <w:color w:val="auto"/>
              </w:rPr>
            </w:pPr>
          </w:p>
        </w:tc>
      </w:tr>
      <w:tr>
        <w:trPr>
          <w:trHeight w:val="140"/>
        </w:trPr>
        <w:tc>
          <w:tcPr>
            <w:tcW w:w="5320" w:type="dxa"/>
            <w:vAlign w:val="bottom"/>
          </w:tcPr>
          <w:p>
            <w:pPr>
              <w:ind w:left="140"/>
              <w:spacing w:after="0" w:line="121" w:lineRule="exact"/>
              <w:rPr>
                <w:sz w:val="20"/>
                <w:szCs w:val="20"/>
                <w:color w:val="auto"/>
              </w:rPr>
            </w:pPr>
            <w:r>
              <w:rPr>
                <w:rFonts w:ascii="Arial" w:cs="Arial" w:eastAsia="Arial" w:hAnsi="Arial"/>
                <w:sz w:val="13"/>
                <w:szCs w:val="13"/>
                <w:color w:val="auto"/>
              </w:rPr>
              <w:t>stock</w:t>
            </w:r>
          </w:p>
        </w:tc>
        <w:tc>
          <w:tcPr>
            <w:tcW w:w="260" w:type="dxa"/>
            <w:vAlign w:val="bottom"/>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320" w:type="dxa"/>
            <w:vAlign w:val="bottom"/>
            <w:shd w:val="clear" w:color="auto" w:fill="CFF0FC"/>
          </w:tcPr>
          <w:p>
            <w:pPr>
              <w:ind w:left="20"/>
              <w:spacing w:after="0" w:line="151" w:lineRule="exact"/>
              <w:rPr>
                <w:sz w:val="20"/>
                <w:szCs w:val="20"/>
                <w:color w:val="auto"/>
              </w:rPr>
            </w:pPr>
            <w:r>
              <w:rPr>
                <w:rFonts w:ascii="Arial" w:cs="Arial" w:eastAsia="Arial" w:hAnsi="Arial"/>
                <w:sz w:val="14"/>
                <w:szCs w:val="14"/>
                <w:color w:val="auto"/>
              </w:rPr>
              <w:t>Weighted-average number of shares outstanding used to compute</w:t>
            </w: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net loss per share, basic and diluted, of Class A and Class B</w:t>
            </w:r>
          </w:p>
        </w:tc>
        <w:tc>
          <w:tcPr>
            <w:tcW w:w="260" w:type="dxa"/>
            <w:vAlign w:val="bottom"/>
            <w:shd w:val="clear" w:color="auto" w:fill="CFF0FC"/>
          </w:tcPr>
          <w:p>
            <w:pPr>
              <w:spacing w:after="0"/>
              <w:rPr>
                <w:sz w:val="14"/>
                <w:szCs w:val="14"/>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47,865,990</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47,074,246</w:t>
            </w:r>
          </w:p>
        </w:tc>
        <w:tc>
          <w:tcPr>
            <w:tcW w:w="3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47,783,235</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46,932,702</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320" w:type="dxa"/>
            <w:vAlign w:val="bottom"/>
            <w:tcBorders>
              <w:bottom w:val="single" w:sz="8" w:color="CFF0FC"/>
            </w:tcBorders>
            <w:shd w:val="clear" w:color="auto" w:fill="CFF0FC"/>
          </w:tcPr>
          <w:p>
            <w:pPr>
              <w:ind w:left="140"/>
              <w:spacing w:after="0" w:line="121" w:lineRule="exact"/>
              <w:rPr>
                <w:sz w:val="20"/>
                <w:szCs w:val="20"/>
                <w:color w:val="auto"/>
              </w:rPr>
            </w:pPr>
            <w:r>
              <w:rPr>
                <w:rFonts w:ascii="Arial" w:cs="Arial" w:eastAsia="Arial" w:hAnsi="Arial"/>
                <w:sz w:val="13"/>
                <w:szCs w:val="13"/>
                <w:color w:val="auto"/>
              </w:rPr>
              <w:t>common stock</w:t>
            </w:r>
          </w:p>
        </w:tc>
        <w:tc>
          <w:tcPr>
            <w:tcW w:w="26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vMerge w:val="continue"/>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vMerge w:val="continue"/>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vMerge w:val="continue"/>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vMerge w:val="continue"/>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59"/>
        </w:trPr>
        <w:tc>
          <w:tcPr>
            <w:tcW w:w="5320" w:type="dxa"/>
            <w:vAlign w:val="bottom"/>
          </w:tcPr>
          <w:p>
            <w:pPr>
              <w:ind w:left="20"/>
              <w:spacing w:after="0"/>
              <w:rPr>
                <w:sz w:val="20"/>
                <w:szCs w:val="20"/>
                <w:color w:val="auto"/>
              </w:rPr>
            </w:pPr>
            <w:r>
              <w:rPr>
                <w:rFonts w:ascii="Arial" w:cs="Arial" w:eastAsia="Arial" w:hAnsi="Arial"/>
                <w:sz w:val="14"/>
                <w:szCs w:val="14"/>
                <w:color w:val="auto"/>
              </w:rPr>
              <w:t>Comprehensive loss: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Foreign currency translation</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w:t>
            </w:r>
          </w:p>
        </w:tc>
        <w:tc>
          <w:tcPr>
            <w:tcW w:w="30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30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359</w:t>
            </w:r>
          </w:p>
        </w:tc>
        <w:tc>
          <w:tcPr>
            <w:tcW w:w="30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20"/>
        </w:trPr>
        <w:tc>
          <w:tcPr>
            <w:tcW w:w="5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20" w:type="dxa"/>
            <w:vAlign w:val="bottom"/>
          </w:tcPr>
          <w:p>
            <w:pPr>
              <w:ind w:left="380"/>
              <w:spacing w:after="0"/>
              <w:rPr>
                <w:sz w:val="20"/>
                <w:szCs w:val="20"/>
                <w:color w:val="auto"/>
              </w:rPr>
            </w:pPr>
            <w:r>
              <w:rPr>
                <w:rFonts w:ascii="Arial" w:cs="Arial" w:eastAsia="Arial" w:hAnsi="Arial"/>
                <w:sz w:val="14"/>
                <w:szCs w:val="14"/>
                <w:color w:val="auto"/>
              </w:rPr>
              <w:t>Total other comprehensive income (loss)</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224</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359</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Net loss</w:t>
            </w:r>
          </w:p>
        </w:tc>
        <w:tc>
          <w:tcPr>
            <w:tcW w:w="2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(26,559 )</w:t>
            </w:r>
          </w:p>
        </w:tc>
        <w:tc>
          <w:tcPr>
            <w:tcW w:w="3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(16,549 )</w:t>
            </w:r>
          </w:p>
        </w:tc>
        <w:tc>
          <w:tcPr>
            <w:tcW w:w="2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(44,902 )</w:t>
            </w:r>
          </w:p>
        </w:tc>
        <w:tc>
          <w:tcPr>
            <w:tcW w:w="3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(36,544 )</w:t>
            </w:r>
          </w:p>
        </w:tc>
        <w:tc>
          <w:tcPr>
            <w:tcW w:w="0" w:type="dxa"/>
            <w:vAlign w:val="bottom"/>
          </w:tcPr>
          <w:p>
            <w:pPr>
              <w:spacing w:after="0"/>
              <w:rPr>
                <w:sz w:val="1"/>
                <w:szCs w:val="1"/>
                <w:color w:val="auto"/>
              </w:rPr>
            </w:pPr>
          </w:p>
        </w:tc>
      </w:tr>
      <w:tr>
        <w:trPr>
          <w:trHeight w:val="20"/>
        </w:trPr>
        <w:tc>
          <w:tcPr>
            <w:tcW w:w="5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20" w:type="dxa"/>
            <w:vAlign w:val="bottom"/>
          </w:tcPr>
          <w:p>
            <w:pPr>
              <w:ind w:left="20"/>
              <w:spacing w:after="0"/>
              <w:rPr>
                <w:sz w:val="20"/>
                <w:szCs w:val="20"/>
                <w:color w:val="auto"/>
              </w:rPr>
            </w:pPr>
            <w:r>
              <w:rPr>
                <w:rFonts w:ascii="Arial" w:cs="Arial" w:eastAsia="Arial" w:hAnsi="Arial"/>
                <w:sz w:val="14"/>
                <w:szCs w:val="14"/>
                <w:b w:val="1"/>
                <w:bCs w:val="1"/>
                <w:color w:val="auto"/>
              </w:rPr>
              <w:t>Comprehensive loss</w:t>
            </w:r>
          </w:p>
        </w:tc>
        <w:tc>
          <w:tcPr>
            <w:tcW w:w="26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(26,335 )</w:t>
            </w:r>
          </w:p>
        </w:tc>
        <w:tc>
          <w:tcPr>
            <w:tcW w:w="34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(16,535 )</w:t>
            </w:r>
          </w:p>
        </w:tc>
        <w:tc>
          <w:tcPr>
            <w:tcW w:w="28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(44,543 )</w:t>
            </w:r>
          </w:p>
        </w:tc>
        <w:tc>
          <w:tcPr>
            <w:tcW w:w="34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(36,558 )</w:t>
            </w:r>
          </w:p>
        </w:tc>
        <w:tc>
          <w:tcPr>
            <w:tcW w:w="0" w:type="dxa"/>
            <w:vAlign w:val="bottom"/>
          </w:tcPr>
          <w:p>
            <w:pPr>
              <w:spacing w:after="0"/>
              <w:rPr>
                <w:sz w:val="1"/>
                <w:szCs w:val="1"/>
                <w:color w:val="auto"/>
              </w:rPr>
            </w:pPr>
          </w:p>
        </w:tc>
      </w:tr>
      <w:tr>
        <w:trPr>
          <w:trHeight w:val="189"/>
        </w:trPr>
        <w:tc>
          <w:tcPr>
            <w:tcW w:w="5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Comprehensive income attributable to noncontrolling interest</w:t>
            </w:r>
          </w:p>
        </w:tc>
        <w:tc>
          <w:tcPr>
            <w:tcW w:w="2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30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w:t>
            </w:r>
          </w:p>
        </w:tc>
        <w:tc>
          <w:tcPr>
            <w:tcW w:w="3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30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71</w:t>
            </w:r>
          </w:p>
        </w:tc>
        <w:tc>
          <w:tcPr>
            <w:tcW w:w="14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20" w:type="dxa"/>
            <w:vAlign w:val="bottom"/>
          </w:tcPr>
          <w:p>
            <w:pPr>
              <w:ind w:left="20"/>
              <w:spacing w:after="0"/>
              <w:rPr>
                <w:sz w:val="20"/>
                <w:szCs w:val="20"/>
                <w:color w:val="auto"/>
              </w:rPr>
            </w:pPr>
            <w:r>
              <w:rPr>
                <w:rFonts w:ascii="Arial" w:cs="Arial" w:eastAsia="Arial" w:hAnsi="Arial"/>
                <w:sz w:val="14"/>
                <w:szCs w:val="14"/>
                <w:b w:val="1"/>
                <w:bCs w:val="1"/>
                <w:color w:val="auto"/>
              </w:rPr>
              <w:t>Total comprehensive loss attributable to common stockholders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(26,354 )</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(16,572 )</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(44,567 )</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(36,629 )</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-3814445</wp:posOffset>
            </wp:positionV>
            <wp:extent cx="7747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-3814445</wp:posOffset>
            </wp:positionV>
            <wp:extent cx="8572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-3814445</wp:posOffset>
            </wp:positionV>
            <wp:extent cx="8572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-3814445</wp:posOffset>
            </wp:positionV>
            <wp:extent cx="8572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-3077210</wp:posOffset>
            </wp:positionV>
            <wp:extent cx="7747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-3077210</wp:posOffset>
            </wp:positionV>
            <wp:extent cx="8572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-3077210</wp:posOffset>
            </wp:positionV>
            <wp:extent cx="8572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-3077210</wp:posOffset>
            </wp:positionV>
            <wp:extent cx="8572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-2348230</wp:posOffset>
            </wp:positionV>
            <wp:extent cx="7747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-2348230</wp:posOffset>
            </wp:positionV>
            <wp:extent cx="8572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-2348230</wp:posOffset>
            </wp:positionV>
            <wp:extent cx="85725"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-2348230</wp:posOffset>
            </wp:positionV>
            <wp:extent cx="8572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-1593850</wp:posOffset>
            </wp:positionV>
            <wp:extent cx="2983230" cy="2489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83230" cy="24892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-1045210</wp:posOffset>
            </wp:positionV>
            <wp:extent cx="2983230" cy="2660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83230" cy="26606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-659765</wp:posOffset>
            </wp:positionV>
            <wp:extent cx="7747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-659765</wp:posOffset>
            </wp:positionV>
            <wp:extent cx="8572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-659765</wp:posOffset>
            </wp:positionV>
            <wp:extent cx="8572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-659765</wp:posOffset>
            </wp:positionV>
            <wp:extent cx="8572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-402590</wp:posOffset>
            </wp:positionV>
            <wp:extent cx="77470"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-402590</wp:posOffset>
            </wp:positionV>
            <wp:extent cx="8572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-402590</wp:posOffset>
            </wp:positionV>
            <wp:extent cx="8572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-402590</wp:posOffset>
            </wp:positionV>
            <wp:extent cx="8572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-153670</wp:posOffset>
            </wp:positionV>
            <wp:extent cx="7747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-153670</wp:posOffset>
            </wp:positionV>
            <wp:extent cx="85725"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-153670</wp:posOffset>
            </wp:positionV>
            <wp:extent cx="85725"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-153670</wp:posOffset>
            </wp:positionV>
            <wp:extent cx="85725"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15430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b w:val="1"/>
          <w:bCs w:val="1"/>
          <w:color w:val="auto"/>
        </w:rPr>
        <w:t>Xometry, Inc. and Subsidiaries</w:t>
      </w:r>
    </w:p>
    <w:p>
      <w:pPr>
        <w:jc w:val="center"/>
        <w:ind w:right="-59"/>
        <w:spacing w:after="0" w:line="235" w:lineRule="auto"/>
        <w:rPr>
          <w:sz w:val="20"/>
          <w:szCs w:val="20"/>
          <w:color w:val="auto"/>
        </w:rPr>
      </w:pPr>
      <w:r>
        <w:rPr>
          <w:rFonts w:ascii="Arial" w:cs="Arial" w:eastAsia="Arial" w:hAnsi="Arial"/>
          <w:sz w:val="20"/>
          <w:szCs w:val="20"/>
          <w:color w:val="auto"/>
        </w:rPr>
        <w:t>Unaudited Condensed 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20" w:type="dxa"/>
            <w:vAlign w:val="bottom"/>
          </w:tcPr>
          <w:p>
            <w:pPr>
              <w:spacing w:after="0"/>
              <w:rPr>
                <w:sz w:val="16"/>
                <w:szCs w:val="16"/>
                <w:color w:val="auto"/>
              </w:rPr>
            </w:pPr>
          </w:p>
        </w:tc>
        <w:tc>
          <w:tcPr>
            <w:tcW w:w="2880" w:type="dxa"/>
            <w:vAlign w:val="bottom"/>
            <w:tcBorders>
              <w:bottom w:val="single" w:sz="8" w:color="auto"/>
            </w:tcBorders>
            <w:gridSpan w:val="5"/>
          </w:tcPr>
          <w:p>
            <w:pPr>
              <w:jc w:val="right"/>
              <w:ind w:right="128"/>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3"/>
        </w:trPr>
        <w:tc>
          <w:tcPr>
            <w:tcW w:w="762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76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20" w:type="dxa"/>
            <w:vAlign w:val="bottom"/>
            <w:shd w:val="clear" w:color="auto" w:fill="CFF0FC"/>
          </w:tcPr>
          <w:p>
            <w:pPr>
              <w:spacing w:after="0"/>
              <w:rPr>
                <w:sz w:val="15"/>
                <w:szCs w:val="15"/>
                <w:color w:val="auto"/>
              </w:rPr>
            </w:pPr>
          </w:p>
        </w:tc>
        <w:tc>
          <w:tcPr>
            <w:tcW w:w="1860" w:type="dxa"/>
            <w:vAlign w:val="bottom"/>
            <w:gridSpan w:val="4"/>
            <w:shd w:val="clear" w:color="auto" w:fill="CFF0FC"/>
          </w:tcPr>
          <w:p>
            <w:pPr>
              <w:jc w:val="right"/>
              <w:ind w:right="668"/>
              <w:spacing w:after="0"/>
              <w:rPr>
                <w:sz w:val="20"/>
                <w:szCs w:val="20"/>
                <w:color w:val="auto"/>
              </w:rPr>
            </w:pPr>
            <w:r>
              <w:rPr>
                <w:rFonts w:ascii="Arial" w:cs="Arial" w:eastAsia="Arial" w:hAnsi="Arial"/>
                <w:sz w:val="14"/>
                <w:szCs w:val="14"/>
                <w:b w:val="1"/>
                <w:bCs w:val="1"/>
                <w:color w:val="auto"/>
              </w:rPr>
              <w:t>(unaudited)</w:t>
            </w:r>
          </w:p>
        </w:tc>
        <w:tc>
          <w:tcPr>
            <w:tcW w:w="6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89"/>
        </w:trPr>
        <w:tc>
          <w:tcPr>
            <w:tcW w:w="7620" w:type="dxa"/>
            <w:vAlign w:val="bottom"/>
          </w:tcPr>
          <w:p>
            <w:pPr>
              <w:ind w:left="200"/>
              <w:spacing w:after="0"/>
              <w:rPr>
                <w:sz w:val="20"/>
                <w:szCs w:val="20"/>
                <w:color w:val="auto"/>
              </w:rPr>
            </w:pPr>
            <w:r>
              <w:rPr>
                <w:rFonts w:ascii="Arial" w:cs="Arial" w:eastAsia="Arial" w:hAnsi="Arial"/>
                <w:sz w:val="14"/>
                <w:szCs w:val="14"/>
                <w:color w:val="auto"/>
              </w:rPr>
              <w:t>Net loss</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(44,902 )</w:t>
            </w:r>
          </w:p>
        </w:tc>
        <w:tc>
          <w:tcPr>
            <w:tcW w:w="180" w:type="dxa"/>
            <w:vAlign w:val="bottom"/>
          </w:tcPr>
          <w:p>
            <w:pPr>
              <w:spacing w:after="0"/>
              <w:rPr>
                <w:sz w:val="16"/>
                <w:szCs w:val="16"/>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(36,544 )</w:t>
            </w:r>
          </w:p>
        </w:tc>
      </w:tr>
      <w:tr>
        <w:trPr>
          <w:trHeight w:val="189"/>
        </w:trPr>
        <w:tc>
          <w:tcPr>
            <w:tcW w:w="7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r>
      <w:tr>
        <w:trPr>
          <w:trHeight w:val="189"/>
        </w:trPr>
        <w:tc>
          <w:tcPr>
            <w:tcW w:w="762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5,461</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3,807</w:t>
            </w:r>
          </w:p>
        </w:tc>
        <w:tc>
          <w:tcPr>
            <w:tcW w:w="140" w:type="dxa"/>
            <w:vAlign w:val="bottom"/>
          </w:tcPr>
          <w:p>
            <w:pPr>
              <w:spacing w:after="0"/>
              <w:rPr>
                <w:sz w:val="16"/>
                <w:szCs w:val="16"/>
                <w:color w:val="auto"/>
              </w:rPr>
            </w:pPr>
          </w:p>
        </w:tc>
      </w:tr>
      <w:tr>
        <w:trPr>
          <w:trHeight w:val="189"/>
        </w:trPr>
        <w:tc>
          <w:tcPr>
            <w:tcW w:w="76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Impairment of assets</w:t>
            </w:r>
          </w:p>
        </w:tc>
        <w:tc>
          <w:tcPr>
            <w:tcW w:w="10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246</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w:t>
            </w:r>
          </w:p>
        </w:tc>
        <w:tc>
          <w:tcPr>
            <w:tcW w:w="140" w:type="dxa"/>
            <w:vAlign w:val="bottom"/>
            <w:shd w:val="clear" w:color="auto" w:fill="CFF0FC"/>
          </w:tcPr>
          <w:p>
            <w:pPr>
              <w:spacing w:after="0"/>
              <w:rPr>
                <w:sz w:val="16"/>
                <w:szCs w:val="16"/>
                <w:color w:val="auto"/>
              </w:rPr>
            </w:pPr>
          </w:p>
        </w:tc>
      </w:tr>
      <w:tr>
        <w:trPr>
          <w:trHeight w:val="189"/>
        </w:trPr>
        <w:tc>
          <w:tcPr>
            <w:tcW w:w="7620" w:type="dxa"/>
            <w:vAlign w:val="bottom"/>
          </w:tcPr>
          <w:p>
            <w:pPr>
              <w:ind w:left="380"/>
              <w:spacing w:after="0"/>
              <w:rPr>
                <w:sz w:val="20"/>
                <w:szCs w:val="20"/>
                <w:color w:val="auto"/>
              </w:rPr>
            </w:pPr>
            <w:r>
              <w:rPr>
                <w:rFonts w:ascii="Arial" w:cs="Arial" w:eastAsia="Arial" w:hAnsi="Arial"/>
                <w:sz w:val="14"/>
                <w:szCs w:val="14"/>
                <w:color w:val="auto"/>
              </w:rPr>
              <w:t>Reduction in carrying amount of right-of-use asset</w:t>
            </w: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12,179</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3,540</w:t>
            </w:r>
          </w:p>
        </w:tc>
        <w:tc>
          <w:tcPr>
            <w:tcW w:w="140" w:type="dxa"/>
            <w:vAlign w:val="bottom"/>
          </w:tcPr>
          <w:p>
            <w:pPr>
              <w:spacing w:after="0"/>
              <w:rPr>
                <w:sz w:val="16"/>
                <w:szCs w:val="16"/>
                <w:color w:val="auto"/>
              </w:rPr>
            </w:pPr>
          </w:p>
        </w:tc>
      </w:tr>
      <w:tr>
        <w:trPr>
          <w:trHeight w:val="189"/>
        </w:trPr>
        <w:tc>
          <w:tcPr>
            <w:tcW w:w="76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Stock based compensation</w:t>
            </w:r>
          </w:p>
        </w:tc>
        <w:tc>
          <w:tcPr>
            <w:tcW w:w="10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10,492</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8,935</w:t>
            </w:r>
          </w:p>
        </w:tc>
        <w:tc>
          <w:tcPr>
            <w:tcW w:w="140" w:type="dxa"/>
            <w:vAlign w:val="bottom"/>
            <w:shd w:val="clear" w:color="auto" w:fill="CFF0FC"/>
          </w:tcPr>
          <w:p>
            <w:pPr>
              <w:spacing w:after="0"/>
              <w:rPr>
                <w:sz w:val="16"/>
                <w:szCs w:val="16"/>
                <w:color w:val="auto"/>
              </w:rPr>
            </w:pPr>
          </w:p>
        </w:tc>
      </w:tr>
      <w:tr>
        <w:trPr>
          <w:trHeight w:val="189"/>
        </w:trPr>
        <w:tc>
          <w:tcPr>
            <w:tcW w:w="7620" w:type="dxa"/>
            <w:vAlign w:val="bottom"/>
          </w:tcPr>
          <w:p>
            <w:pPr>
              <w:ind w:left="380"/>
              <w:spacing w:after="0"/>
              <w:rPr>
                <w:sz w:val="20"/>
                <w:szCs w:val="20"/>
                <w:color w:val="auto"/>
              </w:rPr>
            </w:pPr>
            <w:r>
              <w:rPr>
                <w:rFonts w:ascii="Arial" w:cs="Arial" w:eastAsia="Arial" w:hAnsi="Arial"/>
                <w:sz w:val="14"/>
                <w:szCs w:val="14"/>
                <w:color w:val="auto"/>
              </w:rPr>
              <w:t>Revaluation of contingent consideration</w:t>
            </w: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187</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434</w:t>
            </w:r>
          </w:p>
        </w:tc>
        <w:tc>
          <w:tcPr>
            <w:tcW w:w="140" w:type="dxa"/>
            <w:vAlign w:val="bottom"/>
          </w:tcPr>
          <w:p>
            <w:pPr>
              <w:spacing w:after="0"/>
              <w:rPr>
                <w:sz w:val="16"/>
                <w:szCs w:val="16"/>
                <w:color w:val="auto"/>
              </w:rPr>
            </w:pPr>
          </w:p>
        </w:tc>
      </w:tr>
      <w:tr>
        <w:trPr>
          <w:trHeight w:val="189"/>
        </w:trPr>
        <w:tc>
          <w:tcPr>
            <w:tcW w:w="76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Income from unconsolidated joint venture</w:t>
            </w:r>
          </w:p>
        </w:tc>
        <w:tc>
          <w:tcPr>
            <w:tcW w:w="102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(203 )</w:t>
            </w: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(103 )</w:t>
            </w:r>
          </w:p>
        </w:tc>
      </w:tr>
      <w:tr>
        <w:trPr>
          <w:trHeight w:val="189"/>
        </w:trPr>
        <w:tc>
          <w:tcPr>
            <w:tcW w:w="7620" w:type="dxa"/>
            <w:vAlign w:val="bottom"/>
          </w:tcPr>
          <w:p>
            <w:pPr>
              <w:ind w:left="380"/>
              <w:spacing w:after="0"/>
              <w:rPr>
                <w:sz w:val="20"/>
                <w:szCs w:val="20"/>
                <w:color w:val="auto"/>
              </w:rPr>
            </w:pPr>
            <w:r>
              <w:rPr>
                <w:rFonts w:ascii="Arial" w:cs="Arial" w:eastAsia="Arial" w:hAnsi="Arial"/>
                <w:sz w:val="14"/>
                <w:szCs w:val="14"/>
                <w:color w:val="auto"/>
              </w:rPr>
              <w:t>Donation of common stock</w:t>
            </w: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1,285</w:t>
            </w:r>
          </w:p>
        </w:tc>
        <w:tc>
          <w:tcPr>
            <w:tcW w:w="140" w:type="dxa"/>
            <w:vAlign w:val="bottom"/>
          </w:tcPr>
          <w:p>
            <w:pPr>
              <w:spacing w:after="0"/>
              <w:rPr>
                <w:sz w:val="16"/>
                <w:szCs w:val="16"/>
                <w:color w:val="auto"/>
              </w:rPr>
            </w:pPr>
          </w:p>
        </w:tc>
      </w:tr>
      <w:tr>
        <w:trPr>
          <w:trHeight w:val="189"/>
        </w:trPr>
        <w:tc>
          <w:tcPr>
            <w:tcW w:w="76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Unrealized loss on marketable securities</w:t>
            </w:r>
          </w:p>
        </w:tc>
        <w:tc>
          <w:tcPr>
            <w:tcW w:w="1020" w:type="dxa"/>
            <w:vAlign w:val="bottom"/>
            <w:shd w:val="clear" w:color="auto" w:fill="CFF0FC"/>
          </w:tcPr>
          <w:p>
            <w:pPr>
              <w:spacing w:after="0"/>
              <w:rPr>
                <w:sz w:val="16"/>
                <w:szCs w:val="16"/>
                <w:color w:val="auto"/>
              </w:rPr>
            </w:pPr>
          </w:p>
        </w:tc>
        <w:tc>
          <w:tcPr>
            <w:tcW w:w="880" w:type="dxa"/>
            <w:vAlign w:val="bottom"/>
            <w:gridSpan w:val="3"/>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1,190</w:t>
            </w:r>
          </w:p>
        </w:tc>
        <w:tc>
          <w:tcPr>
            <w:tcW w:w="140" w:type="dxa"/>
            <w:vAlign w:val="bottom"/>
            <w:shd w:val="clear" w:color="auto" w:fill="CFF0FC"/>
          </w:tcPr>
          <w:p>
            <w:pPr>
              <w:spacing w:after="0"/>
              <w:rPr>
                <w:sz w:val="16"/>
                <w:szCs w:val="16"/>
                <w:color w:val="auto"/>
              </w:rPr>
            </w:pPr>
          </w:p>
        </w:tc>
      </w:tr>
      <w:tr>
        <w:trPr>
          <w:trHeight w:val="189"/>
        </w:trPr>
        <w:tc>
          <w:tcPr>
            <w:tcW w:w="7620" w:type="dxa"/>
            <w:vAlign w:val="bottom"/>
          </w:tcPr>
          <w:p>
            <w:pPr>
              <w:ind w:left="380"/>
              <w:spacing w:after="0"/>
              <w:rPr>
                <w:sz w:val="20"/>
                <w:szCs w:val="20"/>
                <w:color w:val="auto"/>
              </w:rPr>
            </w:pPr>
            <w:r>
              <w:rPr>
                <w:rFonts w:ascii="Arial" w:cs="Arial" w:eastAsia="Arial" w:hAnsi="Arial"/>
                <w:sz w:val="14"/>
                <w:szCs w:val="14"/>
                <w:color w:val="auto"/>
              </w:rPr>
              <w:t>Non-cash income tax benefit</w:t>
            </w:r>
          </w:p>
        </w:tc>
        <w:tc>
          <w:tcPr>
            <w:tcW w:w="1020" w:type="dxa"/>
            <w:vAlign w:val="bottom"/>
          </w:tcPr>
          <w:p>
            <w:pPr>
              <w:spacing w:after="0"/>
              <w:rPr>
                <w:sz w:val="16"/>
                <w:szCs w:val="16"/>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(559 )</w:t>
            </w:r>
          </w:p>
        </w:tc>
      </w:tr>
      <w:tr>
        <w:trPr>
          <w:trHeight w:val="189"/>
        </w:trPr>
        <w:tc>
          <w:tcPr>
            <w:tcW w:w="76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Loss on sale of property and equipment</w:t>
            </w:r>
          </w:p>
        </w:tc>
        <w:tc>
          <w:tcPr>
            <w:tcW w:w="10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w:t>
            </w:r>
          </w:p>
        </w:tc>
        <w:tc>
          <w:tcPr>
            <w:tcW w:w="140" w:type="dxa"/>
            <w:vAlign w:val="bottom"/>
            <w:shd w:val="clear" w:color="auto" w:fill="CFF0FC"/>
          </w:tcPr>
          <w:p>
            <w:pPr>
              <w:spacing w:after="0"/>
              <w:rPr>
                <w:sz w:val="16"/>
                <w:szCs w:val="16"/>
                <w:color w:val="auto"/>
              </w:rPr>
            </w:pPr>
          </w:p>
        </w:tc>
      </w:tr>
      <w:tr>
        <w:trPr>
          <w:trHeight w:val="189"/>
        </w:trPr>
        <w:tc>
          <w:tcPr>
            <w:tcW w:w="7620" w:type="dxa"/>
            <w:vAlign w:val="bottom"/>
          </w:tcPr>
          <w:p>
            <w:pPr>
              <w:ind w:left="380"/>
              <w:spacing w:after="0"/>
              <w:rPr>
                <w:sz w:val="20"/>
                <w:szCs w:val="20"/>
                <w:color w:val="auto"/>
              </w:rPr>
            </w:pPr>
            <w:r>
              <w:rPr>
                <w:rFonts w:ascii="Arial" w:cs="Arial" w:eastAsia="Arial" w:hAnsi="Arial"/>
                <w:sz w:val="14"/>
                <w:szCs w:val="14"/>
                <w:color w:val="auto"/>
              </w:rPr>
              <w:t>Inventory write-off</w:t>
            </w: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223</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89"/>
        </w:trPr>
        <w:tc>
          <w:tcPr>
            <w:tcW w:w="76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Amortization of deferred costs on convertible notes</w:t>
            </w:r>
          </w:p>
        </w:tc>
        <w:tc>
          <w:tcPr>
            <w:tcW w:w="10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930</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781</w:t>
            </w:r>
          </w:p>
        </w:tc>
        <w:tc>
          <w:tcPr>
            <w:tcW w:w="140" w:type="dxa"/>
            <w:vAlign w:val="bottom"/>
            <w:shd w:val="clear" w:color="auto" w:fill="CFF0FC"/>
          </w:tcPr>
          <w:p>
            <w:pPr>
              <w:spacing w:after="0"/>
              <w:rPr>
                <w:sz w:val="16"/>
                <w:szCs w:val="16"/>
                <w:color w:val="auto"/>
              </w:rPr>
            </w:pPr>
          </w:p>
        </w:tc>
      </w:tr>
      <w:tr>
        <w:trPr>
          <w:trHeight w:val="189"/>
        </w:trPr>
        <w:tc>
          <w:tcPr>
            <w:tcW w:w="7620" w:type="dxa"/>
            <w:vAlign w:val="bottom"/>
          </w:tcPr>
          <w:p>
            <w:pPr>
              <w:ind w:left="380"/>
              <w:spacing w:after="0"/>
              <w:rPr>
                <w:sz w:val="20"/>
                <w:szCs w:val="20"/>
                <w:color w:val="auto"/>
              </w:rPr>
            </w:pPr>
            <w:r>
              <w:rPr>
                <w:rFonts w:ascii="Arial" w:cs="Arial" w:eastAsia="Arial" w:hAnsi="Arial"/>
                <w:sz w:val="14"/>
                <w:szCs w:val="14"/>
                <w:color w:val="auto"/>
              </w:rPr>
              <w:t>Deferred taxes benefit</w:t>
            </w:r>
          </w:p>
        </w:tc>
        <w:tc>
          <w:tcPr>
            <w:tcW w:w="102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(44 )</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(2 )</w:t>
            </w:r>
          </w:p>
        </w:tc>
      </w:tr>
      <w:tr>
        <w:trPr>
          <w:trHeight w:val="189"/>
        </w:trPr>
        <w:tc>
          <w:tcPr>
            <w:tcW w:w="76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Changes in other assets and liabilities:</w:t>
            </w:r>
          </w:p>
        </w:tc>
        <w:tc>
          <w:tcPr>
            <w:tcW w:w="10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r>
      <w:tr>
        <w:trPr>
          <w:trHeight w:val="189"/>
        </w:trPr>
        <w:tc>
          <w:tcPr>
            <w:tcW w:w="7620" w:type="dxa"/>
            <w:vAlign w:val="bottom"/>
          </w:tcPr>
          <w:p>
            <w:pPr>
              <w:ind w:left="560"/>
              <w:spacing w:after="0"/>
              <w:rPr>
                <w:sz w:val="20"/>
                <w:szCs w:val="20"/>
                <w:color w:val="auto"/>
              </w:rPr>
            </w:pPr>
            <w:r>
              <w:rPr>
                <w:rFonts w:ascii="Arial" w:cs="Arial" w:eastAsia="Arial" w:hAnsi="Arial"/>
                <w:sz w:val="14"/>
                <w:szCs w:val="14"/>
                <w:color w:val="auto"/>
              </w:rPr>
              <w:t>Accounts receivable, net</w:t>
            </w:r>
          </w:p>
        </w:tc>
        <w:tc>
          <w:tcPr>
            <w:tcW w:w="102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(8,308 )</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(11,833 )</w:t>
            </w:r>
          </w:p>
        </w:tc>
      </w:tr>
      <w:tr>
        <w:trPr>
          <w:trHeight w:val="189"/>
        </w:trPr>
        <w:tc>
          <w:tcPr>
            <w:tcW w:w="7620" w:type="dxa"/>
            <w:vAlign w:val="bottom"/>
            <w:shd w:val="clear" w:color="auto" w:fill="CFF0FC"/>
          </w:tcPr>
          <w:p>
            <w:pPr>
              <w:ind w:left="560"/>
              <w:spacing w:after="0"/>
              <w:rPr>
                <w:sz w:val="20"/>
                <w:szCs w:val="20"/>
                <w:color w:val="auto"/>
              </w:rPr>
            </w:pPr>
            <w:r>
              <w:rPr>
                <w:rFonts w:ascii="Arial" w:cs="Arial" w:eastAsia="Arial" w:hAnsi="Arial"/>
                <w:sz w:val="14"/>
                <w:szCs w:val="14"/>
                <w:color w:val="auto"/>
              </w:rPr>
              <w:t>Inventory</w:t>
            </w:r>
          </w:p>
        </w:tc>
        <w:tc>
          <w:tcPr>
            <w:tcW w:w="10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w:t>
            </w:r>
          </w:p>
        </w:tc>
        <w:tc>
          <w:tcPr>
            <w:tcW w:w="140" w:type="dxa"/>
            <w:vAlign w:val="bottom"/>
            <w:shd w:val="clear" w:color="auto" w:fill="CFF0FC"/>
          </w:tcPr>
          <w:p>
            <w:pPr>
              <w:spacing w:after="0"/>
              <w:rPr>
                <w:sz w:val="16"/>
                <w:szCs w:val="16"/>
                <w:color w:val="auto"/>
              </w:rPr>
            </w:pPr>
          </w:p>
        </w:tc>
      </w:tr>
      <w:tr>
        <w:trPr>
          <w:trHeight w:val="189"/>
        </w:trPr>
        <w:tc>
          <w:tcPr>
            <w:tcW w:w="7620" w:type="dxa"/>
            <w:vAlign w:val="bottom"/>
          </w:tcPr>
          <w:p>
            <w:pPr>
              <w:ind w:left="560"/>
              <w:spacing w:after="0"/>
              <w:rPr>
                <w:sz w:val="20"/>
                <w:szCs w:val="20"/>
                <w:color w:val="auto"/>
              </w:rPr>
            </w:pPr>
            <w:r>
              <w:rPr>
                <w:rFonts w:ascii="Arial" w:cs="Arial" w:eastAsia="Arial" w:hAnsi="Arial"/>
                <w:sz w:val="14"/>
                <w:szCs w:val="14"/>
                <w:color w:val="auto"/>
              </w:rPr>
              <w:t>Prepaid expenses</w:t>
            </w: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1,417</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(1,649 )</w:t>
            </w:r>
          </w:p>
        </w:tc>
      </w:tr>
      <w:tr>
        <w:trPr>
          <w:trHeight w:val="189"/>
        </w:trPr>
        <w:tc>
          <w:tcPr>
            <w:tcW w:w="7620" w:type="dxa"/>
            <w:vAlign w:val="bottom"/>
            <w:shd w:val="clear" w:color="auto" w:fill="CFF0FC"/>
          </w:tcPr>
          <w:p>
            <w:pPr>
              <w:ind w:left="560"/>
              <w:spacing w:after="0"/>
              <w:rPr>
                <w:sz w:val="20"/>
                <w:szCs w:val="20"/>
                <w:color w:val="auto"/>
              </w:rPr>
            </w:pPr>
            <w:r>
              <w:rPr>
                <w:rFonts w:ascii="Arial" w:cs="Arial" w:eastAsia="Arial" w:hAnsi="Arial"/>
                <w:sz w:val="14"/>
                <w:szCs w:val="14"/>
                <w:color w:val="auto"/>
              </w:rPr>
              <w:t>Other assets</w:t>
            </w:r>
          </w:p>
        </w:tc>
        <w:tc>
          <w:tcPr>
            <w:tcW w:w="102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(2,546 )</w:t>
            </w: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(3,861 )</w:t>
            </w:r>
          </w:p>
        </w:tc>
      </w:tr>
      <w:tr>
        <w:trPr>
          <w:trHeight w:val="189"/>
        </w:trPr>
        <w:tc>
          <w:tcPr>
            <w:tcW w:w="7620" w:type="dxa"/>
            <w:vAlign w:val="bottom"/>
          </w:tcPr>
          <w:p>
            <w:pPr>
              <w:ind w:left="560"/>
              <w:spacing w:after="0"/>
              <w:rPr>
                <w:sz w:val="20"/>
                <w:szCs w:val="20"/>
                <w:color w:val="auto"/>
              </w:rPr>
            </w:pPr>
            <w:r>
              <w:rPr>
                <w:rFonts w:ascii="Arial" w:cs="Arial" w:eastAsia="Arial" w:hAnsi="Arial"/>
                <w:sz w:val="14"/>
                <w:szCs w:val="14"/>
                <w:color w:val="auto"/>
              </w:rPr>
              <w:t>Accounts payable</w:t>
            </w:r>
          </w:p>
        </w:tc>
        <w:tc>
          <w:tcPr>
            <w:tcW w:w="102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(50 )</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1,873</w:t>
            </w:r>
          </w:p>
        </w:tc>
        <w:tc>
          <w:tcPr>
            <w:tcW w:w="140" w:type="dxa"/>
            <w:vAlign w:val="bottom"/>
          </w:tcPr>
          <w:p>
            <w:pPr>
              <w:spacing w:after="0"/>
              <w:rPr>
                <w:sz w:val="16"/>
                <w:szCs w:val="16"/>
                <w:color w:val="auto"/>
              </w:rPr>
            </w:pPr>
          </w:p>
        </w:tc>
      </w:tr>
      <w:tr>
        <w:trPr>
          <w:trHeight w:val="189"/>
        </w:trPr>
        <w:tc>
          <w:tcPr>
            <w:tcW w:w="7620" w:type="dxa"/>
            <w:vAlign w:val="bottom"/>
            <w:shd w:val="clear" w:color="auto" w:fill="CFF0FC"/>
          </w:tcPr>
          <w:p>
            <w:pPr>
              <w:ind w:left="560"/>
              <w:spacing w:after="0"/>
              <w:rPr>
                <w:sz w:val="20"/>
                <w:szCs w:val="20"/>
                <w:color w:val="auto"/>
              </w:rPr>
            </w:pPr>
            <w:r>
              <w:rPr>
                <w:rFonts w:ascii="Arial" w:cs="Arial" w:eastAsia="Arial" w:hAnsi="Arial"/>
                <w:sz w:val="14"/>
                <w:szCs w:val="14"/>
                <w:color w:val="auto"/>
              </w:rPr>
              <w:t>Accrued expenses</w:t>
            </w:r>
          </w:p>
        </w:tc>
        <w:tc>
          <w:tcPr>
            <w:tcW w:w="10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2,743</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(2,041 )</w:t>
            </w:r>
          </w:p>
        </w:tc>
      </w:tr>
      <w:tr>
        <w:trPr>
          <w:trHeight w:val="189"/>
        </w:trPr>
        <w:tc>
          <w:tcPr>
            <w:tcW w:w="7620" w:type="dxa"/>
            <w:vAlign w:val="bottom"/>
          </w:tcPr>
          <w:p>
            <w:pPr>
              <w:ind w:left="560"/>
              <w:spacing w:after="0"/>
              <w:rPr>
                <w:sz w:val="20"/>
                <w:szCs w:val="20"/>
                <w:color w:val="auto"/>
              </w:rPr>
            </w:pPr>
            <w:r>
              <w:rPr>
                <w:rFonts w:ascii="Arial" w:cs="Arial" w:eastAsia="Arial" w:hAnsi="Arial"/>
                <w:sz w:val="14"/>
                <w:szCs w:val="14"/>
                <w:color w:val="auto"/>
              </w:rPr>
              <w:t>Contract liabilities</w:t>
            </w: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1,470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2,862</w:t>
            </w:r>
          </w:p>
        </w:tc>
        <w:tc>
          <w:tcPr>
            <w:tcW w:w="140" w:type="dxa"/>
            <w:vAlign w:val="bottom"/>
          </w:tcPr>
          <w:p>
            <w:pPr>
              <w:spacing w:after="0"/>
              <w:rPr>
                <w:sz w:val="16"/>
                <w:szCs w:val="16"/>
                <w:color w:val="auto"/>
              </w:rPr>
            </w:pPr>
          </w:p>
        </w:tc>
      </w:tr>
      <w:tr>
        <w:trPr>
          <w:trHeight w:val="189"/>
        </w:trPr>
        <w:tc>
          <w:tcPr>
            <w:tcW w:w="7620" w:type="dxa"/>
            <w:vAlign w:val="bottom"/>
            <w:shd w:val="clear" w:color="auto" w:fill="CFF0FC"/>
          </w:tcPr>
          <w:p>
            <w:pPr>
              <w:ind w:left="560"/>
              <w:spacing w:after="0"/>
              <w:rPr>
                <w:sz w:val="20"/>
                <w:szCs w:val="20"/>
                <w:color w:val="auto"/>
              </w:rPr>
            </w:pPr>
            <w:r>
              <w:rPr>
                <w:rFonts w:ascii="Arial" w:cs="Arial" w:eastAsia="Arial" w:hAnsi="Arial"/>
                <w:sz w:val="14"/>
                <w:szCs w:val="14"/>
                <w:color w:val="auto"/>
              </w:rPr>
              <w:t>Lease liabilities</w:t>
            </w:r>
          </w:p>
        </w:tc>
        <w:tc>
          <w:tcPr>
            <w:tcW w:w="102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(2,369 )</w:t>
            </w: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(2,773 )</w:t>
            </w:r>
          </w:p>
        </w:tc>
      </w:tr>
      <w:tr>
        <w:trPr>
          <w:trHeight w:val="20"/>
        </w:trPr>
        <w:tc>
          <w:tcPr>
            <w:tcW w:w="76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83"/>
        </w:trPr>
        <w:tc>
          <w:tcPr>
            <w:tcW w:w="7620" w:type="dxa"/>
            <w:vAlign w:val="bottom"/>
          </w:tcPr>
          <w:p>
            <w:pPr>
              <w:ind w:left="380"/>
              <w:spacing w:after="0"/>
              <w:rPr>
                <w:sz w:val="20"/>
                <w:szCs w:val="20"/>
                <w:color w:val="auto"/>
              </w:rPr>
            </w:pPr>
            <w:r>
              <w:rPr>
                <w:rFonts w:ascii="Arial" w:cs="Arial" w:eastAsia="Arial" w:hAnsi="Arial"/>
                <w:sz w:val="14"/>
                <w:szCs w:val="14"/>
                <w:b w:val="1"/>
                <w:bCs w:val="1"/>
                <w:color w:val="auto"/>
              </w:rPr>
              <w:t>Net cash used in operating activities</w:t>
            </w:r>
          </w:p>
        </w:tc>
        <w:tc>
          <w:tcPr>
            <w:tcW w:w="102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(22,607 )</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(34,196 )</w:t>
            </w:r>
          </w:p>
        </w:tc>
      </w:tr>
      <w:tr>
        <w:trPr>
          <w:trHeight w:val="183"/>
        </w:trPr>
        <w:tc>
          <w:tcPr>
            <w:tcW w:w="76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20" w:type="dxa"/>
            <w:vAlign w:val="bottom"/>
            <w:tcBorders>
              <w:top w:val="single" w:sz="8" w:color="auto"/>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89"/>
        </w:trPr>
        <w:tc>
          <w:tcPr>
            <w:tcW w:w="7620" w:type="dxa"/>
            <w:vAlign w:val="bottom"/>
          </w:tcPr>
          <w:p>
            <w:pPr>
              <w:ind w:left="200"/>
              <w:spacing w:after="0"/>
              <w:rPr>
                <w:sz w:val="20"/>
                <w:szCs w:val="20"/>
                <w:color w:val="auto"/>
              </w:rPr>
            </w:pPr>
            <w:r>
              <w:rPr>
                <w:rFonts w:ascii="Arial" w:cs="Arial" w:eastAsia="Arial" w:hAnsi="Arial"/>
                <w:sz w:val="14"/>
                <w:szCs w:val="14"/>
                <w:color w:val="auto"/>
              </w:rPr>
              <w:t>Purchases of marketable securities</w:t>
            </w:r>
          </w:p>
        </w:tc>
        <w:tc>
          <w:tcPr>
            <w:tcW w:w="102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(5,641 )</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(280,559 )</w:t>
            </w:r>
          </w:p>
        </w:tc>
      </w:tr>
      <w:tr>
        <w:trPr>
          <w:trHeight w:val="189"/>
        </w:trPr>
        <w:tc>
          <w:tcPr>
            <w:tcW w:w="7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sale of marketable securities</w:t>
            </w:r>
          </w:p>
        </w:tc>
        <w:tc>
          <w:tcPr>
            <w:tcW w:w="10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30,000</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FF0FC"/>
          </w:tcPr>
          <w:p>
            <w:pPr>
              <w:spacing w:after="0"/>
              <w:rPr>
                <w:sz w:val="16"/>
                <w:szCs w:val="16"/>
                <w:color w:val="auto"/>
              </w:rPr>
            </w:pPr>
          </w:p>
        </w:tc>
      </w:tr>
      <w:tr>
        <w:trPr>
          <w:trHeight w:val="189"/>
        </w:trPr>
        <w:tc>
          <w:tcPr>
            <w:tcW w:w="7620" w:type="dxa"/>
            <w:vAlign w:val="bottom"/>
          </w:tcPr>
          <w:p>
            <w:pPr>
              <w:ind w:left="200"/>
              <w:spacing w:after="0"/>
              <w:rPr>
                <w:sz w:val="20"/>
                <w:szCs w:val="20"/>
                <w:color w:val="auto"/>
              </w:rPr>
            </w:pPr>
            <w:r>
              <w:rPr>
                <w:rFonts w:ascii="Arial" w:cs="Arial" w:eastAsia="Arial" w:hAnsi="Arial"/>
                <w:sz w:val="14"/>
                <w:szCs w:val="14"/>
                <w:color w:val="auto"/>
              </w:rPr>
              <w:t>Purchases of property and equipment</w:t>
            </w:r>
          </w:p>
        </w:tc>
        <w:tc>
          <w:tcPr>
            <w:tcW w:w="102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(8,492 )</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(5,436 )</w:t>
            </w:r>
          </w:p>
        </w:tc>
      </w:tr>
      <w:tr>
        <w:trPr>
          <w:trHeight w:val="189"/>
        </w:trPr>
        <w:tc>
          <w:tcPr>
            <w:tcW w:w="7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sale of property and equipment</w:t>
            </w:r>
          </w:p>
        </w:tc>
        <w:tc>
          <w:tcPr>
            <w:tcW w:w="10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w:t>
            </w:r>
          </w:p>
        </w:tc>
        <w:tc>
          <w:tcPr>
            <w:tcW w:w="140" w:type="dxa"/>
            <w:vAlign w:val="bottom"/>
            <w:shd w:val="clear" w:color="auto" w:fill="CFF0FC"/>
          </w:tcPr>
          <w:p>
            <w:pPr>
              <w:spacing w:after="0"/>
              <w:rPr>
                <w:sz w:val="16"/>
                <w:szCs w:val="16"/>
                <w:color w:val="auto"/>
              </w:rPr>
            </w:pPr>
          </w:p>
        </w:tc>
      </w:tr>
      <w:tr>
        <w:trPr>
          <w:trHeight w:val="189"/>
        </w:trPr>
        <w:tc>
          <w:tcPr>
            <w:tcW w:w="7620" w:type="dxa"/>
            <w:vAlign w:val="bottom"/>
          </w:tcPr>
          <w:p>
            <w:pPr>
              <w:ind w:left="200"/>
              <w:spacing w:after="0"/>
              <w:rPr>
                <w:sz w:val="20"/>
                <w:szCs w:val="20"/>
                <w:color w:val="auto"/>
              </w:rPr>
            </w:pPr>
            <w:r>
              <w:rPr>
                <w:rFonts w:ascii="Arial" w:cs="Arial" w:eastAsia="Arial" w:hAnsi="Arial"/>
                <w:sz w:val="14"/>
                <w:szCs w:val="14"/>
                <w:color w:val="auto"/>
              </w:rPr>
              <w:t>Cash paid for business combination, net of cash acquired</w:t>
            </w:r>
          </w:p>
        </w:tc>
        <w:tc>
          <w:tcPr>
            <w:tcW w:w="102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(3,349 )</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20"/>
        </w:trPr>
        <w:tc>
          <w:tcPr>
            <w:tcW w:w="76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7620" w:type="dxa"/>
            <w:vAlign w:val="bottom"/>
            <w:shd w:val="clear" w:color="auto" w:fill="CFF0FC"/>
          </w:tcPr>
          <w:p>
            <w:pPr>
              <w:ind w:left="38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12,741</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(285,826 )</w:t>
            </w:r>
          </w:p>
        </w:tc>
      </w:tr>
      <w:tr>
        <w:trPr>
          <w:trHeight w:val="183"/>
        </w:trPr>
        <w:tc>
          <w:tcPr>
            <w:tcW w:w="762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r>
      <w:tr>
        <w:trPr>
          <w:trHeight w:val="189"/>
        </w:trPr>
        <w:tc>
          <w:tcPr>
            <w:tcW w:w="7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stock options exercised</w:t>
            </w:r>
          </w:p>
        </w:tc>
        <w:tc>
          <w:tcPr>
            <w:tcW w:w="10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1,144</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2,470</w:t>
            </w:r>
          </w:p>
        </w:tc>
        <w:tc>
          <w:tcPr>
            <w:tcW w:w="140" w:type="dxa"/>
            <w:vAlign w:val="bottom"/>
            <w:shd w:val="clear" w:color="auto" w:fill="CFF0FC"/>
          </w:tcPr>
          <w:p>
            <w:pPr>
              <w:spacing w:after="0"/>
              <w:rPr>
                <w:sz w:val="16"/>
                <w:szCs w:val="16"/>
                <w:color w:val="auto"/>
              </w:rPr>
            </w:pPr>
          </w:p>
        </w:tc>
      </w:tr>
      <w:tr>
        <w:trPr>
          <w:trHeight w:val="189"/>
        </w:trPr>
        <w:tc>
          <w:tcPr>
            <w:tcW w:w="7620" w:type="dxa"/>
            <w:vAlign w:val="bottom"/>
          </w:tcPr>
          <w:p>
            <w:pPr>
              <w:ind w:left="200"/>
              <w:spacing w:after="0"/>
              <w:rPr>
                <w:sz w:val="20"/>
                <w:szCs w:val="20"/>
                <w:color w:val="auto"/>
              </w:rPr>
            </w:pPr>
            <w:r>
              <w:rPr>
                <w:rFonts w:ascii="Arial" w:cs="Arial" w:eastAsia="Arial" w:hAnsi="Arial"/>
                <w:sz w:val="14"/>
                <w:szCs w:val="14"/>
                <w:color w:val="auto"/>
              </w:rPr>
              <w:t>Proceeds from issuance of convertible notes</w:t>
            </w:r>
          </w:p>
        </w:tc>
        <w:tc>
          <w:tcPr>
            <w:tcW w:w="1020" w:type="dxa"/>
            <w:vAlign w:val="bottom"/>
          </w:tcPr>
          <w:p>
            <w:pPr>
              <w:spacing w:after="0"/>
              <w:rPr>
                <w:sz w:val="16"/>
                <w:szCs w:val="16"/>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287,500</w:t>
            </w:r>
          </w:p>
        </w:tc>
        <w:tc>
          <w:tcPr>
            <w:tcW w:w="140" w:type="dxa"/>
            <w:vAlign w:val="bottom"/>
          </w:tcPr>
          <w:p>
            <w:pPr>
              <w:spacing w:after="0"/>
              <w:rPr>
                <w:sz w:val="16"/>
                <w:szCs w:val="16"/>
                <w:color w:val="auto"/>
              </w:rPr>
            </w:pPr>
          </w:p>
        </w:tc>
      </w:tr>
      <w:tr>
        <w:trPr>
          <w:trHeight w:val="189"/>
        </w:trPr>
        <w:tc>
          <w:tcPr>
            <w:tcW w:w="7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Costs incurred in connection with issuance of convertible notes</w:t>
            </w:r>
          </w:p>
        </w:tc>
        <w:tc>
          <w:tcPr>
            <w:tcW w:w="1020" w:type="dxa"/>
            <w:vAlign w:val="bottom"/>
            <w:shd w:val="clear" w:color="auto" w:fill="CFF0FC"/>
          </w:tcPr>
          <w:p>
            <w:pPr>
              <w:spacing w:after="0"/>
              <w:rPr>
                <w:sz w:val="16"/>
                <w:szCs w:val="16"/>
                <w:color w:val="auto"/>
              </w:rPr>
            </w:pPr>
          </w:p>
        </w:tc>
        <w:tc>
          <w:tcPr>
            <w:tcW w:w="880" w:type="dxa"/>
            <w:vAlign w:val="bottom"/>
            <w:gridSpan w:val="3"/>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(9,309 )</w:t>
            </w:r>
          </w:p>
        </w:tc>
      </w:tr>
      <w:tr>
        <w:trPr>
          <w:trHeight w:val="189"/>
        </w:trPr>
        <w:tc>
          <w:tcPr>
            <w:tcW w:w="7620" w:type="dxa"/>
            <w:vAlign w:val="bottom"/>
          </w:tcPr>
          <w:p>
            <w:pPr>
              <w:ind w:left="200"/>
              <w:spacing w:after="0"/>
              <w:rPr>
                <w:sz w:val="20"/>
                <w:szCs w:val="20"/>
                <w:color w:val="auto"/>
              </w:rPr>
            </w:pPr>
            <w:r>
              <w:rPr>
                <w:rFonts w:ascii="Arial" w:cs="Arial" w:eastAsia="Arial" w:hAnsi="Arial"/>
                <w:sz w:val="14"/>
                <w:szCs w:val="14"/>
                <w:color w:val="auto"/>
              </w:rPr>
              <w:t>Payments on finance lease obligations</w:t>
            </w:r>
          </w:p>
        </w:tc>
        <w:tc>
          <w:tcPr>
            <w:tcW w:w="1020" w:type="dxa"/>
            <w:vAlign w:val="bottom"/>
          </w:tcPr>
          <w:p>
            <w:pPr>
              <w:spacing w:after="0"/>
              <w:rPr>
                <w:sz w:val="16"/>
                <w:szCs w:val="16"/>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(2 )</w:t>
            </w:r>
          </w:p>
        </w:tc>
      </w:tr>
      <w:tr>
        <w:trPr>
          <w:trHeight w:val="183"/>
        </w:trPr>
        <w:tc>
          <w:tcPr>
            <w:tcW w:w="76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Net cash provided by financing activities</w:t>
            </w:r>
          </w:p>
        </w:tc>
        <w:tc>
          <w:tcPr>
            <w:tcW w:w="1020" w:type="dxa"/>
            <w:vAlign w:val="bottom"/>
            <w:tcBorders>
              <w:top w:val="single" w:sz="8" w:color="auto"/>
              <w:bottom w:val="single" w:sz="8" w:color="auto"/>
            </w:tcBorders>
            <w:shd w:val="clear" w:color="auto" w:fill="CFF0FC"/>
          </w:tcPr>
          <w:p>
            <w:pPr>
              <w:spacing w:after="0"/>
              <w:rPr>
                <w:sz w:val="15"/>
                <w:szCs w:val="15"/>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1,144</w:t>
            </w:r>
          </w:p>
        </w:tc>
        <w:tc>
          <w:tcPr>
            <w:tcW w:w="1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top w:val="single" w:sz="8" w:color="auto"/>
              <w:bottom w:val="single" w:sz="8" w:color="auto"/>
            </w:tcBorders>
            <w:shd w:val="clear" w:color="auto" w:fill="CFF0FC"/>
          </w:tcPr>
          <w:p>
            <w:pPr>
              <w:spacing w:after="0"/>
              <w:rPr>
                <w:sz w:val="15"/>
                <w:szCs w:val="15"/>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280,659</w:t>
            </w:r>
          </w:p>
        </w:tc>
        <w:tc>
          <w:tcPr>
            <w:tcW w:w="140" w:type="dxa"/>
            <w:vAlign w:val="bottom"/>
            <w:tcBorders>
              <w:bottom w:val="single" w:sz="8" w:color="CFF0FC"/>
            </w:tcBorders>
            <w:shd w:val="clear" w:color="auto" w:fill="CFF0FC"/>
          </w:tcPr>
          <w:p>
            <w:pPr>
              <w:spacing w:after="0"/>
              <w:rPr>
                <w:sz w:val="15"/>
                <w:szCs w:val="15"/>
                <w:color w:val="auto"/>
              </w:rPr>
            </w:pPr>
          </w:p>
        </w:tc>
      </w:tr>
      <w:tr>
        <w:trPr>
          <w:trHeight w:val="183"/>
        </w:trPr>
        <w:tc>
          <w:tcPr>
            <w:tcW w:w="7620" w:type="dxa"/>
            <w:vAlign w:val="bottom"/>
          </w:tcPr>
          <w:p>
            <w:pPr>
              <w:ind w:left="200"/>
              <w:spacing w:after="0"/>
              <w:rPr>
                <w:sz w:val="20"/>
                <w:szCs w:val="20"/>
                <w:color w:val="auto"/>
              </w:rPr>
            </w:pPr>
            <w:r>
              <w:rPr>
                <w:rFonts w:ascii="Arial" w:cs="Arial" w:eastAsia="Arial" w:hAnsi="Arial"/>
                <w:sz w:val="14"/>
                <w:szCs w:val="14"/>
                <w:color w:val="auto"/>
              </w:rPr>
              <w:t>Effect of foreign currency translation on cash and cash equivalents</w:t>
            </w:r>
          </w:p>
        </w:tc>
        <w:tc>
          <w:tcPr>
            <w:tcW w:w="102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(202 )</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(66 )</w:t>
            </w:r>
          </w:p>
        </w:tc>
      </w:tr>
      <w:tr>
        <w:trPr>
          <w:trHeight w:val="20"/>
        </w:trPr>
        <w:tc>
          <w:tcPr>
            <w:tcW w:w="76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7620" w:type="dxa"/>
            <w:vAlign w:val="bottom"/>
            <w:shd w:val="clear" w:color="auto" w:fill="CFF0FC"/>
          </w:tcPr>
          <w:p>
            <w:pPr>
              <w:ind w:left="380"/>
              <w:spacing w:after="0"/>
              <w:rPr>
                <w:sz w:val="20"/>
                <w:szCs w:val="20"/>
                <w:color w:val="auto"/>
              </w:rPr>
            </w:pPr>
            <w:r>
              <w:rPr>
                <w:rFonts w:ascii="Arial" w:cs="Arial" w:eastAsia="Arial" w:hAnsi="Arial"/>
                <w:sz w:val="14"/>
                <w:szCs w:val="14"/>
                <w:b w:val="1"/>
                <w:bCs w:val="1"/>
                <w:color w:val="auto"/>
              </w:rPr>
              <w:t>Net decrease in cash and cash equivalents</w:t>
            </w:r>
          </w:p>
        </w:tc>
        <w:tc>
          <w:tcPr>
            <w:tcW w:w="10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(8,924 )</w:t>
            </w: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(39,429 )</w:t>
            </w:r>
          </w:p>
        </w:tc>
      </w:tr>
      <w:tr>
        <w:trPr>
          <w:trHeight w:val="189"/>
        </w:trPr>
        <w:tc>
          <w:tcPr>
            <w:tcW w:w="762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at beginning of the year</w:t>
            </w:r>
          </w:p>
        </w:tc>
        <w:tc>
          <w:tcPr>
            <w:tcW w:w="10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65,662</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86,262</w:t>
            </w:r>
          </w:p>
        </w:tc>
        <w:tc>
          <w:tcPr>
            <w:tcW w:w="140" w:type="dxa"/>
            <w:vAlign w:val="bottom"/>
          </w:tcPr>
          <w:p>
            <w:pPr>
              <w:spacing w:after="0"/>
              <w:rPr>
                <w:sz w:val="16"/>
                <w:szCs w:val="16"/>
                <w:color w:val="auto"/>
              </w:rPr>
            </w:pPr>
          </w:p>
        </w:tc>
      </w:tr>
      <w:tr>
        <w:trPr>
          <w:trHeight w:val="223"/>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Cash and cash equivalents at end of the period</w:t>
            </w:r>
          </w:p>
        </w:tc>
        <w:tc>
          <w:tcPr>
            <w:tcW w:w="1020" w:type="dxa"/>
            <w:vAlign w:val="bottom"/>
            <w:tcBorders>
              <w:bottom w:val="single" w:sz="8" w:color="auto"/>
            </w:tcBorders>
            <w:shd w:val="clear" w:color="auto" w:fill="CFF0FC"/>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56,738</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46,833</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170"/>
        </w:trPr>
        <w:tc>
          <w:tcPr>
            <w:tcW w:w="7620" w:type="dxa"/>
            <w:vAlign w:val="bottom"/>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9"/>
        </w:trPr>
        <w:tc>
          <w:tcPr>
            <w:tcW w:w="7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paid for interest</w:t>
            </w:r>
          </w:p>
        </w:tc>
        <w:tc>
          <w:tcPr>
            <w:tcW w:w="1020" w:type="dxa"/>
            <w:vAlign w:val="bottom"/>
            <w:shd w:val="clear" w:color="auto" w:fill="CFF0FC"/>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1,438</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80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r>
      <w:tr>
        <w:trPr>
          <w:trHeight w:val="189"/>
        </w:trPr>
        <w:tc>
          <w:tcPr>
            <w:tcW w:w="7620" w:type="dxa"/>
            <w:vAlign w:val="bottom"/>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7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Non-cash consideration in connection with business combination</w:t>
            </w:r>
          </w:p>
        </w:tc>
        <w:tc>
          <w:tcPr>
            <w:tcW w:w="10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1,593</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-2734310</wp:posOffset>
            </wp:positionV>
            <wp:extent cx="85725"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-2734310</wp:posOffset>
            </wp:positionV>
            <wp:extent cx="8572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-1748155</wp:posOffset>
            </wp:positionV>
            <wp:extent cx="8572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-1748155</wp:posOffset>
            </wp:positionV>
            <wp:extent cx="85725"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-1010920</wp:posOffset>
            </wp:positionV>
            <wp:extent cx="8572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-1010920</wp:posOffset>
            </wp:positionV>
            <wp:extent cx="8572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-505460</wp:posOffset>
            </wp:positionV>
            <wp:extent cx="1294765"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94765" cy="146050"/>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ind w:right="40"/>
        <w:spacing w:after="0" w:line="235" w:lineRule="auto"/>
        <w:rPr>
          <w:sz w:val="20"/>
          <w:szCs w:val="20"/>
          <w:color w:val="auto"/>
        </w:rPr>
      </w:pPr>
      <w:r>
        <w:rPr>
          <w:rFonts w:ascii="Arial" w:cs="Arial" w:eastAsia="Arial" w:hAnsi="Arial"/>
          <w:sz w:val="20"/>
          <w:szCs w:val="20"/>
          <w:color w:val="auto"/>
        </w:rPr>
        <w:t>Unaudited Reconciliations of Non-GAAP Financial Measures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w:t>
      </w:r>
    </w:p>
    <w:p>
      <w:pPr>
        <w:spacing w:after="0" w:line="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6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For the Three Months</w:t>
            </w:r>
          </w:p>
        </w:tc>
        <w:tc>
          <w:tcPr>
            <w:tcW w:w="260" w:type="dxa"/>
            <w:vAlign w:val="bottom"/>
          </w:tcPr>
          <w:p>
            <w:pPr>
              <w:spacing w:after="0"/>
              <w:rPr>
                <w:sz w:val="17"/>
                <w:szCs w:val="17"/>
                <w:color w:val="auto"/>
              </w:rPr>
            </w:pPr>
          </w:p>
        </w:tc>
        <w:tc>
          <w:tcPr>
            <w:tcW w:w="25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For the Six Months</w:t>
            </w:r>
          </w:p>
        </w:tc>
      </w:tr>
      <w:tr>
        <w:trPr>
          <w:trHeight w:val="239"/>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6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Ended June 30,</w:t>
            </w:r>
          </w:p>
        </w:tc>
        <w:tc>
          <w:tcPr>
            <w:tcW w:w="260" w:type="dxa"/>
            <w:vAlign w:val="bottom"/>
          </w:tcPr>
          <w:p>
            <w:pPr>
              <w:spacing w:after="0"/>
              <w:rPr>
                <w:sz w:val="20"/>
                <w:szCs w:val="20"/>
                <w:color w:val="auto"/>
              </w:rPr>
            </w:pPr>
          </w:p>
        </w:tc>
        <w:tc>
          <w:tcPr>
            <w:tcW w:w="25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Ended June 30,</w:t>
            </w:r>
          </w:p>
        </w:tc>
      </w:tr>
      <w:tr>
        <w:trPr>
          <w:trHeight w:val="223"/>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r>
      <w:tr>
        <w:trPr>
          <w:trHeight w:val="183"/>
        </w:trPr>
        <w:tc>
          <w:tcPr>
            <w:tcW w:w="5460" w:type="dxa"/>
            <w:vAlign w:val="bottom"/>
            <w:gridSpan w:val="3"/>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Adjusted EBITDA:</w:t>
            </w: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CFF0FC"/>
          </w:tcPr>
          <w:p>
            <w:pPr>
              <w:spacing w:after="0" w:line="20" w:lineRule="exact"/>
              <w:rPr>
                <w:sz w:val="1"/>
                <w:szCs w:val="1"/>
                <w:color w:val="auto"/>
              </w:rPr>
            </w:pPr>
          </w:p>
        </w:tc>
        <w:tc>
          <w:tcPr>
            <w:tcW w:w="39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229"/>
        </w:trPr>
        <w:tc>
          <w:tcPr>
            <w:tcW w:w="5460" w:type="dxa"/>
            <w:vAlign w:val="bottom"/>
            <w:gridSpan w:val="3"/>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(26,559 )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(16,549 )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(44,902 )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(36,544 )</w:t>
            </w:r>
          </w:p>
        </w:tc>
      </w:tr>
      <w:tr>
        <w:trPr>
          <w:trHeight w:val="230"/>
        </w:trPr>
        <w:tc>
          <w:tcPr>
            <w:tcW w:w="54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Add (deduct):</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03"/>
        </w:trPr>
        <w:tc>
          <w:tcPr>
            <w:tcW w:w="546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Interest expense, interest and dividend income and other</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9"/>
        </w:trPr>
        <w:tc>
          <w:tcPr>
            <w:tcW w:w="5460" w:type="dxa"/>
            <w:vAlign w:val="bottom"/>
            <w:gridSpan w:val="3"/>
          </w:tcPr>
          <w:p>
            <w:pPr>
              <w:ind w:left="20"/>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(1,190 )</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(2,704 )</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2,852</w:t>
            </w:r>
          </w:p>
        </w:tc>
        <w:tc>
          <w:tcPr>
            <w:tcW w:w="120" w:type="dxa"/>
            <w:vAlign w:val="bottom"/>
          </w:tcPr>
          <w:p>
            <w:pPr>
              <w:spacing w:after="0"/>
              <w:rPr>
                <w:sz w:val="19"/>
                <w:szCs w:val="19"/>
                <w:color w:val="auto"/>
              </w:rPr>
            </w:pPr>
          </w:p>
        </w:tc>
      </w:tr>
      <w:tr>
        <w:trPr>
          <w:trHeight w:val="230"/>
        </w:trPr>
        <w:tc>
          <w:tcPr>
            <w:tcW w:w="5460" w:type="dxa"/>
            <w:vAlign w:val="bottom"/>
            <w:gridSpan w:val="3"/>
            <w:shd w:val="clear" w:color="auto" w:fill="CFF0FC"/>
          </w:tcPr>
          <w:p>
            <w:pPr>
              <w:ind w:left="20"/>
              <w:spacing w:after="0" w:line="229"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4"/>
                <w:szCs w:val="24"/>
                <w:color w:val="auto"/>
                <w:vertAlign w:val="superscript"/>
              </w:rPr>
              <w:t>(1)</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3,807</w:t>
            </w:r>
          </w:p>
        </w:tc>
        <w:tc>
          <w:tcPr>
            <w:tcW w:w="120" w:type="dxa"/>
            <w:vAlign w:val="bottom"/>
            <w:shd w:val="clear" w:color="auto" w:fill="CFF0FC"/>
          </w:tcPr>
          <w:p>
            <w:pPr>
              <w:spacing w:after="0"/>
              <w:rPr>
                <w:sz w:val="19"/>
                <w:szCs w:val="19"/>
                <w:color w:val="auto"/>
              </w:rPr>
            </w:pPr>
          </w:p>
        </w:tc>
      </w:tr>
      <w:tr>
        <w:trPr>
          <w:trHeight w:val="229"/>
        </w:trPr>
        <w:tc>
          <w:tcPr>
            <w:tcW w:w="5460" w:type="dxa"/>
            <w:vAlign w:val="bottom"/>
            <w:gridSpan w:val="3"/>
          </w:tcPr>
          <w:p>
            <w:pPr>
              <w:ind w:left="20"/>
              <w:spacing w:after="0"/>
              <w:rPr>
                <w:sz w:val="20"/>
                <w:szCs w:val="20"/>
                <w:color w:val="auto"/>
              </w:rPr>
            </w:pPr>
            <w:r>
              <w:rPr>
                <w:rFonts w:ascii="Arial" w:cs="Arial" w:eastAsia="Arial" w:hAnsi="Arial"/>
                <w:sz w:val="18"/>
                <w:szCs w:val="18"/>
                <w:color w:val="auto"/>
              </w:rPr>
              <w:t>Amortization of lease intangible</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19"/>
                <w:szCs w:val="19"/>
                <w:color w:val="auto"/>
              </w:rPr>
            </w:pPr>
          </w:p>
        </w:tc>
      </w:tr>
      <w:tr>
        <w:trPr>
          <w:trHeight w:val="229"/>
        </w:trPr>
        <w:tc>
          <w:tcPr>
            <w:tcW w:w="54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(Benefit) provision for income taxes</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(67 )</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(559 )</w:t>
            </w:r>
          </w:p>
        </w:tc>
      </w:tr>
      <w:tr>
        <w:trPr>
          <w:trHeight w:val="230"/>
        </w:trPr>
        <w:tc>
          <w:tcPr>
            <w:tcW w:w="5460" w:type="dxa"/>
            <w:vAlign w:val="bottom"/>
            <w:gridSpan w:val="3"/>
          </w:tcPr>
          <w:p>
            <w:pPr>
              <w:ind w:left="20"/>
              <w:spacing w:after="0" w:line="229"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4"/>
                <w:szCs w:val="24"/>
                <w:color w:val="auto"/>
                <w:vertAlign w:val="superscript"/>
              </w:rPr>
              <w:t>(2)</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5,798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5,479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10,492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8,935</w:t>
            </w:r>
          </w:p>
        </w:tc>
        <w:tc>
          <w:tcPr>
            <w:tcW w:w="120" w:type="dxa"/>
            <w:vAlign w:val="bottom"/>
          </w:tcPr>
          <w:p>
            <w:pPr>
              <w:spacing w:after="0"/>
              <w:rPr>
                <w:sz w:val="19"/>
                <w:szCs w:val="19"/>
                <w:color w:val="auto"/>
              </w:rPr>
            </w:pPr>
          </w:p>
        </w:tc>
      </w:tr>
      <w:tr>
        <w:trPr>
          <w:trHeight w:val="229"/>
        </w:trPr>
        <w:tc>
          <w:tcPr>
            <w:tcW w:w="5460" w:type="dxa"/>
            <w:vAlign w:val="bottom"/>
            <w:gridSpan w:val="3"/>
            <w:shd w:val="clear" w:color="auto" w:fill="CFF0FC"/>
          </w:tcPr>
          <w:p>
            <w:pPr>
              <w:ind w:left="20"/>
              <w:spacing w:after="0" w:line="229" w:lineRule="exact"/>
              <w:rPr>
                <w:sz w:val="20"/>
                <w:szCs w:val="20"/>
                <w:color w:val="auto"/>
              </w:rPr>
            </w:pPr>
            <w:r>
              <w:rPr>
                <w:rFonts w:ascii="Arial" w:cs="Arial" w:eastAsia="Arial" w:hAnsi="Arial"/>
                <w:sz w:val="18"/>
                <w:szCs w:val="18"/>
                <w:color w:val="auto"/>
              </w:rPr>
              <w:t>Lease abandonment</w:t>
            </w:r>
            <w:r>
              <w:rPr>
                <w:rFonts w:ascii="Arial" w:cs="Arial" w:eastAsia="Arial" w:hAnsi="Arial"/>
                <w:sz w:val="24"/>
                <w:szCs w:val="24"/>
                <w:color w:val="auto"/>
                <w:vertAlign w:val="superscript"/>
              </w:rPr>
              <w:t>(3)</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460" w:type="dxa"/>
            <w:vAlign w:val="bottom"/>
            <w:gridSpan w:val="3"/>
          </w:tcPr>
          <w:p>
            <w:pPr>
              <w:ind w:left="20"/>
              <w:spacing w:after="0" w:line="229" w:lineRule="exact"/>
              <w:rPr>
                <w:sz w:val="20"/>
                <w:szCs w:val="20"/>
                <w:color w:val="auto"/>
              </w:rPr>
            </w:pPr>
            <w:r>
              <w:rPr>
                <w:rFonts w:ascii="Arial" w:cs="Arial" w:eastAsia="Arial" w:hAnsi="Arial"/>
                <w:sz w:val="18"/>
                <w:szCs w:val="18"/>
                <w:color w:val="auto"/>
              </w:rPr>
              <w:t>Acquisition and other</w:t>
            </w:r>
            <w:r>
              <w:rPr>
                <w:rFonts w:ascii="Arial" w:cs="Arial" w:eastAsia="Arial" w:hAnsi="Arial"/>
                <w:sz w:val="24"/>
                <w:szCs w:val="24"/>
                <w:color w:val="auto"/>
                <w:vertAlign w:val="superscript"/>
              </w:rPr>
              <w:t>(4)</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(1,923 )</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(1,284 )</w:t>
            </w:r>
          </w:p>
        </w:tc>
      </w:tr>
      <w:tr>
        <w:trPr>
          <w:trHeight w:val="229"/>
        </w:trPr>
        <w:tc>
          <w:tcPr>
            <w:tcW w:w="54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Charitable contribution of common stock</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120" w:type="dxa"/>
            <w:vAlign w:val="bottom"/>
            <w:shd w:val="clear" w:color="auto" w:fill="CFF0FC"/>
          </w:tcPr>
          <w:p>
            <w:pPr>
              <w:spacing w:after="0"/>
              <w:rPr>
                <w:sz w:val="19"/>
                <w:szCs w:val="19"/>
                <w:color w:val="auto"/>
              </w:rPr>
            </w:pPr>
          </w:p>
        </w:tc>
      </w:tr>
      <w:tr>
        <w:trPr>
          <w:trHeight w:val="229"/>
        </w:trPr>
        <w:tc>
          <w:tcPr>
            <w:tcW w:w="5460" w:type="dxa"/>
            <w:vAlign w:val="bottom"/>
            <w:gridSpan w:val="3"/>
          </w:tcPr>
          <w:p>
            <w:pPr>
              <w:ind w:left="20"/>
              <w:spacing w:after="0"/>
              <w:rPr>
                <w:sz w:val="20"/>
                <w:szCs w:val="20"/>
                <w:color w:val="auto"/>
              </w:rPr>
            </w:pPr>
            <w:r>
              <w:rPr>
                <w:rFonts w:ascii="Arial" w:cs="Arial" w:eastAsia="Arial" w:hAnsi="Arial"/>
                <w:sz w:val="18"/>
                <w:szCs w:val="18"/>
                <w:color w:val="auto"/>
              </w:rPr>
              <w:t>Income from unconsolidated joint venture</w:t>
            </w: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(237 )</w:t>
            </w:r>
          </w:p>
        </w:tc>
        <w:tc>
          <w:tcPr>
            <w:tcW w:w="2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(269 )</w:t>
            </w:r>
          </w:p>
        </w:tc>
        <w:tc>
          <w:tcPr>
            <w:tcW w:w="2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(303 )</w:t>
            </w:r>
          </w:p>
        </w:tc>
        <w:tc>
          <w:tcPr>
            <w:tcW w:w="2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(303 )</w:t>
            </w:r>
          </w:p>
        </w:tc>
      </w:tr>
      <w:tr>
        <w:trPr>
          <w:trHeight w:val="230"/>
        </w:trPr>
        <w:tc>
          <w:tcPr>
            <w:tcW w:w="54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Impairment of assets</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FF0FC"/>
          </w:tcPr>
          <w:p>
            <w:pPr>
              <w:spacing w:after="0"/>
              <w:rPr>
                <w:sz w:val="19"/>
                <w:szCs w:val="19"/>
                <w:color w:val="auto"/>
              </w:rPr>
            </w:pPr>
          </w:p>
        </w:tc>
      </w:tr>
      <w:tr>
        <w:trPr>
          <w:trHeight w:val="229"/>
        </w:trPr>
        <w:tc>
          <w:tcPr>
            <w:tcW w:w="5460" w:type="dxa"/>
            <w:vAlign w:val="bottom"/>
            <w:gridSpan w:val="3"/>
          </w:tcPr>
          <w:p>
            <w:pPr>
              <w:ind w:left="20"/>
              <w:spacing w:after="0" w:line="229" w:lineRule="exact"/>
              <w:rPr>
                <w:sz w:val="20"/>
                <w:szCs w:val="20"/>
                <w:color w:val="auto"/>
              </w:rPr>
            </w:pPr>
            <w:r>
              <w:rPr>
                <w:rFonts w:ascii="Arial" w:cs="Arial" w:eastAsia="Arial" w:hAnsi="Arial"/>
                <w:sz w:val="18"/>
                <w:szCs w:val="18"/>
                <w:color w:val="auto"/>
              </w:rPr>
              <w:t>Restructuring charge</w:t>
            </w:r>
            <w:r>
              <w:rPr>
                <w:rFonts w:ascii="Arial" w:cs="Arial" w:eastAsia="Arial" w:hAnsi="Arial"/>
                <w:sz w:val="24"/>
                <w:szCs w:val="24"/>
                <w:color w:val="auto"/>
                <w:vertAlign w:val="superscript"/>
              </w:rPr>
              <w:t>(5)</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4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Costs to exit the supplies business</w:t>
            </w: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23"/>
        </w:trPr>
        <w:tc>
          <w:tcPr>
            <w:tcW w:w="5460" w:type="dxa"/>
            <w:vAlign w:val="bottom"/>
            <w:gridSpan w:val="3"/>
          </w:tcPr>
          <w:p>
            <w:pPr>
              <w:ind w:left="20"/>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(8,658 )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(8,300 )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(20,425 )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(21,026 )</w:t>
            </w: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-179070</wp:posOffset>
            </wp:positionV>
            <wp:extent cx="85725" cy="1797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-179070</wp:posOffset>
            </wp:positionV>
            <wp:extent cx="85725" cy="179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-179070</wp:posOffset>
            </wp:positionV>
            <wp:extent cx="85725" cy="179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-179070</wp:posOffset>
            </wp:positionV>
            <wp:extent cx="85725" cy="1797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For the Three Months</w:t>
            </w:r>
          </w:p>
        </w:tc>
        <w:tc>
          <w:tcPr>
            <w:tcW w:w="200" w:type="dxa"/>
            <w:vAlign w:val="bottom"/>
          </w:tcPr>
          <w:p>
            <w:pPr>
              <w:spacing w:after="0"/>
              <w:rPr>
                <w:sz w:val="17"/>
                <w:szCs w:val="17"/>
                <w:color w:val="auto"/>
              </w:rPr>
            </w:pPr>
          </w:p>
        </w:tc>
        <w:tc>
          <w:tcPr>
            <w:tcW w:w="264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For the Six Months</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2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Ended June 30,</w:t>
            </w:r>
          </w:p>
        </w:tc>
        <w:tc>
          <w:tcPr>
            <w:tcW w:w="200" w:type="dxa"/>
            <w:vAlign w:val="bottom"/>
          </w:tcPr>
          <w:p>
            <w:pPr>
              <w:spacing w:after="0"/>
              <w:rPr>
                <w:sz w:val="20"/>
                <w:szCs w:val="20"/>
                <w:color w:val="auto"/>
              </w:rPr>
            </w:pPr>
          </w:p>
        </w:tc>
        <w:tc>
          <w:tcPr>
            <w:tcW w:w="264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1800" w:type="dxa"/>
            <w:vAlign w:val="bottom"/>
            <w:tcBorders>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98"/>
              </w:rPr>
              <w:t>Non-GAAP Net Loss:</w:t>
            </w:r>
          </w:p>
        </w:tc>
        <w:tc>
          <w:tcPr>
            <w:tcW w:w="36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(26,559 )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(16,549 )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(44,902 )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(36,544 )</w:t>
            </w:r>
          </w:p>
        </w:tc>
        <w:tc>
          <w:tcPr>
            <w:tcW w:w="0" w:type="dxa"/>
            <w:vAlign w:val="bottom"/>
          </w:tcPr>
          <w:p>
            <w:pPr>
              <w:spacing w:after="0"/>
              <w:rPr>
                <w:sz w:val="1"/>
                <w:szCs w:val="1"/>
                <w:color w:val="auto"/>
              </w:rPr>
            </w:pPr>
          </w:p>
        </w:tc>
      </w:tr>
      <w:tr>
        <w:trPr>
          <w:trHeight w:val="230"/>
        </w:trPr>
        <w:tc>
          <w:tcPr>
            <w:tcW w:w="54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Add (deduct):</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3"/>
          </w:tcPr>
          <w:p>
            <w:pPr>
              <w:ind w:left="20"/>
              <w:spacing w:after="0" w:line="229"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4"/>
                <w:szCs w:val="24"/>
                <w:color w:val="auto"/>
                <w:vertAlign w:val="superscript"/>
              </w:rPr>
              <w:t>(1)</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5,461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3,807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gridSpan w:val="3"/>
            <w:shd w:val="clear" w:color="auto" w:fill="CFF0FC"/>
          </w:tcPr>
          <w:p>
            <w:pPr>
              <w:ind w:left="20"/>
              <w:spacing w:after="0" w:line="229"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4"/>
                <w:szCs w:val="24"/>
                <w:color w:val="auto"/>
                <w:vertAlign w:val="superscript"/>
              </w:rPr>
              <w:t>(2)</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Amortization of lease intangible</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Amortization of deferred costs on convertible notes</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Loss on marketable securities</w:t>
            </w:r>
          </w:p>
        </w:tc>
        <w:tc>
          <w:tcPr>
            <w:tcW w:w="20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3"/>
            <w:shd w:val="clear" w:color="auto" w:fill="CFF0FC"/>
          </w:tcPr>
          <w:p>
            <w:pPr>
              <w:ind w:left="20"/>
              <w:spacing w:after="0" w:line="229" w:lineRule="exact"/>
              <w:rPr>
                <w:sz w:val="20"/>
                <w:szCs w:val="20"/>
                <w:color w:val="auto"/>
              </w:rPr>
            </w:pPr>
            <w:r>
              <w:rPr>
                <w:rFonts w:ascii="Arial" w:cs="Arial" w:eastAsia="Arial" w:hAnsi="Arial"/>
                <w:sz w:val="18"/>
                <w:szCs w:val="18"/>
                <w:color w:val="auto"/>
              </w:rPr>
              <w:t>Acquisition and other</w:t>
            </w:r>
            <w:r>
              <w:rPr>
                <w:rFonts w:ascii="Arial" w:cs="Arial" w:eastAsia="Arial" w:hAnsi="Arial"/>
                <w:sz w:val="24"/>
                <w:szCs w:val="24"/>
                <w:color w:val="auto"/>
                <w:vertAlign w:val="superscript"/>
              </w:rPr>
              <w:t>(4)</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(1,923 )</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(1,284 )</w:t>
            </w:r>
          </w:p>
        </w:tc>
        <w:tc>
          <w:tcPr>
            <w:tcW w:w="0" w:type="dxa"/>
            <w:vAlign w:val="bottom"/>
          </w:tcPr>
          <w:p>
            <w:pPr>
              <w:spacing w:after="0"/>
              <w:rPr>
                <w:sz w:val="1"/>
                <w:szCs w:val="1"/>
                <w:color w:val="auto"/>
              </w:rPr>
            </w:pPr>
          </w:p>
        </w:tc>
      </w:tr>
      <w:tr>
        <w:trPr>
          <w:trHeight w:val="229"/>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Loss on sale of property and equipment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Charitable contribution of common stock</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3"/>
          </w:tcPr>
          <w:p>
            <w:pPr>
              <w:ind w:left="20"/>
              <w:spacing w:after="0" w:line="229" w:lineRule="exact"/>
              <w:rPr>
                <w:sz w:val="20"/>
                <w:szCs w:val="20"/>
                <w:color w:val="auto"/>
              </w:rPr>
            </w:pPr>
            <w:r>
              <w:rPr>
                <w:rFonts w:ascii="Arial" w:cs="Arial" w:eastAsia="Arial" w:hAnsi="Arial"/>
                <w:sz w:val="18"/>
                <w:szCs w:val="18"/>
                <w:color w:val="auto"/>
              </w:rPr>
              <w:t>Lease abandonment and termination</w:t>
            </w:r>
            <w:r>
              <w:rPr>
                <w:rFonts w:ascii="Arial" w:cs="Arial" w:eastAsia="Arial" w:hAnsi="Arial"/>
                <w:sz w:val="24"/>
                <w:szCs w:val="24"/>
                <w:color w:val="auto"/>
                <w:vertAlign w:val="superscript"/>
              </w:rPr>
              <w:t>(3)</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8,778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8,778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Impairment of assets</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3"/>
          </w:tcPr>
          <w:p>
            <w:pPr>
              <w:ind w:left="20"/>
              <w:spacing w:after="0" w:line="229" w:lineRule="exact"/>
              <w:rPr>
                <w:sz w:val="20"/>
                <w:szCs w:val="20"/>
                <w:color w:val="auto"/>
              </w:rPr>
            </w:pPr>
            <w:r>
              <w:rPr>
                <w:rFonts w:ascii="Arial" w:cs="Arial" w:eastAsia="Arial" w:hAnsi="Arial"/>
                <w:sz w:val="18"/>
                <w:szCs w:val="18"/>
                <w:color w:val="auto"/>
              </w:rPr>
              <w:t>Restructuring charge</w:t>
            </w:r>
            <w:r>
              <w:rPr>
                <w:rFonts w:ascii="Arial" w:cs="Arial" w:eastAsia="Arial" w:hAnsi="Arial"/>
                <w:sz w:val="24"/>
                <w:szCs w:val="24"/>
                <w:color w:val="auto"/>
                <w:vertAlign w:val="superscript"/>
              </w:rPr>
              <w:t>(5)</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Costs to exit the supplies business</w:t>
            </w: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gridSpan w:val="3"/>
          </w:tcPr>
          <w:p>
            <w:pPr>
              <w:ind w:left="20"/>
              <w:spacing w:after="0"/>
              <w:rPr>
                <w:sz w:val="20"/>
                <w:szCs w:val="20"/>
                <w:color w:val="auto"/>
              </w:rPr>
            </w:pPr>
            <w:r>
              <w:rPr>
                <w:rFonts w:ascii="Arial" w:cs="Arial" w:eastAsia="Arial" w:hAnsi="Arial"/>
                <w:sz w:val="18"/>
                <w:szCs w:val="18"/>
                <w:b w:val="1"/>
                <w:bCs w:val="1"/>
                <w:color w:val="auto"/>
              </w:rPr>
              <w:t>Non-GAAP Net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(6,627 )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(8,447 )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(16,393 )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(20,974 )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480" w:type="dxa"/>
            <w:vAlign w:val="bottom"/>
            <w:gridSpan w:val="3"/>
            <w:shd w:val="clear" w:color="auto" w:fill="CFF0FC"/>
          </w:tcPr>
          <w:p>
            <w:pPr>
              <w:ind w:left="20"/>
              <w:spacing w:after="0" w:line="183" w:lineRule="exact"/>
              <w:rPr>
                <w:sz w:val="20"/>
                <w:szCs w:val="20"/>
                <w:color w:val="auto"/>
              </w:rPr>
            </w:pPr>
            <w:r>
              <w:rPr>
                <w:rFonts w:ascii="Arial" w:cs="Arial" w:eastAsia="Arial" w:hAnsi="Arial"/>
                <w:sz w:val="18"/>
                <w:szCs w:val="18"/>
                <w:color w:val="auto"/>
              </w:rPr>
              <w:t>Weighted-average number of shares outstanding used to compute</w:t>
            </w: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8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Non-GAAP Net Loss per share, basic and diluted, of Class A and</w:t>
            </w:r>
          </w:p>
        </w:tc>
        <w:tc>
          <w:tcPr>
            <w:tcW w:w="200" w:type="dxa"/>
            <w:vAlign w:val="bottom"/>
            <w:shd w:val="clear" w:color="auto" w:fill="CFF0FC"/>
          </w:tcPr>
          <w:p>
            <w:pPr>
              <w:spacing w:after="0"/>
              <w:rPr>
                <w:sz w:val="17"/>
                <w:szCs w:val="17"/>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47,865,990</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47,074,246</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47,783,235</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46,932,702</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4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Class B common stock</w:t>
            </w: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vMerge w:val="continue"/>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EPS, basic and diluted, of Class A and Class B common stock</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(0.55 )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(0.35 )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(0.94 )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(0.78 )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480" w:type="dxa"/>
            <w:vAlign w:val="bottom"/>
            <w:gridSpan w:val="3"/>
            <w:shd w:val="clear" w:color="auto" w:fill="CFF0FC"/>
          </w:tcPr>
          <w:p>
            <w:pPr>
              <w:ind w:left="20"/>
              <w:spacing w:after="0" w:line="183" w:lineRule="exact"/>
              <w:rPr>
                <w:sz w:val="20"/>
                <w:szCs w:val="20"/>
                <w:color w:val="auto"/>
              </w:rPr>
            </w:pPr>
            <w:r>
              <w:rPr>
                <w:rFonts w:ascii="Arial" w:cs="Arial" w:eastAsia="Arial" w:hAnsi="Arial"/>
                <w:sz w:val="18"/>
                <w:szCs w:val="18"/>
                <w:color w:val="auto"/>
              </w:rPr>
              <w:t>Non-GAAP EPS, basic and diluted, of Class A and Class B</w:t>
            </w: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(0.14 )</w:t>
            </w: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(0.18 )</w:t>
            </w: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(0.34 )</w:t>
            </w:r>
          </w:p>
        </w:tc>
        <w:tc>
          <w:tcPr>
            <w:tcW w:w="20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(0.45 )</w:t>
            </w:r>
          </w:p>
        </w:tc>
        <w:tc>
          <w:tcPr>
            <w:tcW w:w="0" w:type="dxa"/>
            <w:vAlign w:val="bottom"/>
          </w:tcPr>
          <w:p>
            <w:pPr>
              <w:spacing w:after="0"/>
              <w:rPr>
                <w:sz w:val="1"/>
                <w:szCs w:val="1"/>
                <w:color w:val="auto"/>
              </w:rPr>
            </w:pPr>
          </w:p>
        </w:tc>
      </w:tr>
      <w:tr>
        <w:trPr>
          <w:trHeight w:val="208"/>
        </w:trPr>
        <w:tc>
          <w:tcPr>
            <w:tcW w:w="5480" w:type="dxa"/>
            <w:vAlign w:val="bottom"/>
            <w:gridSpan w:val="3"/>
            <w:shd w:val="clear" w:color="auto" w:fill="CFF0FC"/>
          </w:tcPr>
          <w:p>
            <w:pPr>
              <w:ind w:left="20"/>
              <w:spacing w:after="0" w:line="189" w:lineRule="exact"/>
              <w:rPr>
                <w:sz w:val="20"/>
                <w:szCs w:val="20"/>
                <w:color w:val="auto"/>
              </w:rPr>
            </w:pPr>
            <w:r>
              <w:rPr>
                <w:rFonts w:ascii="Arial" w:cs="Arial" w:eastAsia="Arial" w:hAnsi="Arial"/>
                <w:sz w:val="18"/>
                <w:szCs w:val="18"/>
                <w:color w:val="auto"/>
              </w:rPr>
              <w:t>common stock</w:t>
            </w:r>
          </w:p>
        </w:tc>
        <w:tc>
          <w:tcPr>
            <w:tcW w:w="200" w:type="dxa"/>
            <w:vAlign w:val="bottom"/>
            <w:vMerge w:val="continue"/>
            <w:shd w:val="clear" w:color="auto" w:fill="CFF0FC"/>
          </w:tcPr>
          <w:p>
            <w:pPr>
              <w:spacing w:after="0"/>
              <w:rPr>
                <w:sz w:val="18"/>
                <w:szCs w:val="18"/>
                <w:color w:val="auto"/>
              </w:rPr>
            </w:pPr>
          </w:p>
        </w:tc>
        <w:tc>
          <w:tcPr>
            <w:tcW w:w="1260" w:type="dxa"/>
            <w:vAlign w:val="bottom"/>
            <w:gridSpan w:val="2"/>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1260" w:type="dxa"/>
            <w:vAlign w:val="bottom"/>
            <w:gridSpan w:val="2"/>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1280" w:type="dxa"/>
            <w:vAlign w:val="bottom"/>
            <w:gridSpan w:val="2"/>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11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36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-1174115</wp:posOffset>
            </wp:positionV>
            <wp:extent cx="85725" cy="1803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-1174115</wp:posOffset>
            </wp:positionV>
            <wp:extent cx="85725" cy="180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-1174115</wp:posOffset>
            </wp:positionV>
            <wp:extent cx="85725" cy="1803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-1174115</wp:posOffset>
            </wp:positionV>
            <wp:extent cx="85725" cy="1803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-599440</wp:posOffset>
            </wp:positionV>
            <wp:extent cx="85725" cy="3257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-599440</wp:posOffset>
            </wp:positionV>
            <wp:extent cx="85725" cy="3257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-599440</wp:posOffset>
            </wp:positionV>
            <wp:extent cx="85725" cy="3257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-599440</wp:posOffset>
            </wp:positionV>
            <wp:extent cx="85725" cy="3257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-24765</wp:posOffset>
            </wp:positionV>
            <wp:extent cx="857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-8255</wp:posOffset>
            </wp:positionV>
            <wp:extent cx="857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857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-8255</wp:posOffset>
            </wp:positionV>
            <wp:extent cx="857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857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857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ind w:left="380" w:right="60" w:hanging="372"/>
        <w:spacing w:after="0" w:line="254" w:lineRule="auto"/>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depreciation expense of the Company’s long-lived tangible assets and amortization expense of its finite-lived intangible assets, as included in the Company’s GAAP results of operations.</w:t>
      </w:r>
    </w:p>
    <w:p>
      <w:pPr>
        <w:ind w:left="380" w:hanging="372"/>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the non-cash expense related to stock-based awards granted to employees, as included in the Company’s GAAP results of operations.</w:t>
      </w:r>
    </w:p>
    <w:p>
      <w:pPr>
        <w:spacing w:after="0" w:line="5" w:lineRule="exact"/>
        <w:rPr>
          <w:rFonts w:ascii="Arial" w:cs="Arial" w:eastAsia="Arial" w:hAnsi="Arial"/>
          <w:sz w:val="16"/>
          <w:szCs w:val="16"/>
          <w:color w:val="auto"/>
        </w:rPr>
      </w:pPr>
    </w:p>
    <w:p>
      <w:pPr>
        <w:ind w:left="380" w:hanging="372"/>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 is recorded in general and administrative and/or other expenses.</w:t>
      </w:r>
    </w:p>
    <w:p>
      <w:pPr>
        <w:spacing w:after="0" w:line="5" w:lineRule="exact"/>
        <w:rPr>
          <w:rFonts w:ascii="Arial" w:cs="Arial" w:eastAsia="Arial" w:hAnsi="Arial"/>
          <w:sz w:val="16"/>
          <w:szCs w:val="16"/>
          <w:color w:val="auto"/>
        </w:rPr>
      </w:pPr>
    </w:p>
    <w:p>
      <w:pPr>
        <w:ind w:left="380" w:hanging="372"/>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adjustments related to purchase accounting, the revaluation of contingent consideration and transaction costs.</w:t>
      </w:r>
    </w:p>
    <w:p>
      <w:pPr>
        <w:spacing w:after="0" w:line="5" w:lineRule="exact"/>
        <w:rPr>
          <w:rFonts w:ascii="Arial" w:cs="Arial" w:eastAsia="Arial" w:hAnsi="Arial"/>
          <w:sz w:val="16"/>
          <w:szCs w:val="16"/>
          <w:color w:val="auto"/>
        </w:rPr>
      </w:pPr>
    </w:p>
    <w:p>
      <w:pPr>
        <w:ind w:left="380" w:hanging="372"/>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Costs associated with the May 2023 reduction in workforce.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5" w:lineRule="auto"/>
        <w:rPr>
          <w:sz w:val="20"/>
          <w:szCs w:val="20"/>
          <w:color w:val="auto"/>
        </w:rPr>
      </w:pPr>
      <w:r>
        <w:rPr>
          <w:rFonts w:ascii="Arial" w:cs="Arial" w:eastAsia="Arial" w:hAnsi="Arial"/>
          <w:sz w:val="20"/>
          <w:szCs w:val="20"/>
          <w:color w:val="auto"/>
        </w:rPr>
        <w:t>Unaudited Segment Results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9"/>
              </w:rPr>
              <w:t>For the Three Months Ended June</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4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Segment Revenue:</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U.S.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95,433</w:t>
            </w:r>
          </w:p>
        </w:tc>
        <w:tc>
          <w:tcPr>
            <w:tcW w:w="3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87,675</w:t>
            </w:r>
          </w:p>
        </w:tc>
        <w:tc>
          <w:tcPr>
            <w:tcW w:w="3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189,336</w:t>
            </w:r>
          </w:p>
        </w:tc>
        <w:tc>
          <w:tcPr>
            <w:tcW w:w="3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163,724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International</w:t>
            </w:r>
          </w:p>
        </w:tc>
        <w:tc>
          <w:tcPr>
            <w:tcW w:w="1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15,575</w:t>
            </w:r>
          </w:p>
        </w:tc>
        <w:tc>
          <w:tcPr>
            <w:tcW w:w="3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7,940</w:t>
            </w:r>
          </w:p>
        </w:tc>
        <w:tc>
          <w:tcPr>
            <w:tcW w:w="3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26,998</w:t>
            </w:r>
          </w:p>
        </w:tc>
        <w:tc>
          <w:tcPr>
            <w:tcW w:w="3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15,562</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111,008</w:t>
            </w:r>
          </w:p>
        </w:tc>
        <w:tc>
          <w:tcPr>
            <w:tcW w:w="3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95,615</w:t>
            </w:r>
          </w:p>
        </w:tc>
        <w:tc>
          <w:tcPr>
            <w:tcW w:w="3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216,334</w:t>
            </w:r>
          </w:p>
        </w:tc>
        <w:tc>
          <w:tcPr>
            <w:tcW w:w="3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179,286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Segment Net Loss:</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U.S.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(22,912 )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(11,222 )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(35,849 )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(26,245 )</w:t>
            </w: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International</w:t>
            </w: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(3,642 )</w:t>
            </w: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(5,331 )</w:t>
            </w: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(9,049 )</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(10,320 )</w:t>
            </w:r>
          </w:p>
        </w:tc>
        <w:tc>
          <w:tcPr>
            <w:tcW w:w="0" w:type="dxa"/>
            <w:vAlign w:val="bottom"/>
          </w:tcPr>
          <w:p>
            <w:pPr>
              <w:spacing w:after="0"/>
              <w:rPr>
                <w:sz w:val="1"/>
                <w:szCs w:val="1"/>
                <w:color w:val="auto"/>
              </w:rPr>
            </w:pPr>
          </w:p>
        </w:tc>
      </w:tr>
      <w:tr>
        <w:trPr>
          <w:trHeight w:val="20"/>
        </w:trPr>
        <w:tc>
          <w:tcPr>
            <w:tcW w:w="43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80" w:type="dxa"/>
            <w:vAlign w:val="bottom"/>
          </w:tcPr>
          <w:p>
            <w:pPr>
              <w:ind w:left="280"/>
              <w:spacing w:after="0" w:line="197" w:lineRule="exact"/>
              <w:rPr>
                <w:sz w:val="20"/>
                <w:szCs w:val="20"/>
                <w:color w:val="auto"/>
              </w:rPr>
            </w:pPr>
            <w:r>
              <w:rPr>
                <w:rFonts w:ascii="Arial" w:cs="Arial" w:eastAsia="Arial" w:hAnsi="Arial"/>
                <w:sz w:val="18"/>
                <w:szCs w:val="18"/>
                <w:color w:val="auto"/>
              </w:rPr>
              <w:t>Total net loss attributable to common</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(26,554 )</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(16,553 )</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(44,898 )</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(36,565 )</w:t>
            </w:r>
          </w:p>
        </w:tc>
        <w:tc>
          <w:tcPr>
            <w:tcW w:w="0" w:type="dxa"/>
            <w:vAlign w:val="bottom"/>
          </w:tcPr>
          <w:p>
            <w:pPr>
              <w:spacing w:after="0"/>
              <w:rPr>
                <w:sz w:val="1"/>
                <w:szCs w:val="1"/>
                <w:color w:val="auto"/>
              </w:rPr>
            </w:pPr>
          </w:p>
        </w:tc>
      </w:tr>
      <w:tr>
        <w:trPr>
          <w:trHeight w:val="188"/>
        </w:trPr>
        <w:tc>
          <w:tcPr>
            <w:tcW w:w="4380" w:type="dxa"/>
            <w:vAlign w:val="bottom"/>
          </w:tcPr>
          <w:p>
            <w:pPr>
              <w:ind w:left="280"/>
              <w:spacing w:after="0" w:line="189" w:lineRule="exact"/>
              <w:rPr>
                <w:sz w:val="20"/>
                <w:szCs w:val="20"/>
                <w:color w:val="auto"/>
              </w:rPr>
            </w:pPr>
            <w:r>
              <w:rPr>
                <w:rFonts w:ascii="Arial" w:cs="Arial" w:eastAsia="Arial" w:hAnsi="Arial"/>
                <w:sz w:val="18"/>
                <w:szCs w:val="18"/>
                <w:color w:val="auto"/>
              </w:rPr>
              <w:t>stockholders</w:t>
            </w:r>
          </w:p>
        </w:tc>
        <w:tc>
          <w:tcPr>
            <w:tcW w:w="120" w:type="dxa"/>
            <w:vAlign w:val="bottom"/>
            <w:vMerge w:val="continue"/>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-1045210</wp:posOffset>
            </wp:positionV>
            <wp:extent cx="85725" cy="3257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-1045210</wp:posOffset>
            </wp:positionV>
            <wp:extent cx="85725" cy="3257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-1045210</wp:posOffset>
            </wp:positionV>
            <wp:extent cx="85725" cy="3257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-1045210</wp:posOffset>
            </wp:positionV>
            <wp:extent cx="85725" cy="3257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-282575</wp:posOffset>
            </wp:positionV>
            <wp:extent cx="85725" cy="2832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28321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-282575</wp:posOffset>
            </wp:positionV>
            <wp:extent cx="85725" cy="2832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28321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-282575</wp:posOffset>
            </wp:positionV>
            <wp:extent cx="85725" cy="2832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28321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-282575</wp:posOffset>
            </wp:positionV>
            <wp:extent cx="85725" cy="2832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 w:name="page16"/>
    <w:bookmarkEnd w:id="15"/>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ind w:right="-59"/>
        <w:spacing w:after="0" w:line="235" w:lineRule="auto"/>
        <w:rPr>
          <w:sz w:val="20"/>
          <w:szCs w:val="20"/>
          <w:color w:val="auto"/>
        </w:rPr>
      </w:pPr>
      <w:r>
        <w:rPr>
          <w:rFonts w:ascii="Arial" w:cs="Arial" w:eastAsia="Arial" w:hAnsi="Arial"/>
          <w:sz w:val="20"/>
          <w:szCs w:val="20"/>
          <w:color w:val="auto"/>
        </w:rPr>
        <w:t>Unaudited Supplemental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For the Three Months</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For the Six Months</w:t>
            </w:r>
          </w:p>
        </w:tc>
        <w:tc>
          <w:tcPr>
            <w:tcW w:w="140" w:type="dxa"/>
            <w:vAlign w:val="bottom"/>
          </w:tcPr>
          <w:p>
            <w:pPr>
              <w:spacing w:after="0"/>
              <w:rPr>
                <w:sz w:val="17"/>
                <w:szCs w:val="17"/>
                <w:color w:val="auto"/>
              </w:rPr>
            </w:pPr>
          </w:p>
        </w:tc>
      </w:tr>
      <w:tr>
        <w:trPr>
          <w:trHeight w:val="239"/>
        </w:trPr>
        <w:tc>
          <w:tcPr>
            <w:tcW w:w="49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Ended June 30,</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Ended June 30,</w:t>
            </w:r>
          </w:p>
        </w:tc>
        <w:tc>
          <w:tcPr>
            <w:tcW w:w="140" w:type="dxa"/>
            <w:vAlign w:val="bottom"/>
          </w:tcPr>
          <w:p>
            <w:pPr>
              <w:spacing w:after="0"/>
              <w:rPr>
                <w:sz w:val="20"/>
                <w:szCs w:val="20"/>
                <w:color w:val="auto"/>
              </w:rPr>
            </w:pPr>
          </w:p>
        </w:tc>
      </w:tr>
      <w:tr>
        <w:trPr>
          <w:trHeight w:val="223"/>
        </w:trPr>
        <w:tc>
          <w:tcPr>
            <w:tcW w:w="49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r>
      <w:tr>
        <w:trPr>
          <w:trHeight w:val="223"/>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Summary of Stock-based Compensation Expense</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1,185</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1,300</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2,237</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1,936</w:t>
            </w:r>
          </w:p>
        </w:tc>
        <w:tc>
          <w:tcPr>
            <w:tcW w:w="140" w:type="dxa"/>
            <w:vAlign w:val="bottom"/>
          </w:tcPr>
          <w:p>
            <w:pPr>
              <w:spacing w:after="0"/>
              <w:rPr>
                <w:sz w:val="19"/>
                <w:szCs w:val="19"/>
                <w:color w:val="auto"/>
              </w:rPr>
            </w:pPr>
          </w:p>
        </w:tc>
      </w:tr>
      <w:tr>
        <w:trPr>
          <w:trHeight w:val="229"/>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Operations and support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3,164</w:t>
            </w:r>
          </w:p>
        </w:tc>
        <w:tc>
          <w:tcPr>
            <w:tcW w:w="140" w:type="dxa"/>
            <w:vAlign w:val="bottom"/>
            <w:shd w:val="clear" w:color="auto" w:fill="CFF0FC"/>
          </w:tcPr>
          <w:p>
            <w:pPr>
              <w:spacing w:after="0"/>
              <w:rPr>
                <w:sz w:val="19"/>
                <w:szCs w:val="19"/>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9"/>
                <w:szCs w:val="19"/>
                <w:color w:val="auto"/>
              </w:rPr>
            </w:pPr>
          </w:p>
        </w:tc>
      </w:tr>
      <w:tr>
        <w:trPr>
          <w:trHeight w:val="229"/>
        </w:trPr>
        <w:tc>
          <w:tcPr>
            <w:tcW w:w="4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1,185</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2,054</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1,813</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5,798</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5,479</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10,492</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8,935</w:t>
            </w:r>
          </w:p>
        </w:tc>
        <w:tc>
          <w:tcPr>
            <w:tcW w:w="14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4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9"/>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Summary of Depreciation and Amortization Expense</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9"/>
                <w:szCs w:val="19"/>
                <w:color w:val="auto"/>
              </w:rPr>
            </w:pPr>
          </w:p>
        </w:tc>
      </w:tr>
      <w:tr>
        <w:trPr>
          <w:trHeight w:val="230"/>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w:t>
            </w:r>
          </w:p>
        </w:tc>
        <w:tc>
          <w:tcPr>
            <w:tcW w:w="140" w:type="dxa"/>
            <w:vAlign w:val="bottom"/>
            <w:shd w:val="clear" w:color="auto" w:fill="CFF0FC"/>
          </w:tcPr>
          <w:p>
            <w:pPr>
              <w:spacing w:after="0"/>
              <w:rPr>
                <w:sz w:val="19"/>
                <w:szCs w:val="19"/>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Operations and support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r>
      <w:tr>
        <w:trPr>
          <w:trHeight w:val="230"/>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1,599</w:t>
            </w:r>
          </w:p>
        </w:tc>
        <w:tc>
          <w:tcPr>
            <w:tcW w:w="140" w:type="dxa"/>
            <w:vAlign w:val="bottom"/>
            <w:shd w:val="clear" w:color="auto" w:fill="CFF0FC"/>
          </w:tcPr>
          <w:p>
            <w:pPr>
              <w:spacing w:after="0"/>
              <w:rPr>
                <w:sz w:val="19"/>
                <w:szCs w:val="19"/>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40" w:type="dxa"/>
            <w:vAlign w:val="bottom"/>
          </w:tcPr>
          <w:p>
            <w:pPr>
              <w:spacing w:after="0"/>
              <w:rPr>
                <w:sz w:val="19"/>
                <w:szCs w:val="19"/>
                <w:color w:val="auto"/>
              </w:rPr>
            </w:pPr>
          </w:p>
        </w:tc>
      </w:tr>
      <w:tr>
        <w:trPr>
          <w:trHeight w:val="263"/>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depreciation and amortization expense</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2,895</w:t>
            </w: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w:t>
            </w: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5,461</w:t>
            </w: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3,807</w:t>
            </w:r>
          </w:p>
        </w:tc>
        <w:tc>
          <w:tcPr>
            <w:tcW w:w="140" w:type="dxa"/>
            <w:vAlign w:val="bottom"/>
            <w:shd w:val="clear" w:color="auto" w:fill="CFF0FC"/>
          </w:tcPr>
          <w:p>
            <w:pPr>
              <w:spacing w:after="0"/>
              <w:rPr>
                <w:sz w:val="22"/>
                <w:szCs w:val="22"/>
                <w:color w:val="auto"/>
              </w:rPr>
            </w:pPr>
          </w:p>
        </w:tc>
      </w:tr>
      <w:tr>
        <w:trPr>
          <w:trHeight w:val="466"/>
        </w:trPr>
        <w:tc>
          <w:tcPr>
            <w:tcW w:w="49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Restructuring Charge</w:t>
            </w: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r>
      <w:tr>
        <w:trPr>
          <w:trHeight w:val="243"/>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Operations and support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r>
      <w:tr>
        <w:trPr>
          <w:trHeight w:val="243"/>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63"/>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restructuring charge</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r>
      <w:tr>
        <w:trPr>
          <w:trHeight w:val="629"/>
        </w:trPr>
        <w:tc>
          <w:tcPr>
            <w:tcW w:w="49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12</w:t>
            </w:r>
          </w:p>
        </w:tc>
        <w:tc>
          <w:tcPr>
            <w:tcW w:w="2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-2973705</wp:posOffset>
            </wp:positionV>
            <wp:extent cx="85725" cy="3257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-2973705</wp:posOffset>
            </wp:positionV>
            <wp:extent cx="85725" cy="3257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-2973705</wp:posOffset>
            </wp:positionV>
            <wp:extent cx="85725" cy="3257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-2973705</wp:posOffset>
            </wp:positionV>
            <wp:extent cx="85725" cy="3257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-1619250</wp:posOffset>
            </wp:positionV>
            <wp:extent cx="3146425" cy="3340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146425" cy="33401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-521970</wp:posOffset>
            </wp:positionV>
            <wp:extent cx="857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-504825</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-521970</wp:posOffset>
            </wp:positionV>
            <wp:extent cx="857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-504825</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-521970</wp:posOffset>
            </wp:positionV>
            <wp:extent cx="857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-504825</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-521970</wp:posOffset>
            </wp:positionV>
            <wp:extent cx="857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-504825</wp:posOffset>
            </wp:positionV>
            <wp:extent cx="857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2"/>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2023-08-09T06:38:50Z</dcterms:created>
  <dcterms:modified xsi:type="dcterms:W3CDTF">2023-08-09T06:38:50Z</dcterms:modified>
</cp:coreProperties>
</file>