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6992620" cy="5417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17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>Rollins Emily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Xometry,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XMTR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XOMETRY,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12/30/2022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6116 EXECUTIVE BLVD, SUITE 800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12/30/2022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12.32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5,729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12/30/2022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32.32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3,729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12.32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02/24/2031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-2197100</wp:posOffset>
            </wp:positionV>
            <wp:extent cx="29210" cy="220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transaction reported in this Form 4 was effected automatically pursuant to a Rule 10b5-1 trading plan adopted and amended by the reporting person at least 30 days prior to the trading date.</w:t>
      </w:r>
    </w:p>
    <w:p>
      <w:pPr>
        <w:spacing w:after="0" w:line="5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shares sold in a transaction that was effected automatically pursuant to a Rule 10b5-1 trading plan adopted and amended by the reporting person at least 30 days prior to the trading date.</w:t>
      </w:r>
    </w:p>
    <w:p>
      <w:pPr>
        <w:spacing w:after="0" w:line="5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vest in 48 monthly installments beginning on April 2, 2021, subject to the Reporting Person's continuous service.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Kristie Scott,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47014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2023-01-04T16:11:07Z</dcterms:created>
  <dcterms:modified xsi:type="dcterms:W3CDTF">2023-01-04T16:11:07Z</dcterms:modified>
</cp:coreProperties>
</file>