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Xometry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98423F109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98423F109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Brown Capital Management,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1,747,519.00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3,446,223.00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3,446,223.00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Xometry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6116 Executive Boulevard, Suite 800, North Bethesda, MD 20852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Brown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1201 N. Calvert Street, Baltimore, Maryland 21202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(i) State of Maryland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98423F109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(i)3446223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(i)7.17%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(i)1747519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(i)3446223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(i)None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Class A Shares set forth in Item 4 are owned by various investment advisory clients of Granahan Investment Management LLC, which is deemed to be a beneficial owner of those shares pursuant to Rule 13d-3 under the Securities Exchange Act of 1934, due to its discretionary power to make investment decisions over such shares and/or its ability to vote such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Brown Capital Management,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1"/>
        <w:gridCol w:w="4424"/>
      </w:tblGrid>
      <w:tr>
        <w:trPr/>
        <w:tc>
          <w:tcPr>
            <w:tcW w:w="57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Eddie C. Brown</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Eddie C. Brown, CEO</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4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After reasonable inquiry and to the best of my knowledge and belief, I certify that the information set forth in this statement is true, complete and correct.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1094</Words>
  <Characters>5591</Characters>
  <CharactersWithSpaces>6669</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