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2"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6"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On November 5, 2024, Xometry, Inc. (the “Company”) issued a press release announcing its third quarter financial results for the quarterly period ended September 30, 2024. A copy of the press release is furnished as Exhibit 99.1 to this report.</w:t>
      </w:r>
    </w:p>
    <w:p>
      <w:pPr>
        <w:spacing w:after="0" w:line="163"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19"/>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0" w:type="dxa"/>
            <w:vAlign w:val="bottom"/>
          </w:tcPr>
          <w:p>
            <w:pPr>
              <w:spacing w:after="0"/>
              <w:rPr>
                <w:sz w:val="16"/>
                <w:szCs w:val="16"/>
                <w:color w:val="auto"/>
              </w:rPr>
            </w:pPr>
          </w:p>
        </w:tc>
        <w:tc>
          <w:tcPr>
            <w:tcW w:w="3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November 5, 2024.</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1"/>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Third Quarter 2024 Results</w:t>
      </w:r>
    </w:p>
    <w:p>
      <w:pPr>
        <w:spacing w:after="0" w:line="197" w:lineRule="exact"/>
        <w:rPr>
          <w:sz w:val="20"/>
          <w:szCs w:val="20"/>
          <w:color w:val="auto"/>
        </w:rPr>
      </w:pPr>
    </w:p>
    <w:p>
      <w:pPr>
        <w:ind w:left="1020" w:right="10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revenue increased 19% year-over-year to a record $142 million driven by marketplace growth of 24% year-over-year.</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gross profit increased 21% year-over-year to a record $55.8 million.</w:t>
      </w:r>
    </w:p>
    <w:p>
      <w:pPr>
        <w:spacing w:after="0" w:line="106" w:lineRule="exact"/>
        <w:rPr>
          <w:rFonts w:ascii="Times New Roman" w:cs="Times New Roman" w:eastAsia="Times New Roman" w:hAnsi="Times New Roman"/>
          <w:sz w:val="20"/>
          <w:szCs w:val="20"/>
          <w:color w:val="auto"/>
        </w:rPr>
      </w:pPr>
    </w:p>
    <w:p>
      <w:pPr>
        <w:ind w:left="1020" w:right="50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marketplace gross profit increased 34% year-over-year, driven by our AI technology and expanding supplier network. Q3 marketplace gross margin increased 250 basis points year-over-year to a record 33.6%.</w:t>
      </w:r>
    </w:p>
    <w:p>
      <w:pPr>
        <w:spacing w:after="0" w:line="47" w:lineRule="exact"/>
        <w:rPr>
          <w:rFonts w:ascii="Times New Roman" w:cs="Times New Roman" w:eastAsia="Times New Roman" w:hAnsi="Times New Roman"/>
          <w:sz w:val="20"/>
          <w:szCs w:val="20"/>
          <w:color w:val="auto"/>
        </w:rPr>
      </w:pPr>
    </w:p>
    <w:p>
      <w:pPr>
        <w:ind w:left="1020" w:right="16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Q3 Adjusted EBITDA improved 85% year-over-year to a loss of $0.6 million. Q3 Adjusted EBITDA loss represented a record low 0.4% of revenue.</w:t>
      </w:r>
    </w:p>
    <w:p>
      <w:pPr>
        <w:spacing w:after="0" w:line="47" w:lineRule="exact"/>
        <w:rPr>
          <w:rFonts w:ascii="Times New Roman" w:cs="Times New Roman" w:eastAsia="Times New Roman" w:hAnsi="Times New Roman"/>
          <w:sz w:val="20"/>
          <w:szCs w:val="20"/>
          <w:color w:val="auto"/>
        </w:rPr>
      </w:pPr>
    </w:p>
    <w:p>
      <w:pPr>
        <w:ind w:left="1020" w:right="34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Growth initiatives include: expanding buyer and supplier networks; driving deeper enterprise engagement; further expanding the marketplace menu; growing internationally and enhancing supplier services.</w:t>
      </w:r>
    </w:p>
    <w:p>
      <w:pPr>
        <w:spacing w:after="0" w:line="32"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b w:val="1"/>
          <w:bCs w:val="1"/>
          <w:color w:val="auto"/>
        </w:rPr>
        <w:t>NORTH BETHESDA, MD., November 5, 2024 /Globe Newswire/</w:t>
      </w:r>
      <w:r>
        <w:rPr>
          <w:rFonts w:ascii="Arial" w:cs="Arial" w:eastAsia="Arial" w:hAnsi="Arial"/>
          <w:sz w:val="20"/>
          <w:szCs w:val="20"/>
          <w:color w:val="auto"/>
        </w:rPr>
        <w:t>-- Xometry, Inc. (NASDAQ:XMTR),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enterprise buyers with suppliers of manufacturing services, today reported financial results for the third quarter ended September 30, 2024.</w:t>
      </w:r>
    </w:p>
    <w:p>
      <w:pPr>
        <w:spacing w:after="0" w:line="169"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“Q3 2024 represented another record-setting quarter for our company. Powered by our AI-driven marketplace, we achieved record revenues, record gross profit and record marketplace gross margin while capturing additional market share globally,” said Randy Altschuler, Xometry’s CEO. “We delivered better-than-expected results driven by strong 24% marketplace growth. The combination of our team’s strong execution, rapidly growing networks of buyers and suppliers, data-driven AI, and expanding enterprise relationships will continue to fuel strong revenue and gross profit growth.”</w:t>
      </w:r>
    </w:p>
    <w:p>
      <w:pPr>
        <w:spacing w:after="0" w:line="173" w:lineRule="exact"/>
        <w:rPr>
          <w:sz w:val="20"/>
          <w:szCs w:val="20"/>
          <w:color w:val="auto"/>
        </w:rPr>
      </w:pPr>
    </w:p>
    <w:p>
      <w:pPr>
        <w:jc w:val="both"/>
        <w:ind w:right="300"/>
        <w:spacing w:after="0" w:line="241" w:lineRule="auto"/>
        <w:rPr>
          <w:sz w:val="20"/>
          <w:szCs w:val="20"/>
          <w:color w:val="auto"/>
        </w:rPr>
      </w:pPr>
      <w:r>
        <w:rPr>
          <w:rFonts w:ascii="Arial" w:cs="Arial" w:eastAsia="Arial" w:hAnsi="Arial"/>
          <w:sz w:val="20"/>
          <w:szCs w:val="20"/>
          <w:color w:val="auto"/>
        </w:rPr>
        <w:t>“We delivered another quarter of strong marketplace revenue growth and operating leverage demonstrating the value that we bring to global buyers and suppliers,” said James Miln, Xometry’s CFO. “</w:t>
      </w:r>
      <w:r>
        <w:rPr>
          <w:rFonts w:ascii="Arial" w:cs="Arial" w:eastAsia="Arial" w:hAnsi="Arial"/>
          <w:sz w:val="20"/>
          <w:szCs w:val="20"/>
          <w:color w:val="1D1C1D"/>
        </w:rPr>
        <w:t>Q3 Adjusted EBITDA loss improved 85% year-over-year driven by a 250 basis point increase in marketplace gross margin and operating efficiencies</w:t>
      </w:r>
      <w:r>
        <w:rPr>
          <w:rFonts w:ascii="Arial" w:cs="Arial" w:eastAsia="Arial" w:hAnsi="Arial"/>
          <w:sz w:val="20"/>
          <w:szCs w:val="20"/>
          <w:color w:val="000000"/>
        </w:rPr>
        <w:t>.</w:t>
      </w:r>
      <w:r>
        <w:rPr>
          <w:rFonts w:ascii="Arial" w:cs="Arial" w:eastAsia="Arial" w:hAnsi="Arial"/>
          <w:sz w:val="20"/>
          <w:szCs w:val="20"/>
          <w:color w:val="1D1C1D"/>
        </w:rPr>
        <w: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Financial Highlights</w:t>
      </w:r>
    </w:p>
    <w:p>
      <w:pPr>
        <w:spacing w:after="0" w:line="9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third quarter of 2024 was $127 million, an increase of 24% year-over-year.</w:t>
      </w:r>
    </w:p>
    <w:p>
      <w:pPr>
        <w:spacing w:after="0" w:line="106" w:lineRule="exact"/>
        <w:rPr>
          <w:rFonts w:ascii="Times New Roman" w:cs="Times New Roman" w:eastAsia="Times New Roman" w:hAnsi="Times New Roman"/>
          <w:sz w:val="20"/>
          <w:szCs w:val="20"/>
          <w:color w:val="auto"/>
        </w:rPr>
      </w:pPr>
    </w:p>
    <w:p>
      <w:pPr>
        <w:ind w:left="1020" w:right="36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24% from 52,382 as of September 30, 2023 to 64,851 as of September 30, 2024.</w:t>
      </w:r>
    </w:p>
    <w:p>
      <w:pPr>
        <w:spacing w:after="0" w:line="47" w:lineRule="exact"/>
        <w:rPr>
          <w:rFonts w:ascii="Times New Roman" w:cs="Times New Roman" w:eastAsia="Times New Roman" w:hAnsi="Times New Roman"/>
          <w:sz w:val="20"/>
          <w:szCs w:val="20"/>
          <w:color w:val="auto"/>
        </w:rPr>
      </w:pPr>
    </w:p>
    <w:p>
      <w:pPr>
        <w:ind w:left="1020" w:right="90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23% from 1,223 as of September 30, 2023 to 1,506 as of September 30, 2024.</w:t>
      </w:r>
    </w:p>
    <w:p>
      <w:pPr>
        <w:spacing w:after="0" w:line="47" w:lineRule="exact"/>
        <w:rPr>
          <w:rFonts w:ascii="Times New Roman" w:cs="Times New Roman" w:eastAsia="Times New Roman" w:hAnsi="Times New Roman"/>
          <w:sz w:val="20"/>
          <w:szCs w:val="20"/>
          <w:color w:val="auto"/>
        </w:rPr>
      </w:pPr>
    </w:p>
    <w:p>
      <w:pPr>
        <w:ind w:left="1020" w:right="220" w:hanging="504"/>
        <w:spacing w:after="0" w:line="282" w:lineRule="auto"/>
        <w:tabs>
          <w:tab w:leader="none" w:pos="10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Supplier services revenue for the third quarter of 2024 was $14.7 million, a decrease of 10% year-over-year driven primarily by the exit of non-core supplier services and to a lesser extent advertising and marketing services.</w:t>
      </w:r>
    </w:p>
    <w:p>
      <w:pPr>
        <w:spacing w:after="0" w:line="24" w:lineRule="exact"/>
        <w:rPr>
          <w:rFonts w:ascii="Times New Roman" w:cs="Times New Roman" w:eastAsia="Times New Roman" w:hAnsi="Times New Roman"/>
          <w:sz w:val="19"/>
          <w:szCs w:val="19"/>
          <w:color w:val="auto"/>
        </w:rPr>
      </w:pPr>
    </w:p>
    <w:p>
      <w:pPr>
        <w:jc w:val="both"/>
        <w:ind w:left="1020" w:right="100" w:hanging="504"/>
        <w:spacing w:after="0" w:line="259" w:lineRule="auto"/>
        <w:tabs>
          <w:tab w:leader="none" w:pos="10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Net loss attributable to common stockholders was $10.2 million for the quarter, a decrease of $1.8 million year-over-year. Net loss for the third quarter of 2024 included $7.0 million of stock-based compensation, $0.1 million of payroll tax expense related to stock-based compensation and $3.2 million of depreciation and amortization expense.</w:t>
      </w:r>
    </w:p>
    <w:p>
      <w:pPr>
        <w:spacing w:after="0" w:line="46" w:lineRule="exact"/>
        <w:rPr>
          <w:rFonts w:ascii="Times New Roman" w:cs="Times New Roman" w:eastAsia="Times New Roman" w:hAnsi="Times New Roman"/>
          <w:sz w:val="19"/>
          <w:szCs w:val="19"/>
          <w:color w:val="auto"/>
        </w:rPr>
      </w:pPr>
    </w:p>
    <w:p>
      <w:pPr>
        <w:ind w:left="1020" w:right="32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was a loss of $0.6 million for the third quarter of 2024, reflecting an improvement of $3.6 million year-over-year.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 w:name="page5"/>
    <w:bookmarkEnd w:id="4"/>
    <w:p>
      <w:pPr>
        <w:ind w:left="1020" w:right="34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was $1.1 million for the third quarter of 2024, as compared to a Non-GAAP net loss of $2.6 million in the third quarter of 2023.</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Business Highlights</w:t>
      </w:r>
    </w:p>
    <w:p>
      <w:pPr>
        <w:spacing w:after="0" w:line="96" w:lineRule="exact"/>
        <w:rPr>
          <w:sz w:val="20"/>
          <w:szCs w:val="20"/>
          <w:color w:val="auto"/>
        </w:rPr>
      </w:pPr>
    </w:p>
    <w:p>
      <w:pPr>
        <w:ind w:left="1020" w:right="34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Expanded our US marketplace menu with instant pricing and lead time offerings for tube cutting and tube bending. Through our partnership with Google Cloud, Xometry is leveraging Vertex AI to accelerate the deployment of new auto-quote methods and models on our marketplace.</w:t>
      </w:r>
    </w:p>
    <w:p>
      <w:pPr>
        <w:spacing w:after="0" w:line="64" w:lineRule="exact"/>
        <w:rPr>
          <w:rFonts w:ascii="Times New Roman" w:cs="Times New Roman" w:eastAsia="Times New Roman" w:hAnsi="Times New Roman"/>
          <w:sz w:val="20"/>
          <w:szCs w:val="20"/>
          <w:color w:val="auto"/>
        </w:rPr>
      </w:pPr>
    </w:p>
    <w:p>
      <w:pPr>
        <w:ind w:left="1020" w:right="280" w:hanging="504"/>
        <w:spacing w:after="0" w:line="234"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Launched a suite of tools on the European marketplace that makes it easier for enterprise customers to order parts for their high-volume manufacturing projects. The tools give engineers, designers, procurement professionals and project managers everything they need to coordinate, collaborate and manage complex orders. Xometry Europe added the Hungarian (Magyar) language to its marketplace. Worldwide, the Xometry marketplace is available in 16 languages.</w:t>
      </w:r>
    </w:p>
    <w:p>
      <w:pPr>
        <w:spacing w:after="0" w:line="64" w:lineRule="exact"/>
        <w:rPr>
          <w:rFonts w:ascii="Times New Roman" w:cs="Times New Roman" w:eastAsia="Times New Roman" w:hAnsi="Times New Roman"/>
          <w:sz w:val="20"/>
          <w:szCs w:val="20"/>
          <w:color w:val="auto"/>
        </w:rPr>
      </w:pPr>
    </w:p>
    <w:p>
      <w:pPr>
        <w:ind w:left="1020" w:right="180" w:hanging="504"/>
        <w:spacing w:after="0" w:line="259"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Continued the rapid expansion of the company’s global supplier base, with more than 4,200 Active Suppliers, as compared with 1,410 since the beginning of 2021. In Q3, we expanded our supplier base in the U.S. with a focus on adding new suppliers with key quality certifications to serve the needs of our larger customers across key industries.</w:t>
      </w:r>
    </w:p>
    <w:p>
      <w:pPr>
        <w:spacing w:after="0" w:line="46" w:lineRule="exact"/>
        <w:rPr>
          <w:rFonts w:ascii="Times New Roman" w:cs="Times New Roman" w:eastAsia="Times New Roman" w:hAnsi="Times New Roman"/>
          <w:sz w:val="19"/>
          <w:szCs w:val="19"/>
          <w:color w:val="auto"/>
        </w:rPr>
      </w:pPr>
    </w:p>
    <w:p>
      <w:pPr>
        <w:ind w:left="1020" w:right="12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Roy Azevedo to Xometry's Board of Directors on Oct. 15, 2024. Azevedo is the former president for two of Raytheon Technologies’ business units and brings significant expertise in engineering, global manufacturing and supply chain management to Xometry.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Financial Summary</w:t>
      </w:r>
    </w:p>
    <w:p>
      <w:pPr>
        <w:jc w:val="center"/>
        <w:ind w:right="100"/>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jc w:val="center"/>
        <w:ind w:right="100"/>
        <w:spacing w:after="0"/>
        <w:rPr>
          <w:sz w:val="20"/>
          <w:szCs w:val="20"/>
          <w:color w:val="auto"/>
        </w:rPr>
      </w:pPr>
      <w:r>
        <w:rPr>
          <w:rFonts w:ascii="Arial" w:cs="Arial" w:eastAsia="Arial" w:hAnsi="Arial"/>
          <w:sz w:val="20"/>
          <w:szCs w:val="20"/>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the Three Months</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Nine Months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180"/>
              <w:spacing w:after="0"/>
              <w:rPr>
                <w:sz w:val="20"/>
                <w:szCs w:val="20"/>
                <w:color w:val="auto"/>
              </w:rPr>
            </w:pPr>
            <w:r>
              <w:rPr>
                <w:rFonts w:ascii="Arial" w:cs="Arial" w:eastAsia="Arial" w:hAnsi="Arial"/>
                <w:sz w:val="16"/>
                <w:szCs w:val="16"/>
                <w:b w:val="1"/>
                <w:bCs w:val="1"/>
                <w:color w:val="auto"/>
              </w:rPr>
              <w:t>Ended September 30,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Arial" w:cs="Arial" w:eastAsia="Arial" w:hAnsi="Arial"/>
                <w:sz w:val="16"/>
                <w:szCs w:val="16"/>
                <w:b w:val="1"/>
                <w:bCs w:val="1"/>
                <w:color w:val="auto"/>
              </w:rPr>
              <w:t>Ended September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21"/>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Consolidated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141,698</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118,927</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19 % $</w:t>
            </w:r>
          </w:p>
        </w:tc>
        <w:tc>
          <w:tcPr>
            <w:tcW w:w="880" w:type="dxa"/>
            <w:vAlign w:val="bottom"/>
          </w:tcPr>
          <w:p>
            <w:pPr>
              <w:jc w:val="right"/>
              <w:spacing w:after="0"/>
              <w:rPr>
                <w:sz w:val="20"/>
                <w:szCs w:val="20"/>
                <w:color w:val="auto"/>
              </w:rPr>
            </w:pPr>
            <w:r>
              <w:rPr>
                <w:rFonts w:ascii="Arial" w:cs="Arial" w:eastAsia="Arial" w:hAnsi="Arial"/>
                <w:sz w:val="16"/>
                <w:szCs w:val="16"/>
                <w:color w:val="auto"/>
              </w:rPr>
              <w:t>396,983</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335,261</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46,249</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156,604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129,174</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(10,199 )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(12,023 )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(40,512 )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(56,921 )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6"/>
                <w:szCs w:val="16"/>
                <w:color w:val="auto"/>
              </w:rPr>
              <w:t>EPS, basic and diluted, of Class A and Class B</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(0.21 )</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(0.25 )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16 %</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(0.83 )</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(1.19 )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(632 )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(4,215 )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85 %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(10,725 )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(24,640 )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Non-GAAP net income (loss)</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(2,562 )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143 %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(5,234 )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(18,955 )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line="202" w:lineRule="exact"/>
              <w:rPr>
                <w:sz w:val="20"/>
                <w:szCs w:val="20"/>
                <w:color w:val="auto"/>
              </w:rPr>
            </w:pPr>
            <w:r>
              <w:rPr>
                <w:rFonts w:ascii="Arial" w:cs="Arial" w:eastAsia="Arial" w:hAnsi="Arial"/>
                <w:sz w:val="16"/>
                <w:szCs w:val="16"/>
                <w:color w:val="auto"/>
              </w:rPr>
              <w:t>Non-GAAP EPS, basic and diluted</w:t>
            </w:r>
            <w:r>
              <w:rPr>
                <w:rFonts w:ascii="Arial" w:cs="Arial" w:eastAsia="Arial" w:hAnsi="Arial"/>
                <w:sz w:val="21"/>
                <w:szCs w:val="21"/>
                <w:color w:val="auto"/>
                <w:vertAlign w:val="superscript"/>
              </w:rPr>
              <w:t>(1)</w:t>
            </w:r>
            <w:r>
              <w:rPr>
                <w:rFonts w:ascii="Arial" w:cs="Arial" w:eastAsia="Arial" w:hAnsi="Arial"/>
                <w:sz w:val="16"/>
                <w:szCs w:val="16"/>
                <w:color w:val="auto"/>
              </w:rPr>
              <w:t>, of Class A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Class B 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(0.05 )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140 %</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(0.11 )</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(0.40 )</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Marketplace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126,965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102,473</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24 % $</w:t>
            </w:r>
          </w:p>
        </w:tc>
        <w:tc>
          <w:tcPr>
            <w:tcW w:w="880" w:type="dxa"/>
            <w:vAlign w:val="bottom"/>
          </w:tcPr>
          <w:p>
            <w:pPr>
              <w:jc w:val="right"/>
              <w:spacing w:after="0"/>
              <w:rPr>
                <w:sz w:val="20"/>
                <w:szCs w:val="20"/>
                <w:color w:val="auto"/>
              </w:rPr>
            </w:pPr>
            <w:r>
              <w:rPr>
                <w:rFonts w:ascii="Arial" w:cs="Arial" w:eastAsia="Arial" w:hAnsi="Arial"/>
                <w:sz w:val="16"/>
                <w:szCs w:val="16"/>
                <w:color w:val="auto"/>
              </w:rPr>
              <w:t>351,438</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282,664</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84,347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70,578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235,278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196,240</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42,618</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31,895</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line="209" w:lineRule="exact"/>
              <w:rPr>
                <w:sz w:val="20"/>
                <w:szCs w:val="20"/>
                <w:color w:val="auto"/>
              </w:rPr>
            </w:pPr>
            <w:r>
              <w:rPr>
                <w:rFonts w:ascii="Arial" w:cs="Arial" w:eastAsia="Arial" w:hAnsi="Arial"/>
                <w:sz w:val="13"/>
                <w:szCs w:val="13"/>
                <w:color w:val="auto"/>
              </w:rPr>
              <w:t xml:space="preserve">34 % </w:t>
            </w:r>
            <w:r>
              <w:rPr>
                <w:rFonts w:ascii="Arial" w:cs="Arial" w:eastAsia="Arial" w:hAnsi="Arial"/>
                <w:sz w:val="24"/>
                <w:szCs w:val="24"/>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116,160</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86,424</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2.5 %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33.6 %</w:t>
            </w: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31.1 %</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33.1 %</w:t>
            </w: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30.6 %</w:t>
            </w: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Supplier services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14,733</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16,454</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(10 )% $</w:t>
            </w:r>
          </w:p>
        </w:tc>
        <w:tc>
          <w:tcPr>
            <w:tcW w:w="880" w:type="dxa"/>
            <w:vAlign w:val="bottom"/>
          </w:tcPr>
          <w:p>
            <w:pPr>
              <w:jc w:val="right"/>
              <w:spacing w:after="0"/>
              <w:rPr>
                <w:sz w:val="20"/>
                <w:szCs w:val="20"/>
                <w:color w:val="auto"/>
              </w:rPr>
            </w:pPr>
            <w:r>
              <w:rPr>
                <w:rFonts w:ascii="Arial" w:cs="Arial" w:eastAsia="Arial" w:hAnsi="Arial"/>
                <w:sz w:val="16"/>
                <w:szCs w:val="16"/>
                <w:color w:val="auto"/>
              </w:rPr>
              <w:t>45,545</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52,597</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27 %</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13,207</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14,354</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line="209" w:lineRule="exact"/>
              <w:rPr>
                <w:sz w:val="20"/>
                <w:szCs w:val="20"/>
                <w:color w:val="auto"/>
              </w:rPr>
            </w:pPr>
            <w:r>
              <w:rPr>
                <w:rFonts w:ascii="Arial" w:cs="Arial" w:eastAsia="Arial" w:hAnsi="Arial"/>
                <w:sz w:val="13"/>
                <w:szCs w:val="13"/>
                <w:color w:val="auto"/>
              </w:rPr>
              <w:t xml:space="preserve">(8 )% </w:t>
            </w:r>
            <w:r>
              <w:rPr>
                <w:rFonts w:ascii="Arial" w:cs="Arial" w:eastAsia="Arial" w:hAnsi="Arial"/>
                <w:sz w:val="24"/>
                <w:szCs w:val="24"/>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40,444</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42,750</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2.4 %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7.5 %</w:t>
            </w: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89.6 %</w:t>
            </w:r>
          </w:p>
        </w:tc>
        <w:tc>
          <w:tcPr>
            <w:tcW w:w="2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87.2 %</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88.8 %</w:t>
            </w: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81.3 %</w:t>
            </w: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-2773045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-2498725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-2105025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4" w:lineRule="exact"/>
        <w:rPr>
          <w:sz w:val="20"/>
          <w:szCs w:val="20"/>
          <w:color w:val="auto"/>
        </w:rPr>
      </w:pPr>
    </w:p>
    <w:p>
      <w:pPr>
        <w:ind w:left="380" w:right="280" w:hanging="372"/>
        <w:spacing w:after="0" w:line="284"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As of September 30,</w:t>
            </w:r>
          </w:p>
        </w:tc>
        <w:tc>
          <w:tcPr>
            <w:tcW w:w="1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0"/>
        </w:trPr>
        <w:tc>
          <w:tcPr>
            <w:tcW w:w="6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30"/>
              <w:spacing w:after="0" w:line="19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r>
      <w:tr>
        <w:trPr>
          <w:trHeight w:val="235"/>
        </w:trPr>
        <w:tc>
          <w:tcPr>
            <w:tcW w:w="648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20"/>
                <w:szCs w:val="20"/>
                <w:color w:val="auto"/>
              </w:rPr>
            </w:pPr>
          </w:p>
        </w:tc>
      </w:tr>
      <w:tr>
        <w:trPr>
          <w:trHeight w:val="425"/>
        </w:trPr>
        <w:tc>
          <w:tcPr>
            <w:tcW w:w="648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64,851</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52,382</w:t>
            </w:r>
          </w:p>
        </w:tc>
        <w:tc>
          <w:tcPr>
            <w:tcW w:w="22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96 %</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r>
      <w:tr>
        <w:trPr>
          <w:trHeight w:val="274"/>
        </w:trPr>
        <w:tc>
          <w:tcPr>
            <w:tcW w:w="6480" w:type="dxa"/>
            <w:vAlign w:val="bottom"/>
          </w:tcPr>
          <w:p>
            <w:pPr>
              <w:ind w:left="20"/>
              <w:spacing w:after="0" w:line="274" w:lineRule="exact"/>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6,762</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7,415</w:t>
            </w:r>
          </w:p>
        </w:tc>
        <w:tc>
          <w:tcPr>
            <w:tcW w:w="2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80" w:right="260" w:hanging="372"/>
        <w:spacing w:after="0" w:line="24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ind w:left="380" w:right="320" w:hanging="372"/>
        <w:spacing w:after="0" w:line="324"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Active Paying Suppliers are as of September 30, 2024 and 2023, and Percentage of Revenue from Existing Accounts is presented for the quarters ended September 30,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Q4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17780</wp:posOffset>
            </wp:positionV>
            <wp:extent cx="2260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spacing w:after="0" w:line="20"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15240</wp:posOffset>
            </wp:positionV>
            <wp:extent cx="2260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spacing w:after="0" w:line="16" w:lineRule="exact"/>
        <w:rPr>
          <w:sz w:val="20"/>
          <w:szCs w:val="20"/>
          <w:color w:val="auto"/>
        </w:rPr>
      </w:pPr>
    </w:p>
    <w:p>
      <w:pPr>
        <w:ind w:left="8220"/>
        <w:spacing w:after="0"/>
        <w:tabs>
          <w:tab w:leader="none" w:pos="10100" w:val="left"/>
        </w:tabs>
        <w:rPr>
          <w:sz w:val="20"/>
          <w:szCs w:val="20"/>
          <w:color w:val="auto"/>
        </w:rPr>
      </w:pPr>
      <w:r>
        <w:rPr>
          <w:rFonts w:ascii="Arial" w:cs="Arial" w:eastAsia="Arial" w:hAnsi="Arial"/>
          <w:sz w:val="18"/>
          <w:szCs w:val="18"/>
          <w:b w:val="1"/>
          <w:bCs w:val="1"/>
          <w:color w:val="auto"/>
        </w:rPr>
        <w:t>Low</w:t>
      </w:r>
      <w:r>
        <w:rPr>
          <w:sz w:val="20"/>
          <w:szCs w:val="20"/>
          <w:color w:val="auto"/>
        </w:rPr>
        <w:tab/>
      </w:r>
      <w:r>
        <w:rPr>
          <w:rFonts w:ascii="Arial" w:cs="Arial" w:eastAsia="Arial" w:hAnsi="Arial"/>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560" w:val="left"/>
          <w:tab w:leader="none" w:pos="8880" w:val="left"/>
          <w:tab w:leader="none" w:pos="9500" w:val="left"/>
          <w:tab w:leader="none" w:pos="1080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147</w:t>
      </w:r>
    </w:p>
    <w:p>
      <w:pPr>
        <w:spacing w:after="0" w:line="312"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Expect to be slightly Adjusted EBITDA profitable in Q4 2024.</w:t>
      </w:r>
    </w:p>
    <w:p>
      <w:pPr>
        <w:spacing w:after="0" w:line="214" w:lineRule="exact"/>
        <w:rPr>
          <w:sz w:val="20"/>
          <w:szCs w:val="20"/>
          <w:color w:val="auto"/>
        </w:rPr>
      </w:pPr>
    </w:p>
    <w:p>
      <w:pPr>
        <w:jc w:val="both"/>
        <w:ind w:right="380"/>
        <w:spacing w:after="0" w:line="241" w:lineRule="auto"/>
        <w:rPr>
          <w:sz w:val="20"/>
          <w:szCs w:val="20"/>
          <w:color w:val="auto"/>
        </w:rPr>
      </w:pPr>
      <w:r>
        <w:rPr>
          <w:rFonts w:ascii="Arial" w:cs="Arial" w:eastAsia="Arial" w:hAnsi="Arial"/>
          <w:sz w:val="20"/>
          <w:szCs w:val="20"/>
          <w:color w:val="auto"/>
        </w:rPr>
        <w:t>Xometry’s fourth quarter 2024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0" w:lineRule="exact"/>
        <w:rPr>
          <w:sz w:val="20"/>
          <w:szCs w:val="20"/>
          <w:color w:val="auto"/>
        </w:rPr>
      </w:pPr>
    </w:p>
    <w:p>
      <w:pPr>
        <w:ind w:right="320"/>
        <w:spacing w:after="0" w:line="248"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ind w:right="220"/>
        <w:spacing w:after="0" w:line="238"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6" w:name="page7"/>
    <w:bookmarkEnd w:id="6"/>
    <w:p>
      <w:pPr>
        <w:ind w:right="420"/>
        <w:spacing w:after="0" w:line="257" w:lineRule="auto"/>
        <w:rPr>
          <w:sz w:val="20"/>
          <w:szCs w:val="20"/>
          <w:color w:val="auto"/>
        </w:rPr>
      </w:pPr>
      <w:r>
        <w:rPr>
          <w:rFonts w:ascii="Arial" w:cs="Arial" w:eastAsia="Arial" w:hAnsi="Arial"/>
          <w:sz w:val="20"/>
          <w:szCs w:val="20"/>
          <w:color w:val="auto"/>
        </w:rPr>
        <w:t>to time we may present adjusted information (for example, revenue growth) to exclude the impact of certain gains, losses or other changes that affect period-to-period comparability of our operating performance.</w:t>
      </w:r>
    </w:p>
    <w:p>
      <w:pPr>
        <w:spacing w:after="0" w:line="155"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74" w:lineRule="exact"/>
        <w:rPr>
          <w:sz w:val="20"/>
          <w:szCs w:val="20"/>
          <w:color w:val="auto"/>
        </w:rPr>
      </w:pPr>
    </w:p>
    <w:p>
      <w:pPr>
        <w:ind w:right="4080"/>
        <w:spacing w:after="0" w:line="325"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b w:val="1"/>
          <w:bCs w:val="1"/>
          <w:color w:val="auto"/>
        </w:rPr>
        <w:t xml:space="preserve">Supplier service revenue: </w:t>
      </w:r>
      <w:r>
        <w:rPr>
          <w:rFonts w:ascii="Arial" w:cs="Arial" w:eastAsia="Arial" w:hAnsi="Arial"/>
          <w:sz w:val="19"/>
          <w:szCs w:val="19"/>
          <w:color w:val="auto"/>
        </w:rPr>
        <w:t>includes the sales of marketing and advertising services and, to a lesser extent, financial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SaaS-based solutions and the sale of tools and materials, which was discontinued during the second quarter of 2023.</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 We adjusted the number of our Q3 2023 active buyers in 2024 to reflect an immaterial correction.</w:t>
      </w:r>
    </w:p>
    <w:p>
      <w:pPr>
        <w:spacing w:after="0" w:line="3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 or buy tools or materials.</w:t>
      </w:r>
    </w:p>
    <w:p>
      <w:pPr>
        <w:spacing w:after="0" w:line="35"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2"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tools and materials on our platforms, during the last twelve months.</w:t>
      </w:r>
    </w:p>
    <w:p>
      <w:pPr>
        <w:spacing w:after="0" w:line="32"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unconsolidated joint venture, impairment of assets, restructuring charge, costs to exit the tools and materials business and acquisition and other adjustments not reflective of the Company’s ongoing business, such as adjustments related to purchase accounting, the revaluation of contingent consideration, transaction costs and executive severance.</w:t>
      </w:r>
    </w:p>
    <w:p>
      <w:pPr>
        <w:spacing w:after="0" w:line="36"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b w:val="1"/>
          <w:bCs w:val="1"/>
          <w:color w:val="auto"/>
        </w:rPr>
        <w:t xml:space="preserve">Non-GAAP net income (loss): </w:t>
      </w:r>
      <w:r>
        <w:rPr>
          <w:rFonts w:ascii="Arial" w:cs="Arial" w:eastAsia="Arial" w:hAnsi="Arial"/>
          <w:sz w:val="20"/>
          <w:szCs w:val="20"/>
          <w:color w:val="auto"/>
        </w:rPr>
        <w:t>The Company defines non-GAAP net income (loss) as net loss adjusted for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stock-based compensation, payroll tax expense related to stock-based compensation, amortization of lease intangible, amortization of deferred costs on convertible notes, loss (gain) on sale of property and equipment, charitable contributions of common stock, lease abandonment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120"/>
        <w:spacing w:after="0" w:line="241" w:lineRule="auto"/>
        <w:rPr>
          <w:sz w:val="20"/>
          <w:szCs w:val="20"/>
          <w:color w:val="auto"/>
        </w:rPr>
      </w:pPr>
      <w:r>
        <w:rPr>
          <w:rFonts w:ascii="Arial" w:cs="Arial" w:eastAsia="Arial" w:hAnsi="Arial"/>
          <w:sz w:val="20"/>
          <w:szCs w:val="20"/>
          <w:color w:val="auto"/>
        </w:rPr>
        <w:t>termination, impairment of assets, restructuring charge, costs to exit the tools and materials business and acquisition and other adjustments not reflective of the Company’s ongoing business, such as adjustments related to purchase accounting, the revaluation of contingent consideration, transaction costs and executive severance.</w:t>
      </w:r>
    </w:p>
    <w:p>
      <w:pPr>
        <w:spacing w:after="0" w:line="33"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(loss) divided by weighted average number of shares of common stock outstanding.</w:t>
      </w:r>
    </w:p>
    <w:p>
      <w:pPr>
        <w:spacing w:after="0" w:line="3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 xml:space="preserve">Xometry’s (NASDAQ:XMTR) AI-powered marketplace, popular Thomasnet® </w:t>
      </w:r>
      <w:r>
        <w:rPr>
          <w:rFonts w:ascii="Arial" w:cs="Arial" w:eastAsia="Arial" w:hAnsi="Arial"/>
          <w:sz w:val="20"/>
          <w:szCs w:val="20"/>
          <w:color w:val="1D1C1D"/>
        </w:rPr>
        <w:t>industrial sourcing platform and</w:t>
      </w:r>
      <w:r>
        <w:rPr>
          <w:rFonts w:ascii="Arial" w:cs="Arial" w:eastAsia="Arial" w:hAnsi="Arial"/>
          <w:sz w:val="20"/>
          <w:szCs w:val="20"/>
          <w:color w:val="auto"/>
        </w:rPr>
        <w:t xml:space="preserve"> suite of cloud-based services are rapidly digitizing the manufacturing industry. Xometry provides manufacturers the critical resources they need to grow their business and makes it easy for buyers to create locally resilient supply chains. The Xometry Instant Quoting Engine® leverages millions of pieces of data to analyze complex parts in real-time, matches buyers with the right suppliers globally, and provides accurate pricing and lead times. Learn more at www.xometry.com or follow @xometry.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38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November 5, 2024. In addition to its press release announcing its third quarter 2024 financial results, Xometry will release an earnings presentation, which will be available on its investor website at investors.xometry.com.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Xometry, Inc. Third Quarter 2024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Tuesday, November 5, 2024</w:t>
      </w:r>
    </w:p>
    <w:p>
      <w:pPr>
        <w:ind w:left="1020" w:hanging="504"/>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4"/>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https://register.vevent.com/register</w:t>
      </w:r>
    </w:p>
    <w:p>
      <w:pPr>
        <w:ind w:left="1020" w:right="100" w:hanging="504"/>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fourth quarter of 2024; our expectations regarding our growth and margin expansion; and statements regarding our strategy,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2023,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180"/>
          </w:cols>
          <w:pgMar w:left="320" w:top="1087" w:right="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Shawn Milne</w:t>
      </w:r>
    </w:p>
    <w:p>
      <w:pPr>
        <w:ind w:left="20"/>
        <w:spacing w:after="0" w:line="231" w:lineRule="auto"/>
        <w:rPr>
          <w:sz w:val="20"/>
          <w:szCs w:val="20"/>
          <w:color w:val="auto"/>
        </w:rPr>
      </w:pPr>
      <w:r>
        <w:rPr>
          <w:rFonts w:ascii="Arial" w:cs="Arial" w:eastAsia="Arial" w:hAnsi="Arial"/>
          <w:sz w:val="17"/>
          <w:szCs w:val="17"/>
          <w:color w:val="auto"/>
        </w:rPr>
        <w:t>VP Investor Relations</w:t>
      </w:r>
    </w:p>
    <w:p>
      <w:pPr>
        <w:ind w:left="20"/>
        <w:spacing w:after="0" w:line="232" w:lineRule="auto"/>
        <w:rPr>
          <w:sz w:val="20"/>
          <w:szCs w:val="20"/>
          <w:color w:val="auto"/>
        </w:rPr>
      </w:pPr>
      <w:r>
        <w:rPr>
          <w:rFonts w:ascii="Arial" w:cs="Arial" w:eastAsia="Arial" w:hAnsi="Arial"/>
          <w:sz w:val="17"/>
          <w:szCs w:val="17"/>
          <w:color w:val="auto"/>
        </w:rPr>
        <w:t>240-335-8132</w:t>
      </w:r>
    </w:p>
    <w:p>
      <w:pPr>
        <w:ind w:left="20"/>
        <w:spacing w:after="0"/>
        <w:rPr>
          <w:sz w:val="20"/>
          <w:szCs w:val="20"/>
          <w:color w:val="auto"/>
        </w:rPr>
      </w:pPr>
      <w:r>
        <w:rPr>
          <w:rFonts w:ascii="Arial" w:cs="Arial" w:eastAsia="Arial" w:hAnsi="Arial"/>
          <w:sz w:val="16"/>
          <w:szCs w:val="16"/>
          <w:color w:val="auto"/>
        </w:rPr>
        <w:t>shawn.milne@xometry.com</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1" w:lineRule="auto"/>
        <w:rPr>
          <w:sz w:val="20"/>
          <w:szCs w:val="20"/>
          <w:color w:val="auto"/>
        </w:rPr>
      </w:pPr>
      <w:r>
        <w:rPr>
          <w:rFonts w:ascii="Arial" w:cs="Arial" w:eastAsia="Arial" w:hAnsi="Arial"/>
          <w:sz w:val="17"/>
          <w:szCs w:val="17"/>
          <w:color w:val="auto"/>
        </w:rPr>
        <w:t>Global Corporate Communications</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20" w:space="720"/>
            <w:col w:w="5540"/>
          </w:cols>
          <w:pgMar w:left="320" w:top="1087" w:right="39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7" w:right="39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5"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216,605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215,352</w:t>
            </w:r>
          </w:p>
        </w:tc>
        <w:tc>
          <w:tcPr>
            <w:tcW w:w="100" w:type="dxa"/>
            <w:vAlign w:val="bottom"/>
          </w:tcPr>
          <w:p>
            <w:pPr>
              <w:spacing w:after="0"/>
              <w:rPr>
                <w:sz w:val="19"/>
                <w:szCs w:val="19"/>
                <w:color w:val="auto"/>
              </w:rPr>
            </w:pPr>
          </w:p>
        </w:tc>
      </w:tr>
      <w:tr>
        <w:trPr>
          <w:trHeight w:val="197"/>
        </w:trPr>
        <w:tc>
          <w:tcPr>
            <w:tcW w:w="7960" w:type="dxa"/>
            <w:vAlign w:val="bottom"/>
            <w:shd w:val="clear" w:color="auto" w:fill="CFF0FC"/>
          </w:tcPr>
          <w:p>
            <w:pPr>
              <w:ind w:left="220"/>
              <w:spacing w:after="0" w:line="197" w:lineRule="exact"/>
              <w:rPr>
                <w:sz w:val="20"/>
                <w:szCs w:val="20"/>
                <w:color w:val="auto"/>
              </w:rPr>
            </w:pPr>
            <w:r>
              <w:rPr>
                <w:rFonts w:ascii="Arial" w:cs="Arial" w:eastAsia="Arial" w:hAnsi="Arial"/>
                <w:sz w:val="18"/>
                <w:szCs w:val="18"/>
                <w:color w:val="auto"/>
              </w:rPr>
              <w:t>Accounts receivable, less allowance for credit losses of $3.4 million and $2.4 million as of</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September 30, 2024 and December 31, 2023</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78,530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70,102</w:t>
            </w:r>
          </w:p>
        </w:tc>
        <w:tc>
          <w:tcPr>
            <w:tcW w:w="100" w:type="dxa"/>
            <w:vAlign w:val="bottom"/>
            <w:shd w:val="clear" w:color="auto" w:fill="CFF0FC"/>
          </w:tcPr>
          <w:p>
            <w:pPr>
              <w:spacing w:after="0"/>
              <w:rPr>
                <w:sz w:val="20"/>
                <w:szCs w:val="20"/>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356,231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35,637</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Investment in unconsolidated joint venture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262,955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262,915</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678,208</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24,710</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41,845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83,195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281,769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r>
      <w:tr>
        <w:trPr>
          <w:trHeight w:val="223"/>
        </w:trPr>
        <w:tc>
          <w:tcPr>
            <w:tcW w:w="79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361,848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960" w:type="dxa"/>
            <w:vAlign w:val="bottom"/>
          </w:tcPr>
          <w:p>
            <w:pPr>
              <w:ind w:left="220"/>
              <w:spacing w:after="0" w:line="197"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20"/>
              <w:spacing w:after="0"/>
              <w:rPr>
                <w:sz w:val="20"/>
                <w:szCs w:val="20"/>
                <w:color w:val="auto"/>
              </w:rPr>
            </w:pPr>
            <w:r>
              <w:rPr>
                <w:rFonts w:ascii="Arial" w:cs="Arial" w:eastAsia="Arial" w:hAnsi="Arial"/>
                <w:sz w:val="18"/>
                <w:szCs w:val="18"/>
                <w:color w:val="auto"/>
              </w:rPr>
              <w:t>outstanding as of September 30, 2024 and December 31, 2023, respectively</w:t>
            </w: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shd w:val="clear" w:color="auto" w:fill="CFF0FC"/>
          </w:tcPr>
          <w:p>
            <w:pPr>
              <w:ind w:left="220"/>
              <w:spacing w:after="0" w:line="197" w:lineRule="exact"/>
              <w:rPr>
                <w:sz w:val="20"/>
                <w:szCs w:val="20"/>
                <w:color w:val="auto"/>
              </w:rPr>
            </w:pPr>
            <w:r>
              <w:rPr>
                <w:rFonts w:ascii="Arial" w:cs="Arial" w:eastAsia="Arial" w:hAnsi="Arial"/>
                <w:sz w:val="18"/>
                <w:szCs w:val="18"/>
                <w:color w:val="auto"/>
              </w:rPr>
              <w:t>Class A Common stock, $0.000001 par value. Authorized; 750,000,000 shares; 46,768,801</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shares and 45,489,379 shares issued and outstanding as of September 30, 2024 and</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December 31, 2023, respectively</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tcPr>
          <w:p>
            <w:pPr>
              <w:ind w:left="220"/>
              <w:spacing w:after="0" w:line="197" w:lineRule="exact"/>
              <w:rPr>
                <w:sz w:val="20"/>
                <w:szCs w:val="20"/>
                <w:color w:val="auto"/>
              </w:rPr>
            </w:pPr>
            <w:r>
              <w:rPr>
                <w:rFonts w:ascii="Arial" w:cs="Arial" w:eastAsia="Arial" w:hAnsi="Arial"/>
                <w:sz w:val="18"/>
                <w:szCs w:val="18"/>
                <w:color w:val="auto"/>
              </w:rPr>
              <w:t>Class B Common stock, $0.000001 par value. Authorized; 5,000,000 shares; 2,676,154 shares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20"/>
              <w:spacing w:after="0"/>
              <w:rPr>
                <w:sz w:val="20"/>
                <w:szCs w:val="20"/>
                <w:color w:val="auto"/>
              </w:rPr>
            </w:pPr>
            <w:r>
              <w:rPr>
                <w:rFonts w:ascii="Arial" w:cs="Arial" w:eastAsia="Arial" w:hAnsi="Arial"/>
                <w:sz w:val="18"/>
                <w:szCs w:val="18"/>
                <w:color w:val="auto"/>
              </w:rPr>
              <w:t>issued and outstanding as of September 30, 2024 and December 31, 2023, respectively</w:t>
            </w: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674,335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648,317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(360,384 )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(319,872 )</w:t>
            </w:r>
          </w:p>
        </w:tc>
      </w:tr>
      <w:tr>
        <w:trPr>
          <w:trHeight w:val="223"/>
        </w:trPr>
        <w:tc>
          <w:tcPr>
            <w:tcW w:w="7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315,233</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329,300</w:t>
            </w:r>
          </w:p>
        </w:tc>
        <w:tc>
          <w:tcPr>
            <w:tcW w:w="100" w:type="dxa"/>
            <w:vAlign w:val="bottom"/>
            <w:tcBorders>
              <w:top w:val="single" w:sz="8" w:color="CFF0FC"/>
            </w:tcBorders>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b w:val="1"/>
                <w:bCs w:val="1"/>
                <w:color w:val="auto"/>
              </w:rPr>
              <w:t>Noncontrolling interest</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330,419</w:t>
            </w:r>
          </w:p>
        </w:tc>
        <w:tc>
          <w:tcPr>
            <w:tcW w:w="100" w:type="dxa"/>
            <w:vAlign w:val="bottom"/>
          </w:tcPr>
          <w:p>
            <w:pPr>
              <w:spacing w:after="0"/>
              <w:rPr>
                <w:sz w:val="19"/>
                <w:szCs w:val="19"/>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678,208</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-4408805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-3210560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-2319655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-633095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-333375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Operations and Comprehensive Loss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55"/>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right"/>
              <w:ind w:right="980"/>
              <w:spacing w:after="0" w:line="155"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2620" w:type="dxa"/>
            <w:vAlign w:val="bottom"/>
            <w:gridSpan w:val="5"/>
          </w:tcPr>
          <w:p>
            <w:pPr>
              <w:jc w:val="right"/>
              <w:ind w:right="840"/>
              <w:spacing w:after="0" w:line="155"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141,698</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118,927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396,983</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335,261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85,873</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72,678</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240,379</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55,825</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46,249</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156,604</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129,174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27,204</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23,210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81,891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14,698</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12,622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42,918</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9,344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28,952</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16,060</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14,940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47,470</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67,306</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59,446</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201,231</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120"/>
              <w:spacing w:after="0"/>
              <w:rPr>
                <w:sz w:val="20"/>
                <w:szCs w:val="20"/>
                <w:color w:val="auto"/>
              </w:rPr>
            </w:pPr>
            <w:r>
              <w:rPr>
                <w:rFonts w:ascii="Arial" w:cs="Arial" w:eastAsia="Arial" w:hAnsi="Arial"/>
                <w:sz w:val="14"/>
                <w:szCs w:val="14"/>
                <w:b w:val="1"/>
                <w:bCs w:val="1"/>
                <w:color w:val="auto"/>
              </w:rPr>
              <w:t>Loss from operations</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(11,481 )</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(13,197 )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(44,627 )</w:t>
            </w:r>
          </w:p>
        </w:tc>
        <w:tc>
          <w:tcPr>
            <w:tcW w:w="4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(61,037 )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(1,187 )</w:t>
            </w: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(1,205 )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(3,564 )</w:t>
            </w:r>
          </w:p>
        </w:tc>
        <w:tc>
          <w:tcPr>
            <w:tcW w:w="4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(3,596 )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2,781</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8,275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(444 )</w:t>
            </w: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(597 )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(1,064 )</w:t>
            </w:r>
          </w:p>
        </w:tc>
        <w:tc>
          <w:tcPr>
            <w:tcW w:w="4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(1,156 )</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(10,169 )</w:t>
            </w:r>
          </w:p>
        </w:tc>
        <w:tc>
          <w:tcPr>
            <w:tcW w:w="4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(11,871 )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(40,487 )</w:t>
            </w:r>
          </w:p>
        </w:tc>
        <w:tc>
          <w:tcPr>
            <w:tcW w:w="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(56,704 )</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(30 )</w:t>
            </w: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(139 )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(20 )</w:t>
            </w:r>
          </w:p>
        </w:tc>
        <w:tc>
          <w:tcPr>
            <w:tcW w:w="4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Net loss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(10,199 )</w:t>
            </w:r>
          </w:p>
        </w:tc>
        <w:tc>
          <w:tcPr>
            <w:tcW w:w="4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(12,010 )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(40,507 )</w:t>
            </w:r>
          </w:p>
        </w:tc>
        <w:tc>
          <w:tcPr>
            <w:tcW w:w="4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(56,912 )</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(10,199 )</w:t>
            </w: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(12,023 )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(40,512 )</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(56,921 )</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tcPr>
          <w:p>
            <w:pPr>
              <w:ind w:left="20"/>
              <w:spacing w:after="0" w:line="147" w:lineRule="exact"/>
              <w:rPr>
                <w:sz w:val="20"/>
                <w:szCs w:val="20"/>
                <w:color w:val="auto"/>
              </w:rPr>
            </w:pPr>
            <w:r>
              <w:rPr>
                <w:rFonts w:ascii="Arial" w:cs="Arial" w:eastAsia="Arial" w:hAnsi="Arial"/>
                <w:sz w:val="14"/>
                <w:szCs w:val="14"/>
                <w:color w:val="auto"/>
              </w:rPr>
              <w:t>Net loss per share, basic and diluted, of Class A and Class B common</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(0.21 )</w:t>
            </w: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(0.25 )</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(0.83 )</w:t>
            </w: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44"/>
        </w:trPr>
        <w:tc>
          <w:tcPr>
            <w:tcW w:w="5180" w:type="dxa"/>
            <w:vAlign w:val="bottom"/>
          </w:tcPr>
          <w:p>
            <w:pPr>
              <w:ind w:left="140"/>
              <w:spacing w:after="0" w:line="124" w:lineRule="exact"/>
              <w:rPr>
                <w:sz w:val="20"/>
                <w:szCs w:val="20"/>
                <w:color w:val="auto"/>
              </w:rPr>
            </w:pPr>
            <w:r>
              <w:rPr>
                <w:rFonts w:ascii="Arial" w:cs="Arial" w:eastAsia="Arial" w:hAnsi="Arial"/>
                <w:sz w:val="14"/>
                <w:szCs w:val="14"/>
                <w:color w:val="auto"/>
              </w:rPr>
              <w:t>stock</w:t>
            </w:r>
          </w:p>
        </w:tc>
        <w:tc>
          <w:tcPr>
            <w:tcW w:w="30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Weighted-average number of shares outstanding used to compute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49,282,164</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47,989,277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48,901,475</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47,852,671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FF0FC"/>
            </w:tcBorders>
            <w:shd w:val="clear" w:color="auto" w:fill="CFF0FC"/>
          </w:tcPr>
          <w:p>
            <w:pPr>
              <w:ind w:left="140"/>
              <w:spacing w:after="0" w:line="124" w:lineRule="exact"/>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(10,199 )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(12,010 )</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(40,507 )</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(56,912 )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other comprehensive income</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795</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(9,404 )</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(11,919 )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(40,077 )</w:t>
            </w:r>
          </w:p>
        </w:tc>
        <w:tc>
          <w:tcPr>
            <w:tcW w:w="4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(56,462 )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(23 )</w:t>
            </w: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(9,381 )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(11,940 )</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(40,085 )</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(56,507 )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-3801110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-3801110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-3801110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-3801110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-3064510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-3064510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-3064510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-2336800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-2336800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-2336800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-1583690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-1566545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-1583690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-1566545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-1583690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-1566545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-1035685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-1018540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-1035685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-1018540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-1035685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-1018540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-401955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-401955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-401955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-153670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-153670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-153670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77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(40,507 )</w:t>
            </w:r>
          </w:p>
        </w:tc>
        <w:tc>
          <w:tcPr>
            <w:tcW w:w="14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(56,912 )</w:t>
            </w:r>
          </w:p>
        </w:tc>
      </w:tr>
      <w:tr>
        <w:trPr>
          <w:trHeight w:val="189"/>
        </w:trPr>
        <w:tc>
          <w:tcPr>
            <w:tcW w:w="77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7,939</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Impairment of assets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0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13,257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Stock based compensation</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21,115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0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(137 )</w:t>
            </w:r>
          </w:p>
        </w:tc>
      </w:tr>
      <w:tr>
        <w:trPr>
          <w:trHeight w:val="189"/>
        </w:trPr>
        <w:tc>
          <w:tcPr>
            <w:tcW w:w="7740" w:type="dxa"/>
            <w:vAlign w:val="bottom"/>
          </w:tcPr>
          <w:p>
            <w:pPr>
              <w:ind w:left="300"/>
              <w:spacing w:after="0"/>
              <w:rPr>
                <w:sz w:val="20"/>
                <w:szCs w:val="20"/>
                <w:color w:val="auto"/>
              </w:rPr>
            </w:pPr>
            <w:r>
              <w:rPr>
                <w:rFonts w:ascii="Arial" w:cs="Arial" w:eastAsia="Arial" w:hAnsi="Arial"/>
                <w:sz w:val="14"/>
                <w:szCs w:val="14"/>
                <w:color w:val="auto"/>
              </w:rPr>
              <w:t>Donation of common stock</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(Gain) loss on sale of property and equipment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00"/>
              <w:spacing w:after="0"/>
              <w:rPr>
                <w:sz w:val="20"/>
                <w:szCs w:val="20"/>
                <w:color w:val="auto"/>
              </w:rPr>
            </w:pPr>
            <w:r>
              <w:rPr>
                <w:rFonts w:ascii="Arial" w:cs="Arial" w:eastAsia="Arial" w:hAnsi="Arial"/>
                <w:sz w:val="14"/>
                <w:szCs w:val="14"/>
                <w:color w:val="auto"/>
              </w:rPr>
              <w:t>Inventory write-off</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00"/>
              <w:spacing w:after="0"/>
              <w:rPr>
                <w:sz w:val="20"/>
                <w:szCs w:val="20"/>
                <w:color w:val="auto"/>
              </w:rPr>
            </w:pPr>
            <w:r>
              <w:rPr>
                <w:rFonts w:ascii="Arial" w:cs="Arial" w:eastAsia="Arial" w:hAnsi="Arial"/>
                <w:sz w:val="14"/>
                <w:szCs w:val="14"/>
                <w:color w:val="auto"/>
              </w:rPr>
              <w:t>Deferred taxes benefit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(30 )</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(66 )</w:t>
            </w: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440"/>
              <w:spacing w:after="0"/>
              <w:rPr>
                <w:sz w:val="20"/>
                <w:szCs w:val="20"/>
                <w:color w:val="auto"/>
              </w:rPr>
            </w:pPr>
            <w:r>
              <w:rPr>
                <w:rFonts w:ascii="Arial" w:cs="Arial" w:eastAsia="Arial" w:hAnsi="Arial"/>
                <w:sz w:val="14"/>
                <w:szCs w:val="14"/>
                <w:color w:val="auto"/>
              </w:rPr>
              <w:t>Accounts receivable, net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(8,263 )</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(14,873 )</w:t>
            </w:r>
          </w:p>
        </w:tc>
      </w:tr>
      <w:tr>
        <w:trPr>
          <w:trHeight w:val="189"/>
        </w:trPr>
        <w:tc>
          <w:tcPr>
            <w:tcW w:w="7740" w:type="dxa"/>
            <w:vAlign w:val="bottom"/>
            <w:shd w:val="clear" w:color="auto" w:fill="CFF0FC"/>
          </w:tcPr>
          <w:p>
            <w:pPr>
              <w:ind w:left="44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(598 )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(17 )</w:t>
            </w:r>
          </w:p>
        </w:tc>
      </w:tr>
      <w:tr>
        <w:trPr>
          <w:trHeight w:val="189"/>
        </w:trPr>
        <w:tc>
          <w:tcPr>
            <w:tcW w:w="7740" w:type="dxa"/>
            <w:vAlign w:val="bottom"/>
          </w:tcPr>
          <w:p>
            <w:pPr>
              <w:ind w:left="440"/>
              <w:spacing w:after="0"/>
              <w:rPr>
                <w:sz w:val="20"/>
                <w:szCs w:val="20"/>
                <w:color w:val="auto"/>
              </w:rPr>
            </w:pPr>
            <w:r>
              <w:rPr>
                <w:rFonts w:ascii="Arial" w:cs="Arial" w:eastAsia="Arial" w:hAnsi="Arial"/>
                <w:sz w:val="14"/>
                <w:szCs w:val="14"/>
                <w:color w:val="auto"/>
              </w:rPr>
              <w:t>Prepaid expenses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(18,293 )</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440"/>
              <w:spacing w:after="0"/>
              <w:rPr>
                <w:sz w:val="20"/>
                <w:szCs w:val="20"/>
                <w:color w:val="auto"/>
              </w:rPr>
            </w:pPr>
            <w:r>
              <w:rPr>
                <w:rFonts w:ascii="Arial" w:cs="Arial" w:eastAsia="Arial" w:hAnsi="Arial"/>
                <w:sz w:val="14"/>
                <w:szCs w:val="14"/>
                <w:color w:val="auto"/>
              </w:rPr>
              <w:t>Contract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440"/>
              <w:spacing w:after="0"/>
              <w:rPr>
                <w:sz w:val="20"/>
                <w:szCs w:val="20"/>
                <w:color w:val="auto"/>
              </w:rPr>
            </w:pPr>
            <w:r>
              <w:rPr>
                <w:rFonts w:ascii="Arial" w:cs="Arial" w:eastAsia="Arial" w:hAnsi="Arial"/>
                <w:sz w:val="14"/>
                <w:szCs w:val="14"/>
                <w:color w:val="auto"/>
              </w:rPr>
              <w:t>Lease liabilities</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(5,068 )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(3,845 )</w:t>
            </w:r>
          </w:p>
        </w:tc>
      </w:tr>
      <w:tr>
        <w:trPr>
          <w:trHeight w:val="189"/>
        </w:trPr>
        <w:tc>
          <w:tcPr>
            <w:tcW w:w="7740" w:type="dxa"/>
            <w:vAlign w:val="bottom"/>
          </w:tcPr>
          <w:p>
            <w:pPr>
              <w:ind w:left="440"/>
              <w:spacing w:after="0"/>
              <w:rPr>
                <w:sz w:val="20"/>
                <w:szCs w:val="20"/>
                <w:color w:val="auto"/>
              </w:rPr>
            </w:pPr>
            <w:r>
              <w:rPr>
                <w:rFonts w:ascii="Arial" w:cs="Arial" w:eastAsia="Arial" w:hAnsi="Arial"/>
                <w:sz w:val="14"/>
                <w:szCs w:val="14"/>
                <w:color w:val="auto"/>
              </w:rPr>
              <w:t>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44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(1,620 )</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16"/>
                <w:szCs w:val="16"/>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0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(24,469 )</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(28,583 )</w:t>
            </w: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160"/>
              <w:spacing w:after="0"/>
              <w:rPr>
                <w:sz w:val="20"/>
                <w:szCs w:val="20"/>
                <w:color w:val="auto"/>
              </w:rPr>
            </w:pPr>
            <w:r>
              <w:rPr>
                <w:rFonts w:ascii="Arial" w:cs="Arial" w:eastAsia="Arial" w:hAnsi="Arial"/>
                <w:sz w:val="14"/>
                <w:szCs w:val="14"/>
                <w:color w:val="auto"/>
              </w:rPr>
              <w:t>Purchases of marketable securities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(16,253 )</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(8,630 )</w:t>
            </w:r>
          </w:p>
        </w:tc>
      </w:tr>
      <w:tr>
        <w:trPr>
          <w:trHeight w:val="189"/>
        </w:trPr>
        <w:tc>
          <w:tcPr>
            <w:tcW w:w="77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6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(13,560 )</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(12,063 )</w:t>
            </w:r>
          </w:p>
        </w:tc>
      </w:tr>
      <w:tr>
        <w:trPr>
          <w:trHeight w:val="189"/>
        </w:trPr>
        <w:tc>
          <w:tcPr>
            <w:tcW w:w="77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60"/>
              <w:spacing w:after="0"/>
              <w:rPr>
                <w:sz w:val="20"/>
                <w:szCs w:val="20"/>
                <w:color w:val="auto"/>
              </w:rPr>
            </w:pPr>
            <w:r>
              <w:rPr>
                <w:rFonts w:ascii="Arial" w:cs="Arial" w:eastAsia="Arial" w:hAnsi="Arial"/>
                <w:sz w:val="14"/>
                <w:szCs w:val="14"/>
                <w:color w:val="auto"/>
              </w:rPr>
              <w:t>Cash paid for business combination, net of cash acquired</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(3,349 )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(14,734 )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6,181</w:t>
            </w:r>
          </w:p>
        </w:tc>
        <w:tc>
          <w:tcPr>
            <w:tcW w:w="100" w:type="dxa"/>
            <w:vAlign w:val="bottom"/>
            <w:shd w:val="clear" w:color="auto" w:fill="CFF0FC"/>
          </w:tcPr>
          <w:p>
            <w:pPr>
              <w:spacing w:after="0"/>
              <w:rPr>
                <w:sz w:val="15"/>
                <w:szCs w:val="15"/>
                <w:color w:val="auto"/>
              </w:rPr>
            </w:pP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3,215</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30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(315 )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0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(35,994 )</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(21,289 )</w:t>
            </w: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53,424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44,373</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7740" w:type="dxa"/>
            <w:vAlign w:val="bottom"/>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-2374900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-2374900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-1390015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-1390015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-1141730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-1141730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-884555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-884555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-636270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-636270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tbl>
      <w:tblPr>
        <w:tblLayout w:type="fixed"/>
        <w:tblInd w:w="8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jc w:val="right"/>
              <w:ind w:right="680"/>
              <w:spacing w:after="0" w:line="178" w:lineRule="exact"/>
              <w:rPr>
                <w:sz w:val="20"/>
                <w:szCs w:val="20"/>
                <w:color w:val="auto"/>
              </w:rPr>
            </w:pPr>
            <w:r>
              <w:rPr>
                <w:rFonts w:ascii="Arial" w:cs="Arial" w:eastAsia="Arial" w:hAnsi="Arial"/>
                <w:sz w:val="16"/>
                <w:szCs w:val="16"/>
                <w:b w:val="1"/>
                <w:bCs w:val="1"/>
                <w:color w:val="auto"/>
              </w:rPr>
              <w:t>For the Three Months</w:t>
            </w:r>
          </w:p>
        </w:tc>
        <w:tc>
          <w:tcPr>
            <w:tcW w:w="220" w:type="dxa"/>
            <w:vAlign w:val="bottom"/>
          </w:tcPr>
          <w:p>
            <w:pPr>
              <w:spacing w:after="0"/>
              <w:rPr>
                <w:sz w:val="15"/>
                <w:szCs w:val="15"/>
                <w:color w:val="auto"/>
              </w:rPr>
            </w:pPr>
          </w:p>
        </w:tc>
        <w:tc>
          <w:tcPr>
            <w:tcW w:w="2300" w:type="dxa"/>
            <w:vAlign w:val="bottom"/>
            <w:gridSpan w:val="5"/>
          </w:tcPr>
          <w:p>
            <w:pPr>
              <w:jc w:val="right"/>
              <w:ind w:right="540"/>
              <w:spacing w:after="0" w:line="178" w:lineRule="exact"/>
              <w:rPr>
                <w:sz w:val="20"/>
                <w:szCs w:val="20"/>
                <w:color w:val="auto"/>
              </w:rPr>
            </w:pPr>
            <w:r>
              <w:rPr>
                <w:rFonts w:ascii="Arial" w:cs="Arial" w:eastAsia="Arial" w:hAnsi="Arial"/>
                <w:sz w:val="16"/>
                <w:szCs w:val="16"/>
                <w:b w:val="1"/>
                <w:bCs w:val="1"/>
                <w:color w:val="auto"/>
              </w:rPr>
              <w:t>For the Nine Months</w:t>
            </w:r>
          </w:p>
        </w:tc>
      </w:tr>
      <w:tr>
        <w:trPr>
          <w:trHeight w:val="216"/>
        </w:trPr>
        <w:tc>
          <w:tcPr>
            <w:tcW w:w="14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Ended September 30,</w:t>
            </w:r>
          </w:p>
        </w:tc>
        <w:tc>
          <w:tcPr>
            <w:tcW w:w="220" w:type="dxa"/>
            <w:vAlign w:val="bottom"/>
          </w:tcPr>
          <w:p>
            <w:pPr>
              <w:spacing w:after="0"/>
              <w:rPr>
                <w:sz w:val="18"/>
                <w:szCs w:val="18"/>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Ended September 30,</w:t>
            </w:r>
          </w:p>
        </w:tc>
      </w:tr>
      <w:tr>
        <w:trPr>
          <w:trHeight w:val="209"/>
        </w:trPr>
        <w:tc>
          <w:tcPr>
            <w:tcW w:w="14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89"/>
        </w:trPr>
        <w:tc>
          <w:tcPr>
            <w:tcW w:w="140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Adjusted EBITDA:</w:t>
            </w:r>
          </w:p>
        </w:tc>
        <w:tc>
          <w:tcPr>
            <w:tcW w:w="4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(10,199 )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(12,010 )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(40,507 )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(56,912 )</w:t>
            </w:r>
          </w:p>
        </w:tc>
      </w:tr>
      <w:tr>
        <w:trPr>
          <w:trHeight w:val="216"/>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Interest expense, interest and dividend income and other expenses</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(1,150 )</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(1,192 )</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(3,647 )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(3,896 )</w:t>
            </w:r>
          </w:p>
        </w:tc>
      </w:tr>
      <w:tr>
        <w:trPr>
          <w:trHeight w:val="216"/>
        </w:trPr>
        <w:tc>
          <w:tcPr>
            <w:tcW w:w="584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7,939</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gridSpan w:val="2"/>
          </w:tcPr>
          <w:p>
            <w:pPr>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16,222</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Payroll tax expense related to stock-based compensation</w:t>
            </w:r>
            <w:r>
              <w:rPr>
                <w:rFonts w:ascii="Arial" w:cs="Arial" w:eastAsia="Arial" w:hAnsi="Arial"/>
                <w:sz w:val="21"/>
                <w:szCs w:val="21"/>
                <w:color w:val="auto"/>
                <w:vertAlign w:val="superscript"/>
              </w:rPr>
              <w:t>(3)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840" w:type="dxa"/>
            <w:vAlign w:val="bottom"/>
            <w:gridSpan w:val="2"/>
          </w:tcPr>
          <w:p>
            <w:pPr>
              <w:spacing w:after="0" w:line="216" w:lineRule="exact"/>
              <w:rPr>
                <w:sz w:val="20"/>
                <w:szCs w:val="20"/>
                <w:color w:val="auto"/>
              </w:rPr>
            </w:pPr>
            <w:r>
              <w:rPr>
                <w:rFonts w:ascii="Arial" w:cs="Arial" w:eastAsia="Arial" w:hAnsi="Arial"/>
                <w:sz w:val="16"/>
                <w:szCs w:val="16"/>
                <w:color w:val="auto"/>
              </w:rPr>
              <w:t>Lease abandonment</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(5)</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Charitable contribution of common stock</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from unconsolidated joint venture</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(162 )</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(134 )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(493 )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(437 )</w:t>
            </w: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Impairment of assets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(6)</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gridSpan w:val="2"/>
          </w:tcPr>
          <w:p>
            <w:pPr>
              <w:spacing w:after="0"/>
              <w:rPr>
                <w:sz w:val="20"/>
                <w:szCs w:val="20"/>
                <w:color w:val="auto"/>
              </w:rPr>
            </w:pPr>
            <w:r>
              <w:rPr>
                <w:rFonts w:ascii="Arial" w:cs="Arial" w:eastAsia="Arial" w:hAnsi="Arial"/>
                <w:sz w:val="16"/>
                <w:szCs w:val="16"/>
                <w:color w:val="auto"/>
              </w:rPr>
              <w:t>Costs to exit the tools and materials business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(632 )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(4,215 )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(10,725 )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(24,640 )</w:t>
            </w:r>
          </w:p>
        </w:tc>
      </w:tr>
      <w:tr>
        <w:trPr>
          <w:trHeight w:val="20"/>
        </w:trPr>
        <w:tc>
          <w:tcPr>
            <w:tcW w:w="140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6"/>
                <w:szCs w:val="16"/>
                <w:b w:val="1"/>
                <w:bCs w:val="1"/>
                <w:color w:val="auto"/>
              </w:rPr>
              <w:t>For the Three Months</w:t>
            </w:r>
          </w:p>
        </w:tc>
        <w:tc>
          <w:tcPr>
            <w:tcW w:w="200" w:type="dxa"/>
            <w:vAlign w:val="bottom"/>
          </w:tcPr>
          <w:p>
            <w:pPr>
              <w:spacing w:after="0"/>
              <w:rPr>
                <w:sz w:val="16"/>
                <w:szCs w:val="16"/>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For the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Arial" w:cs="Arial" w:eastAsia="Arial" w:hAnsi="Arial"/>
                <w:sz w:val="16"/>
                <w:szCs w:val="16"/>
                <w:b w:val="1"/>
                <w:bCs w:val="1"/>
                <w:color w:val="auto"/>
              </w:rPr>
              <w:t>Ended September 30,</w:t>
            </w:r>
          </w:p>
        </w:tc>
        <w:tc>
          <w:tcPr>
            <w:tcW w:w="200" w:type="dxa"/>
            <w:vAlign w:val="bottom"/>
          </w:tcPr>
          <w:p>
            <w:pPr>
              <w:spacing w:after="0"/>
              <w:rPr>
                <w:sz w:val="18"/>
                <w:szCs w:val="18"/>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34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Non-GAAP Net Income (Loss):</w:t>
            </w:r>
          </w:p>
        </w:tc>
        <w:tc>
          <w:tcPr>
            <w:tcW w:w="36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(10,199 )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(12,010 )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(40,507 )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(56,912 )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21"/>
                <w:szCs w:val="21"/>
                <w:color w:val="auto"/>
                <w:vertAlign w:val="superscript"/>
              </w:rPr>
              <w:t>(2)</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Payroll tax expense related to stock-based compensation</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lease intangible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Amortization of deferred costs on convertible notes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(5)</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(Gain) loss on sale of property and equipment</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(23 )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Charitable contribution of common stock</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Lease abandonment and termination</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(6)</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FF0FC"/>
            </w:tcBorders>
            <w:shd w:val="clear" w:color="auto" w:fill="CFF0FC"/>
          </w:tcPr>
          <w:p>
            <w:pPr>
              <w:spacing w:after="0"/>
              <w:rPr>
                <w:sz w:val="18"/>
                <w:szCs w:val="18"/>
                <w:color w:val="auto"/>
              </w:rPr>
            </w:pPr>
          </w:p>
        </w:tc>
        <w:tc>
          <w:tcPr>
            <w:tcW w:w="5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Costs to exit the tools and materials business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Non-GAAP 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(2,562 )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(5,234 )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(18,955 )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98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Weighted-average number of shares outstanding used to compute Non-GAAP</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(Loss) per share, basic and diluted, of Class A and Class B common</w:t>
            </w:r>
          </w:p>
        </w:tc>
        <w:tc>
          <w:tcPr>
            <w:tcW w:w="20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49,282,164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47,989,277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48,901,475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47,852,671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w:t>
            </w: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EPS, basic and diluted, of Class A and Class B common 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(0.21 )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(0.25 )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(0.83 )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Non-GAAP EPS, basic and diluted, of Class A and Class B common stock</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(0.05 )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(0.11 )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(0.40 )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-1009650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-1009650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-1009650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-470535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-470535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-470535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20" w:hanging="372"/>
        <w:spacing w:after="0" w:line="25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ind w:left="380" w:right="200" w:hanging="372"/>
        <w:spacing w:after="0" w:line="24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second quarter of 2024, we changed the definition of Adjusted EBITDA and Non-GAAP Net Income (Loss) to exclude payroll tax expense related to stock-based compensation. For prior periods, this amount was considered de minimis and, accordingly, we have not adjusted the Adjusted EBITDA or Non-GAAP Net Income (Loss) amounts for such periods.</w:t>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 is recorded in general and administrative and/or other expenses.</w:t>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associated with the May 2023 reduction in workforce.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7"/>
                <w:szCs w:val="17"/>
                <w:color w:val="auto"/>
              </w:rPr>
            </w:pPr>
          </w:p>
        </w:tc>
        <w:tc>
          <w:tcPr>
            <w:tcW w:w="30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117,584</w:t>
            </w:r>
          </w:p>
        </w:tc>
        <w:tc>
          <w:tcPr>
            <w:tcW w:w="2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103,379</w:t>
            </w:r>
          </w:p>
        </w:tc>
        <w:tc>
          <w:tcPr>
            <w:tcW w:w="2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333,113</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292,715</w:t>
            </w:r>
          </w:p>
        </w:tc>
        <w:tc>
          <w:tcPr>
            <w:tcW w:w="100" w:type="dxa"/>
            <w:vAlign w:val="bottom"/>
          </w:tcPr>
          <w:p>
            <w:pPr>
              <w:spacing w:after="0"/>
              <w:rPr>
                <w:sz w:val="19"/>
                <w:szCs w:val="19"/>
                <w:color w:val="auto"/>
              </w:rPr>
            </w:pP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24,114</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63,870</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141,698</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396,983</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335,261</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(4,183 )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(7,893 )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(23,115 )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(43,742 )</w:t>
            </w: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(6,016 )</w:t>
            </w:r>
          </w:p>
        </w:tc>
        <w:tc>
          <w:tcPr>
            <w:tcW w:w="5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(4,130 )</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(17,397 )</w:t>
            </w: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(13,179 )</w:t>
            </w:r>
          </w:p>
        </w:tc>
      </w:tr>
      <w:tr>
        <w:trPr>
          <w:trHeight w:val="20"/>
        </w:trPr>
        <w:tc>
          <w:tcPr>
            <w:tcW w:w="44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color w:val="auto"/>
              </w:rPr>
              <w:t>Total net loss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(10,199 )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(12,023 )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(40,512 )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(56,921 )</w:t>
            </w:r>
          </w:p>
        </w:tc>
      </w:tr>
      <w:tr>
        <w:trPr>
          <w:trHeight w:val="20"/>
        </w:trPr>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-941070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-941070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-941070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-179070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-179070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-179070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2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For the Three Months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Nine Months</w:t>
            </w: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2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Ended September 30,</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September 30,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b w:val="1"/>
                <w:bCs w:val="1"/>
                <w:color w:val="auto"/>
              </w:rPr>
              <w:t>Summary of Stock-based Compensation Expense and</w:t>
            </w:r>
          </w:p>
        </w:tc>
        <w:tc>
          <w:tcPr>
            <w:tcW w:w="8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Payroll Taxes Related to Stock-based Compensation</w:t>
            </w:r>
          </w:p>
        </w:tc>
        <w:tc>
          <w:tcPr>
            <w:tcW w:w="8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Expense</w:t>
            </w: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1,913</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6,000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2,259</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1,543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1,335</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40" w:type="dxa"/>
            <w:vAlign w:val="bottom"/>
          </w:tcPr>
          <w:p>
            <w:pPr>
              <w:ind w:left="20"/>
              <w:spacing w:after="0" w:line="190" w:lineRule="exact"/>
              <w:rPr>
                <w:sz w:val="20"/>
                <w:szCs w:val="20"/>
                <w:color w:val="auto"/>
              </w:rPr>
            </w:pPr>
            <w:r>
              <w:rPr>
                <w:rFonts w:ascii="Arial" w:cs="Arial" w:eastAsia="Arial" w:hAnsi="Arial"/>
                <w:sz w:val="18"/>
                <w:szCs w:val="18"/>
                <w:color w:val="auto"/>
              </w:rPr>
              <w:t>Total stock-based compensation expense and payroll taxes</w:t>
            </w:r>
          </w:p>
        </w:tc>
        <w:tc>
          <w:tcPr>
            <w:tcW w:w="880" w:type="dxa"/>
            <w:vAlign w:val="bottom"/>
            <w:vMerge w:val="restart"/>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3"/>
              </w:rPr>
              <w:t>7,050</w:t>
            </w:r>
          </w:p>
        </w:tc>
        <w:tc>
          <w:tcPr>
            <w:tcW w:w="10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5,730</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21,991</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16,222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40" w:type="dxa"/>
            <w:vAlign w:val="bottom"/>
          </w:tcPr>
          <w:p>
            <w:pPr>
              <w:ind w:left="20"/>
              <w:spacing w:after="0" w:line="195" w:lineRule="exact"/>
              <w:rPr>
                <w:sz w:val="20"/>
                <w:szCs w:val="20"/>
                <w:color w:val="auto"/>
              </w:rPr>
            </w:pPr>
            <w:r>
              <w:rPr>
                <w:rFonts w:ascii="Arial" w:cs="Arial" w:eastAsia="Arial" w:hAnsi="Arial"/>
                <w:sz w:val="18"/>
                <w:szCs w:val="18"/>
                <w:color w:val="auto"/>
              </w:rPr>
              <w:t>related to stock-based compensation</w:t>
            </w:r>
          </w:p>
        </w:tc>
        <w:tc>
          <w:tcPr>
            <w:tcW w:w="8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1,982</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3,213</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9,622</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Summary of Restructuring Charge</w:t>
            </w: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restructuring charge</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51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-3484245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-3484245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-3484245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-3484245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-2028825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-2011680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-2028825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-2011680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-2028825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-2011680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-932815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-915670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-932815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-915670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-932815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-915670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2024-11-05T06:25:18Z</dcterms:created>
  <dcterms:modified xsi:type="dcterms:W3CDTF">2024-11-05T06:25:18Z</dcterms:modified>
</cp:coreProperties>
</file>