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6993890" cy="5085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508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Rallo James M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XOMETRY,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6116 EXECUTIVE BLVD, SUITE 800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Xometry,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XMTR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03/15/2023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8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53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2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NORTH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20852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BETHESDA</w:t>
            </w: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0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right"/>
              <w:ind w:right="14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03/15/2023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8"/>
              </w:rPr>
              <w:t>29,809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48,785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44,463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15.82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03/15/2023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44,463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03/14/2033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44,463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-2099945</wp:posOffset>
            </wp:positionV>
            <wp:extent cx="29210" cy="21050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05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22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 restricted stock unit ("RSU") grant. One quarter (1/4) of the shares underlying the RSUs will vest on January 1, 2024 and the remainder of the shares underlying the RSUs vest quarterly for the 3 years thereafter, subject to the Reporting Person's continuous service.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RSU represents a contingent right to receive one share of the Class A Common Stock of the Issuer.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One quarter (1/4) of the options will vest on January 1, 2024, and the remainder of the options vest quarterly for the 3 years thereafter, subject to the Reporting Person's continuous service.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Kristie Scott, Attorney-in-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03/17/2023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52659" TargetMode="External"/><Relationship Id="rId13" Type="http://schemas.openxmlformats.org/officeDocument/2006/relationships/hyperlink" Target="http://www.sec.gov/cgi-bin/browse-edgar?action=getcompany&amp;CIK=000165757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2023-03-17T19:58:38Z</dcterms:created>
  <dcterms:modified xsi:type="dcterms:W3CDTF">2023-03-17T19:58:38Z</dcterms:modified>
</cp:coreProperties>
</file>