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Altschuler Randolph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88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740" w:type="dxa"/>
            <w:vAlign w:val="bottom"/>
            <w:tcBorders>
              <w:top w:val="single" w:sz="8" w:color="2C2C2C"/>
              <w:bottom w:val="single" w:sz="8" w:color="2C2C2C"/>
            </w:tcBorders>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380" w:type="dxa"/>
            <w:vAlign w:val="bottom"/>
            <w:tcBorders>
              <w:top w:val="single" w:sz="8" w:color="2C2C2C"/>
              <w:bottom w:val="single" w:sz="8" w:color="2C2C2C"/>
            </w:tcBorders>
            <w:gridSpan w:val="6"/>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540" w:type="dxa"/>
            <w:vAlign w:val="bottom"/>
            <w:shd w:val="clear" w:color="auto" w:fill="EEEEEE"/>
          </w:tcPr>
          <w:p>
            <w:pPr>
              <w:spacing w:after="0" w:line="20" w:lineRule="exact"/>
              <w:rPr>
                <w:sz w:val="1"/>
                <w:szCs w:val="1"/>
                <w:color w:val="auto"/>
              </w:rPr>
            </w:pPr>
          </w:p>
        </w:tc>
        <w:tc>
          <w:tcPr>
            <w:tcW w:w="24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740" w:type="dxa"/>
            <w:vAlign w:val="bottom"/>
            <w:gridSpan w:val="6"/>
            <w:vMerge w:val="continue"/>
          </w:tcPr>
          <w:p>
            <w:pPr>
              <w:spacing w:after="0" w:line="20" w:lineRule="exact"/>
              <w:rPr>
                <w:sz w:val="1"/>
                <w:szCs w:val="1"/>
                <w:color w:val="auto"/>
              </w:rPr>
            </w:pPr>
          </w:p>
        </w:tc>
        <w:tc>
          <w:tcPr>
            <w:tcW w:w="3380" w:type="dxa"/>
            <w:vAlign w:val="bottom"/>
            <w:gridSpan w:val="6"/>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3380" w:type="dxa"/>
            <w:vAlign w:val="bottom"/>
            <w:gridSpan w:val="6"/>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58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02/27/2025</w:t>
            </w: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gridSpan w:val="2"/>
            <w:vMerge w:val="restart"/>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580" w:type="dxa"/>
            <w:vAlign w:val="bottom"/>
            <w:gridSpan w:val="5"/>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6"/>
          </w:tcPr>
          <w:p>
            <w:pPr>
              <w:ind w:left="12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4"/>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4"/>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4"/>
          </w:tcPr>
          <w:p>
            <w:pPr>
              <w:ind w:left="840"/>
              <w:spacing w:after="0"/>
              <w:rPr>
                <w:sz w:val="20"/>
                <w:szCs w:val="20"/>
                <w:color w:val="auto"/>
              </w:rPr>
            </w:pPr>
            <w:r>
              <w:rPr>
                <w:rFonts w:ascii="Times New Roman" w:cs="Times New Roman" w:eastAsia="Times New Roman" w:hAnsi="Times New Roman"/>
                <w:sz w:val="17"/>
                <w:szCs w:val="17"/>
                <w:color w:val="0000FF"/>
              </w:rPr>
              <w:t>02/25/2025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88"/>
              </w:rPr>
              <w:t>82,699</w:t>
            </w:r>
            <w:r>
              <w:rPr>
                <w:rFonts w:ascii="Times New Roman" w:cs="Times New Roman" w:eastAsia="Times New Roman" w:hAnsi="Times New Roman"/>
                <w:sz w:val="22"/>
                <w:szCs w:val="22"/>
                <w:color w:val="008000"/>
                <w:w w:val="88"/>
                <w:vertAlign w:val="superscript"/>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284,557</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 that were granted in March 2024 subject to performance-based vesting conditions pertaining to 2024 performance, the achievement of which was certified by the Board on February 25, 2025. Of these RSUs, 1/3rd of the shares vested on February 25, 2025, and the remainder of the shares underlying the RSUs will vest in equal installments on each of February 25, 2026 and February 25, 2027, subject to the reporting person's continuous service.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an error in the number of RSUs and the Amount of Securities Beneficially Owned Following Reported Transaction(s) previously reported.</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03/13/2025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981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2025-03-13T15:47:37Z</dcterms:created>
  <dcterms:modified xsi:type="dcterms:W3CDTF">2025-03-13T15:47:37Z</dcterms:modified>
</cp:coreProperties>
</file>