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1,747,519.00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3,446,223.00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3,446,223.00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 North Bethesda, MD 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1201 N. Calvert Street, Baltimore, Maryland 21202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State of 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3446223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1747519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None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3446223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None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All of the shares set forth in Item 4 are owned by various investment advisory clients of Brown Capital Management, LLC, which is deemed to be a beneficial owner of those shares pursuant to Rule 13d-3 under the Securities Exchange Act of 1934, due to its discretionary power to make investment decisions over such shares and/or its ability to vote such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152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Eddie C. Brown</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Eddie C. Brown, CEO</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After reasonable inquiry and to the best of my knowledge and belief, I certify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set forth in this statement is true, complete and correct.</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2025-05-15T12:04:34Z</dcterms:created>
  <dcterms:modified xsi:type="dcterms:W3CDTF">2025-05-15T12:04:34Z</dcterms:modified>
</cp:coreProperties>
</file>