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37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3741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7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Rallo James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11/30/2022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16" w:right="359" w:bottom="7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540" w:type="dxa"/>
            <w:vAlign w:val="bottom"/>
            <w:gridSpan w:val="6"/>
          </w:tcPr>
          <w:p>
            <w:pPr>
              <w:jc w:val="right"/>
              <w:ind w:right="33"/>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0"/>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DERWOOD</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20855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200" w:type="dxa"/>
            <w:vAlign w:val="bottom"/>
            <w:vMerge w:val="restart"/>
          </w:tcPr>
          <w:p>
            <w:pPr>
              <w:spacing w:after="0"/>
              <w:rPr>
                <w:sz w:val="6"/>
                <w:szCs w:val="6"/>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0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11/30/2022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7,717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29,404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11/30/2022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2,283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31,687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11/30/2022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6,813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40.3288</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24,874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11/30/2022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3,079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41.316</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21,795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11/30/2022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41.8476</w:t>
            </w:r>
            <w:r>
              <w:rPr>
                <w:rFonts w:ascii="Times New Roman" w:cs="Times New Roman" w:eastAsia="Times New Roman" w:hAnsi="Times New Roman"/>
                <w:sz w:val="21"/>
                <w:szCs w:val="21"/>
                <w:color w:val="008000"/>
                <w:w w:val="93"/>
                <w:vertAlign w:val="superscript"/>
              </w:rPr>
              <w:t>(5)</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21,687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80" w:type="dxa"/>
            <w:vAlign w:val="bottom"/>
            <w:gridSpan w:val="9"/>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2,283</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11/30/2022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2,283</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continue"/>
          </w:tcPr>
          <w:p>
            <w:pPr>
              <w:spacing w:after="0"/>
              <w:rPr>
                <w:sz w:val="6"/>
                <w:szCs w:val="6"/>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220" w:type="dxa"/>
            <w:vAlign w:val="bottom"/>
          </w:tcPr>
          <w:p>
            <w:pPr>
              <w:spacing w:after="0"/>
              <w:rPr>
                <w:sz w:val="6"/>
                <w:szCs w:val="6"/>
                <w:color w:val="auto"/>
              </w:rPr>
            </w:pPr>
          </w:p>
        </w:tc>
        <w:tc>
          <w:tcPr>
            <w:tcW w:w="64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9"/>
              </w:rPr>
              <w:t>288,894</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7,717</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11/30/2022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7,717</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continue"/>
          </w:tcPr>
          <w:p>
            <w:pPr>
              <w:spacing w:after="0"/>
              <w:rPr>
                <w:sz w:val="6"/>
                <w:szCs w:val="6"/>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220" w:type="dxa"/>
            <w:vAlign w:val="bottom"/>
          </w:tcPr>
          <w:p>
            <w:pPr>
              <w:spacing w:after="0"/>
              <w:rPr>
                <w:sz w:val="6"/>
                <w:szCs w:val="6"/>
                <w:color w:val="auto"/>
              </w:rPr>
            </w:pPr>
          </w:p>
        </w:tc>
        <w:tc>
          <w:tcPr>
            <w:tcW w:w="64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9"/>
              </w:rPr>
              <w:t>281,177</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-2642235</wp:posOffset>
            </wp:positionV>
            <wp:extent cx="29210" cy="264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473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and amended by the reporting person at least 30 days prior to the trading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and amended by the reporting person at least 30 days prior to the trading date.</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$39.75 to $40.68,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and (5)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$40.79 to $41.76,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$41.845 to $41.88,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quarter (1/4) of the shares vested on April 13, 2021, and thereafter, the remainder of the shares vest in 36 monthly installments, subject to the Reporting Person's continuous service.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12/02/2022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2022-12-02T16:11:50Z</dcterms:created>
  <dcterms:modified xsi:type="dcterms:W3CDTF">2022-12-02T16:11:50Z</dcterms:modified>
</cp:coreProperties>
</file>