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360"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38"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67"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XOMETRY, INC.</w:t>
      </w: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55"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32-0415449</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20" w:lineRule="exact"/>
        <w:rPr>
          <w:sz w:val="24"/>
          <w:szCs w:val="24"/>
          <w:color w:val="auto"/>
        </w:rPr>
      </w:pPr>
    </w:p>
    <w:p>
      <w:pPr>
        <w:sectPr>
          <w:pgSz w:w="11900" w:h="16838" w:orient="portrait"/>
          <w:cols w:equalWidth="0" w:num="2">
            <w:col w:w="7700" w:space="240"/>
            <w:col w:w="3300"/>
          </w:cols>
          <w:pgMar w:left="320" w:top="746" w:right="339" w:bottom="1440" w:gutter="0" w:footer="0" w:header="0"/>
          <w:type w:val="continuous"/>
        </w:sectPr>
      </w:pPr>
    </w:p>
    <w:p>
      <w:pPr>
        <w:spacing w:after="0" w:line="4" w:lineRule="exact"/>
        <w:rPr>
          <w:sz w:val="24"/>
          <w:szCs w:val="24"/>
          <w:color w:val="auto"/>
        </w:rPr>
      </w:pPr>
    </w:p>
    <w:tbl>
      <w:tblPr>
        <w:tblLayout w:type="fixed"/>
        <w:tblInd w:w="1780" w:type="dxa"/>
        <w:tblCellMar>
          <w:top w:w="0" w:type="dxa"/>
          <w:left w:w="0" w:type="dxa"/>
          <w:bottom w:w="0" w:type="dxa"/>
          <w:right w:w="0" w:type="dxa"/>
        </w:tblCellMar>
      </w:tblPr>
      <w:tr>
        <w:trPr>
          <w:trHeight w:val="203"/>
        </w:trPr>
        <w:tc>
          <w:tcPr>
            <w:tcW w:w="4220" w:type="dxa"/>
            <w:vAlign w:val="bottom"/>
          </w:tcPr>
          <w:p>
            <w:pPr>
              <w:jc w:val="center"/>
              <w:ind w:right="2084"/>
              <w:spacing w:after="0"/>
              <w:rPr>
                <w:sz w:val="20"/>
                <w:szCs w:val="20"/>
                <w:color w:val="auto"/>
              </w:rPr>
            </w:pPr>
            <w:r>
              <w:rPr>
                <w:rFonts w:ascii="Arial" w:cs="Arial" w:eastAsia="Arial" w:hAnsi="Arial"/>
                <w:sz w:val="16"/>
                <w:szCs w:val="16"/>
                <w:b w:val="1"/>
                <w:bCs w:val="1"/>
                <w:color w:val="auto"/>
                <w:w w:val="89"/>
              </w:rPr>
              <w:t>7529 Standish Place</w:t>
            </w:r>
          </w:p>
        </w:tc>
        <w:tc>
          <w:tcPr>
            <w:tcW w:w="2720" w:type="dxa"/>
            <w:vAlign w:val="bottom"/>
          </w:tcPr>
          <w:p>
            <w:pPr>
              <w:spacing w:after="0"/>
              <w:rPr>
                <w:sz w:val="17"/>
                <w:szCs w:val="17"/>
                <w:color w:val="auto"/>
              </w:rPr>
            </w:pPr>
          </w:p>
        </w:tc>
      </w:tr>
      <w:tr>
        <w:trPr>
          <w:trHeight w:val="203"/>
        </w:trPr>
        <w:tc>
          <w:tcPr>
            <w:tcW w:w="4220" w:type="dxa"/>
            <w:vAlign w:val="bottom"/>
          </w:tcPr>
          <w:p>
            <w:pPr>
              <w:jc w:val="center"/>
              <w:ind w:right="2064"/>
              <w:spacing w:after="0"/>
              <w:rPr>
                <w:sz w:val="20"/>
                <w:szCs w:val="20"/>
                <w:color w:val="auto"/>
              </w:rPr>
            </w:pPr>
            <w:r>
              <w:rPr>
                <w:rFonts w:ascii="Arial" w:cs="Arial" w:eastAsia="Arial" w:hAnsi="Arial"/>
                <w:sz w:val="16"/>
                <w:szCs w:val="16"/>
                <w:b w:val="1"/>
                <w:bCs w:val="1"/>
                <w:color w:val="auto"/>
                <w:w w:val="91"/>
              </w:rPr>
              <w:t>Suite 200</w:t>
            </w:r>
          </w:p>
        </w:tc>
        <w:tc>
          <w:tcPr>
            <w:tcW w:w="2720" w:type="dxa"/>
            <w:vAlign w:val="bottom"/>
          </w:tcPr>
          <w:p>
            <w:pPr>
              <w:spacing w:after="0"/>
              <w:rPr>
                <w:sz w:val="17"/>
                <w:szCs w:val="17"/>
                <w:color w:val="auto"/>
              </w:rPr>
            </w:pPr>
          </w:p>
        </w:tc>
      </w:tr>
      <w:tr>
        <w:trPr>
          <w:trHeight w:val="210"/>
        </w:trPr>
        <w:tc>
          <w:tcPr>
            <w:tcW w:w="4220" w:type="dxa"/>
            <w:vAlign w:val="bottom"/>
          </w:tcPr>
          <w:p>
            <w:pPr>
              <w:jc w:val="center"/>
              <w:ind w:right="2084"/>
              <w:spacing w:after="0"/>
              <w:rPr>
                <w:sz w:val="20"/>
                <w:szCs w:val="20"/>
                <w:color w:val="auto"/>
              </w:rPr>
            </w:pPr>
            <w:r>
              <w:rPr>
                <w:rFonts w:ascii="Arial" w:cs="Arial" w:eastAsia="Arial" w:hAnsi="Arial"/>
                <w:sz w:val="16"/>
                <w:szCs w:val="16"/>
                <w:b w:val="1"/>
                <w:bCs w:val="1"/>
                <w:color w:val="auto"/>
                <w:w w:val="95"/>
              </w:rPr>
              <w:t>Derwood, MD</w:t>
            </w:r>
          </w:p>
        </w:tc>
        <w:tc>
          <w:tcPr>
            <w:tcW w:w="2720" w:type="dxa"/>
            <w:vAlign w:val="bottom"/>
          </w:tcPr>
          <w:p>
            <w:pPr>
              <w:jc w:val="right"/>
              <w:ind w:right="8"/>
              <w:spacing w:after="0"/>
              <w:rPr>
                <w:sz w:val="20"/>
                <w:szCs w:val="20"/>
                <w:color w:val="auto"/>
              </w:rPr>
            </w:pPr>
            <w:r>
              <w:rPr>
                <w:rFonts w:ascii="Arial" w:cs="Arial" w:eastAsia="Arial" w:hAnsi="Arial"/>
                <w:sz w:val="16"/>
                <w:szCs w:val="16"/>
                <w:b w:val="1"/>
                <w:bCs w:val="1"/>
                <w:color w:val="auto"/>
              </w:rPr>
              <w:t>20855</w:t>
            </w:r>
          </w:p>
        </w:tc>
      </w:tr>
      <w:tr>
        <w:trPr>
          <w:trHeight w:val="192"/>
        </w:trPr>
        <w:tc>
          <w:tcPr>
            <w:tcW w:w="4220" w:type="dxa"/>
            <w:vAlign w:val="bottom"/>
          </w:tcPr>
          <w:p>
            <w:pPr>
              <w:jc w:val="center"/>
              <w:ind w:right="20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8"/>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XMTR</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18" w:lineRule="exact"/>
        <w:rPr>
          <w:sz w:val="24"/>
          <w:szCs w:val="24"/>
          <w:color w:val="auto"/>
        </w:rPr>
      </w:pPr>
    </w:p>
    <w:p>
      <w:pPr>
        <w:jc w:val="both"/>
        <w:ind w:firstLine="644"/>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40" w:firstLine="64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220" w:firstLine="64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3" w:lineRule="exact"/>
        <w:rPr>
          <w:sz w:val="24"/>
          <w:szCs w:val="24"/>
          <w:color w:val="auto"/>
        </w:rPr>
      </w:pPr>
    </w:p>
    <w:p>
      <w:pPr>
        <w:ind w:right="440" w:firstLine="64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60"/>
        <w:spacing w:after="0" w:line="184" w:lineRule="exact"/>
        <w:tabs>
          <w:tab w:leader="none" w:pos="8180" w:val="left"/>
          <w:tab w:leader="none" w:pos="87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0" w:lineRule="exact"/>
        <w:rPr>
          <w:sz w:val="24"/>
          <w:szCs w:val="24"/>
          <w:color w:val="auto"/>
        </w:rPr>
      </w:pPr>
    </w:p>
    <w:p>
      <w:pPr>
        <w:ind w:right="20" w:firstLine="644"/>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August 6, 2021, the registrant had 41,667,285 shares of Class A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420" w:type="dxa"/>
            <w:vAlign w:val="bottom"/>
            <w:gridSpan w:val="17"/>
          </w:tcPr>
          <w:p>
            <w:pPr>
              <w:spacing w:after="0" w:line="182" w:lineRule="exact"/>
              <w:rPr>
                <w:rFonts w:ascii="Arial" w:cs="Arial" w:eastAsia="Arial" w:hAnsi="Arial"/>
                <w:sz w:val="18"/>
                <w:szCs w:val="18"/>
                <w:color w:val="0563C1"/>
              </w:rPr>
            </w:pPr>
            <w:hyperlink w:anchor="page4">
              <w:r>
                <w:rPr>
                  <w:rFonts w:ascii="Arial" w:cs="Arial" w:eastAsia="Arial" w:hAnsi="Arial"/>
                  <w:sz w:val="18"/>
                  <w:szCs w:val="18"/>
                  <w:color w:val="0563C1"/>
                </w:rPr>
                <w:t>FINANCIAL INFORMATION</w:t>
              </w:r>
            </w:hyperlink>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Condensed Consolidated Balance Sheets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Statements of Operations and Comprehensive Loss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is Convertible Preferred Stock and Stockholders' Deficit</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Condensed 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Notes to Unaudited Condensed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563C1"/>
              </w:rPr>
            </w:pPr>
            <w:hyperlink w:anchor="page21">
              <w:r>
                <w:rPr>
                  <w:rFonts w:ascii="Arial" w:cs="Arial" w:eastAsia="Arial" w:hAnsi="Arial"/>
                  <w:sz w:val="18"/>
                  <w:szCs w:val="18"/>
                  <w:color w:val="0563C1"/>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120" w:type="dxa"/>
            <w:vAlign w:val="bottom"/>
            <w:tcBorders>
              <w:left w:val="single" w:sz="8" w:color="0563C1"/>
            </w:tcBorders>
            <w:gridSpan w:val="3"/>
            <w:shd w:val="clear" w:color="auto" w:fill="0563C1"/>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17"/>
          </w:tcPr>
          <w:p>
            <w:pPr>
              <w:spacing w:after="0"/>
              <w:rPr>
                <w:rFonts w:ascii="Arial" w:cs="Arial" w:eastAsia="Arial" w:hAnsi="Arial"/>
                <w:sz w:val="18"/>
                <w:szCs w:val="18"/>
                <w:color w:val="0563C1"/>
              </w:rPr>
            </w:pPr>
            <w:hyperlink w:anchor="page34">
              <w:r>
                <w:rPr>
                  <w:rFonts w:ascii="Arial" w:cs="Arial" w:eastAsia="Arial" w:hAnsi="Arial"/>
                  <w:sz w:val="18"/>
                  <w:szCs w:val="18"/>
                  <w:color w:val="0563C1"/>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5080" w:type="dxa"/>
            <w:vAlign w:val="bottom"/>
            <w:tcBorders>
              <w:left w:val="single" w:sz="8" w:color="0563C1"/>
            </w:tcBorders>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563C1"/>
              </w:rPr>
            </w:pPr>
            <w:hyperlink w:anchor="page34">
              <w:r>
                <w:rPr>
                  <w:rFonts w:ascii="Arial" w:cs="Arial" w:eastAsia="Arial" w:hAnsi="Arial"/>
                  <w:sz w:val="18"/>
                  <w:szCs w:val="18"/>
                  <w:color w:val="0563C1"/>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vMerge w:val="continue"/>
          </w:tcPr>
          <w:p>
            <w:pPr>
              <w:spacing w:after="0"/>
              <w:rPr>
                <w:sz w:val="19"/>
                <w:szCs w:val="19"/>
                <w:color w:val="auto"/>
              </w:rPr>
            </w:pPr>
          </w:p>
        </w:tc>
        <w:tc>
          <w:tcPr>
            <w:tcW w:w="9420" w:type="dxa"/>
            <w:vAlign w:val="bottom"/>
            <w:gridSpan w:val="17"/>
          </w:tcPr>
          <w:p>
            <w:pPr>
              <w:spacing w:after="0"/>
              <w:rPr>
                <w:rFonts w:ascii="Arial" w:cs="Arial" w:eastAsia="Arial" w:hAnsi="Arial"/>
                <w:sz w:val="18"/>
                <w:szCs w:val="18"/>
                <w:color w:val="0563C1"/>
              </w:rPr>
            </w:pPr>
            <w:hyperlink w:anchor="page35">
              <w:r>
                <w:rPr>
                  <w:rFonts w:ascii="Arial" w:cs="Arial" w:eastAsia="Arial" w:hAnsi="Arial"/>
                  <w:sz w:val="18"/>
                  <w:szCs w:val="18"/>
                  <w:color w:val="0563C1"/>
                </w:rPr>
                <w:t>OTHER INFORMATION</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2"/>
            <w:shd w:val="clear" w:color="auto" w:fill="0563C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563C1"/>
              </w:rPr>
            </w:pPr>
            <w:hyperlink w:anchor="page35">
              <w:r>
                <w:rPr>
                  <w:rFonts w:ascii="Arial" w:cs="Arial" w:eastAsia="Arial" w:hAnsi="Arial"/>
                  <w:sz w:val="18"/>
                  <w:szCs w:val="18"/>
                  <w:color w:val="0563C1"/>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7"/>
          </w:tcPr>
          <w:p>
            <w:pPr>
              <w:spacing w:after="0"/>
              <w:rPr>
                <w:rFonts w:ascii="Arial" w:cs="Arial" w:eastAsia="Arial" w:hAnsi="Arial"/>
                <w:sz w:val="18"/>
                <w:szCs w:val="18"/>
                <w:color w:val="0563C1"/>
              </w:rPr>
            </w:pPr>
            <w:hyperlink w:anchor="page35">
              <w:r>
                <w:rPr>
                  <w:rFonts w:ascii="Arial" w:cs="Arial" w:eastAsia="Arial" w:hAnsi="Arial"/>
                  <w:sz w:val="18"/>
                  <w:szCs w:val="18"/>
                  <w:color w:val="0563C1"/>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17"/>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Defaults Upon Senior Securities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7"/>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17"/>
          </w:tcPr>
          <w:p>
            <w:pPr>
              <w:spacing w:after="0"/>
              <w:rPr>
                <w:rFonts w:ascii="Arial" w:cs="Arial" w:eastAsia="Arial" w:hAnsi="Arial"/>
                <w:sz w:val="18"/>
                <w:szCs w:val="18"/>
                <w:color w:val="0563C1"/>
              </w:rPr>
            </w:pPr>
            <w:hyperlink w:anchor="page65">
              <w:r>
                <w:rPr>
                  <w:rFonts w:ascii="Arial" w:cs="Arial" w:eastAsia="Arial" w:hAnsi="Arial"/>
                  <w:sz w:val="18"/>
                  <w:szCs w:val="18"/>
                  <w:color w:val="0563C1"/>
                </w:rPr>
                <w:t>Exhibits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rFonts w:ascii="Arial" w:cs="Arial" w:eastAsia="Arial" w:hAnsi="Arial"/>
                <w:sz w:val="18"/>
                <w:szCs w:val="18"/>
                <w:color w:val="0563C1"/>
              </w:rPr>
            </w:pPr>
            <w:hyperlink w:anchor="page66">
              <w:r>
                <w:rPr>
                  <w:rFonts w:ascii="Arial" w:cs="Arial" w:eastAsia="Arial" w:hAnsi="Arial"/>
                  <w:sz w:val="18"/>
                  <w:szCs w:val="18"/>
                  <w:color w:val="0563C1"/>
                </w:rPr>
                <w:t>Signatures</w:t>
              </w:r>
            </w:hyperlink>
          </w:p>
        </w:tc>
        <w:tc>
          <w:tcPr>
            <w:tcW w:w="20" w:type="dxa"/>
            <w:vAlign w:val="bottom"/>
          </w:tcPr>
          <w:p>
            <w:pPr>
              <w:spacing w:after="0"/>
              <w:rPr>
                <w:sz w:val="19"/>
                <w:szCs w:val="19"/>
                <w:color w:val="auto"/>
              </w:rPr>
            </w:pPr>
          </w:p>
        </w:tc>
        <w:tc>
          <w:tcPr>
            <w:tcW w:w="58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ind w:right="200" w:firstLine="644"/>
        <w:spacing w:after="0" w:line="28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4" w:lineRule="exact"/>
        <w:rPr>
          <w:sz w:val="20"/>
          <w:szCs w:val="20"/>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265" w:lineRule="exact"/>
        <w:rPr>
          <w:rFonts w:ascii="Arial" w:cs="Arial" w:eastAsia="Arial" w:hAnsi="Arial"/>
          <w:sz w:val="18"/>
          <w:szCs w:val="18"/>
          <w:color w:val="auto"/>
        </w:rPr>
      </w:pPr>
    </w:p>
    <w:p>
      <w:pPr>
        <w:ind w:left="800" w:right="380" w:hanging="225"/>
        <w:spacing w:after="0" w:line="293"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96" w:lineRule="exact"/>
        <w:rPr>
          <w:rFonts w:ascii="Arial" w:cs="Arial" w:eastAsia="Arial" w:hAnsi="Arial"/>
          <w:sz w:val="18"/>
          <w:szCs w:val="18"/>
          <w:color w:val="auto"/>
        </w:rPr>
      </w:pPr>
    </w:p>
    <w:p>
      <w:pPr>
        <w:ind w:left="780" w:hanging="205"/>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265" w:lineRule="exact"/>
        <w:rPr>
          <w:rFonts w:ascii="Arial" w:cs="Arial" w:eastAsia="Arial" w:hAnsi="Arial"/>
          <w:sz w:val="18"/>
          <w:szCs w:val="18"/>
          <w:color w:val="auto"/>
        </w:rPr>
      </w:pPr>
    </w:p>
    <w:p>
      <w:pPr>
        <w:ind w:left="780" w:hanging="21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265" w:lineRule="exact"/>
        <w:rPr>
          <w:rFonts w:ascii="Arial" w:cs="Arial" w:eastAsia="Arial" w:hAnsi="Arial"/>
          <w:sz w:val="18"/>
          <w:szCs w:val="18"/>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265" w:lineRule="exact"/>
        <w:rPr>
          <w:rFonts w:ascii="Arial" w:cs="Arial" w:eastAsia="Arial" w:hAnsi="Arial"/>
          <w:sz w:val="18"/>
          <w:szCs w:val="18"/>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obtain, maintain, protect and enforce our intellectual property or other proprietary rights and any costs associated therewith;</w:t>
      </w:r>
    </w:p>
    <w:p>
      <w:pPr>
        <w:spacing w:after="0" w:line="277" w:lineRule="exact"/>
        <w:rPr>
          <w:rFonts w:ascii="Arial" w:cs="Arial" w:eastAsia="Arial" w:hAnsi="Arial"/>
          <w:sz w:val="17"/>
          <w:szCs w:val="17"/>
          <w:color w:val="auto"/>
        </w:rPr>
      </w:pPr>
    </w:p>
    <w:p>
      <w:pPr>
        <w:ind w:left="760" w:hanging="19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265" w:lineRule="exact"/>
        <w:rPr>
          <w:rFonts w:ascii="Arial" w:cs="Arial" w:eastAsia="Arial" w:hAnsi="Arial"/>
          <w:sz w:val="18"/>
          <w:szCs w:val="18"/>
          <w:color w:val="auto"/>
        </w:rPr>
      </w:pPr>
    </w:p>
    <w:p>
      <w:pPr>
        <w:ind w:left="800" w:hanging="225"/>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374" w:lineRule="exact"/>
        <w:rPr>
          <w:sz w:val="20"/>
          <w:szCs w:val="20"/>
          <w:color w:val="auto"/>
        </w:rPr>
      </w:pPr>
    </w:p>
    <w:p>
      <w:pPr>
        <w:ind w:right="20" w:firstLine="644"/>
        <w:spacing w:after="0" w:line="30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56" w:lineRule="exact"/>
        <w:rPr>
          <w:sz w:val="20"/>
          <w:szCs w:val="20"/>
          <w:color w:val="auto"/>
        </w:rPr>
      </w:pPr>
    </w:p>
    <w:p>
      <w:pPr>
        <w:ind w:firstLine="644"/>
        <w:spacing w:after="0" w:line="31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48" w:lineRule="exact"/>
        <w:rPr>
          <w:sz w:val="20"/>
          <w:szCs w:val="20"/>
          <w:color w:val="auto"/>
        </w:rPr>
      </w:pPr>
    </w:p>
    <w:p>
      <w:pPr>
        <w:ind w:right="20" w:firstLine="644"/>
        <w:spacing w:after="0" w:line="281" w:lineRule="auto"/>
        <w:rPr>
          <w:sz w:val="20"/>
          <w:szCs w:val="20"/>
          <w:color w:val="auto"/>
        </w:rPr>
      </w:pPr>
      <w:r>
        <w:rPr>
          <w:rFonts w:ascii="Arial" w:cs="Arial" w:eastAsia="Arial" w:hAnsi="Arial"/>
          <w:sz w:val="17"/>
          <w:szCs w:val="17"/>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00" w:type="dxa"/>
            <w:vAlign w:val="bottom"/>
          </w:tcPr>
          <w:p>
            <w:pPr>
              <w:jc w:val="center"/>
              <w:ind w:left="417"/>
              <w:spacing w:after="0"/>
              <w:rPr>
                <w:sz w:val="20"/>
                <w:szCs w:val="20"/>
                <w:color w:val="auto"/>
              </w:rPr>
            </w:pPr>
            <w:r>
              <w:rPr>
                <w:rFonts w:ascii="Arial" w:cs="Arial" w:eastAsia="Arial" w:hAnsi="Arial"/>
                <w:sz w:val="13"/>
                <w:szCs w:val="13"/>
                <w:b w:val="1"/>
                <w:bCs w:val="1"/>
                <w:color w:val="auto"/>
                <w:w w:val="88"/>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74"/>
        </w:trPr>
        <w:tc>
          <w:tcPr>
            <w:tcW w:w="7720" w:type="dxa"/>
            <w:vAlign w:val="bottom"/>
          </w:tcPr>
          <w:p>
            <w:pPr>
              <w:spacing w:after="0"/>
              <w:rPr>
                <w:sz w:val="15"/>
                <w:szCs w:val="15"/>
                <w:color w:val="auto"/>
              </w:rPr>
            </w:pPr>
          </w:p>
        </w:tc>
        <w:tc>
          <w:tcPr>
            <w:tcW w:w="1100" w:type="dxa"/>
            <w:vAlign w:val="bottom"/>
            <w:tcBorders>
              <w:bottom w:val="single" w:sz="8" w:color="auto"/>
            </w:tcBorders>
          </w:tcPr>
          <w:p>
            <w:pPr>
              <w:jc w:val="center"/>
              <w:ind w:left="417"/>
              <w:spacing w:after="0"/>
              <w:rPr>
                <w:sz w:val="20"/>
                <w:szCs w:val="20"/>
                <w:color w:val="auto"/>
              </w:rPr>
            </w:pPr>
            <w:r>
              <w:rPr>
                <w:rFonts w:ascii="Arial" w:cs="Arial" w:eastAsia="Arial" w:hAnsi="Arial"/>
                <w:sz w:val="13"/>
                <w:szCs w:val="13"/>
                <w:b w:val="1"/>
                <w:bCs w:val="1"/>
                <w:color w:val="auto"/>
                <w:w w:val="89"/>
              </w:rPr>
              <w:t>2021</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183"/>
        </w:trPr>
        <w:tc>
          <w:tcPr>
            <w:tcW w:w="7720" w:type="dxa"/>
            <w:vAlign w:val="bottom"/>
          </w:tcPr>
          <w:p>
            <w:pPr>
              <w:spacing w:after="0"/>
              <w:rPr>
                <w:sz w:val="15"/>
                <w:szCs w:val="15"/>
                <w:color w:val="auto"/>
              </w:rPr>
            </w:pPr>
          </w:p>
        </w:tc>
        <w:tc>
          <w:tcPr>
            <w:tcW w:w="1100" w:type="dxa"/>
            <w:vAlign w:val="bottom"/>
            <w:tcBorders>
              <w:bottom w:val="single" w:sz="8" w:color="auto"/>
            </w:tcBorders>
          </w:tcPr>
          <w:p>
            <w:pPr>
              <w:jc w:val="center"/>
              <w:ind w:left="417"/>
              <w:spacing w:after="0"/>
              <w:rPr>
                <w:sz w:val="20"/>
                <w:szCs w:val="20"/>
                <w:color w:val="auto"/>
              </w:rPr>
            </w:pPr>
            <w:r>
              <w:rPr>
                <w:rFonts w:ascii="Arial" w:cs="Arial" w:eastAsia="Arial" w:hAnsi="Arial"/>
                <w:sz w:val="13"/>
                <w:szCs w:val="13"/>
                <w:b w:val="1"/>
                <w:bCs w:val="1"/>
                <w:color w:val="auto"/>
                <w:w w:val="87"/>
              </w:rPr>
              <w:t>(unaudited)</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100" w:type="dxa"/>
            <w:vAlign w:val="bottom"/>
            <w:shd w:val="clear" w:color="auto" w:fill="CFF0FC"/>
          </w:tcPr>
          <w:p>
            <w:pPr>
              <w:jc w:val="right"/>
              <w:ind w:right="95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37,351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59,874</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Accounts receivable, less allowance for doubtful accounts of $0.6 million as of June 30, 2021 and December 31, 2020</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21,432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14,574</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Inventory</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2,294</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Prepaid expenses</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6,183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5"/>
                <w:szCs w:val="15"/>
                <w:color w:val="auto"/>
              </w:rPr>
            </w:pPr>
          </w:p>
        </w:tc>
      </w:tr>
      <w:tr>
        <w:trPr>
          <w:trHeight w:val="190"/>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assets</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26,462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81"/>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3"/>
                <w:szCs w:val="13"/>
                <w:b w:val="1"/>
                <w:bCs w:val="1"/>
                <w:color w:val="auto"/>
              </w:rPr>
              <w:t>Total current assets</w:t>
            </w:r>
          </w:p>
        </w:tc>
        <w:tc>
          <w:tcPr>
            <w:tcW w:w="1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92,931</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77,655</w:t>
            </w:r>
          </w:p>
        </w:tc>
        <w:tc>
          <w:tcPr>
            <w:tcW w:w="100" w:type="dxa"/>
            <w:vAlign w:val="bottom"/>
            <w:tcBorders>
              <w:top w:val="single" w:sz="8" w:color="CFF0FC"/>
            </w:tcBorders>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 net</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6,113</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Operating lease right-of-use assets</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1,922</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assets</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1,521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1,652</w:t>
            </w:r>
          </w:p>
        </w:tc>
        <w:tc>
          <w:tcPr>
            <w:tcW w:w="100" w:type="dxa"/>
            <w:vAlign w:val="bottom"/>
          </w:tcPr>
          <w:p>
            <w:pPr>
              <w:spacing w:after="0"/>
              <w:rPr>
                <w:sz w:val="15"/>
                <w:szCs w:val="15"/>
                <w:color w:val="auto"/>
              </w:rPr>
            </w:pPr>
          </w:p>
        </w:tc>
      </w:tr>
      <w:tr>
        <w:trPr>
          <w:trHeight w:val="190"/>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833</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20" w:type="dxa"/>
            <w:vAlign w:val="bottom"/>
          </w:tcPr>
          <w:p>
            <w:pPr>
              <w:ind w:left="380"/>
              <w:spacing w:after="0"/>
              <w:rPr>
                <w:sz w:val="20"/>
                <w:szCs w:val="20"/>
                <w:color w:val="auto"/>
              </w:rPr>
            </w:pPr>
            <w:r>
              <w:rPr>
                <w:rFonts w:ascii="Arial" w:cs="Arial" w:eastAsia="Arial" w:hAnsi="Arial"/>
                <w:sz w:val="13"/>
                <w:szCs w:val="13"/>
                <w:b w:val="1"/>
                <w:bCs w:val="1"/>
                <w:color w:val="auto"/>
              </w:rPr>
              <w:t>Total assets</w:t>
            </w:r>
          </w:p>
        </w:tc>
        <w:tc>
          <w:tcPr>
            <w:tcW w:w="110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105,483</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88,963</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100" w:type="dxa"/>
            <w:vAlign w:val="bottom"/>
            <w:shd w:val="clear" w:color="auto" w:fill="CFF0FC"/>
          </w:tcPr>
          <w:p>
            <w:pPr>
              <w:jc w:val="right"/>
              <w:ind w:right="95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13,138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5,640</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Accrued expenses</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39,200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13,606</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Contract liabilities</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Operating lease liabilities, current portion</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Finance lease liabilities, current portion</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7"/>
                <w:szCs w:val="17"/>
                <w:color w:val="auto"/>
              </w:rPr>
            </w:pPr>
          </w:p>
        </w:tc>
      </w:tr>
      <w:tr>
        <w:trPr>
          <w:trHeight w:val="183"/>
        </w:trPr>
        <w:tc>
          <w:tcPr>
            <w:tcW w:w="7720" w:type="dxa"/>
            <w:vAlign w:val="bottom"/>
          </w:tcPr>
          <w:p>
            <w:pPr>
              <w:ind w:left="200"/>
              <w:spacing w:after="0"/>
              <w:rPr>
                <w:sz w:val="20"/>
                <w:szCs w:val="20"/>
                <w:color w:val="auto"/>
              </w:rPr>
            </w:pPr>
            <w:r>
              <w:rPr>
                <w:rFonts w:ascii="Arial" w:cs="Arial" w:eastAsia="Arial" w:hAnsi="Arial"/>
                <w:sz w:val="13"/>
                <w:szCs w:val="13"/>
                <w:color w:val="auto"/>
              </w:rPr>
              <w:t>Short-term debt</w:t>
            </w: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15,864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15,753</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Total current liabilities</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73,382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38,381</w:t>
            </w:r>
          </w:p>
        </w:tc>
        <w:tc>
          <w:tcPr>
            <w:tcW w:w="100" w:type="dxa"/>
            <w:vAlign w:val="bottom"/>
            <w:shd w:val="clear" w:color="auto" w:fill="CFF0FC"/>
          </w:tcPr>
          <w:p>
            <w:pPr>
              <w:spacing w:after="0"/>
              <w:rPr>
                <w:sz w:val="16"/>
                <w:szCs w:val="16"/>
                <w:color w:val="auto"/>
              </w:rPr>
            </w:pPr>
          </w:p>
        </w:tc>
      </w:tr>
      <w:tr>
        <w:trPr>
          <w:trHeight w:val="183"/>
        </w:trPr>
        <w:tc>
          <w:tcPr>
            <w:tcW w:w="7720" w:type="dxa"/>
            <w:vAlign w:val="bottom"/>
          </w:tcPr>
          <w:p>
            <w:pPr>
              <w:ind w:left="200"/>
              <w:spacing w:after="0"/>
              <w:rPr>
                <w:sz w:val="20"/>
                <w:szCs w:val="20"/>
                <w:color w:val="auto"/>
              </w:rPr>
            </w:pPr>
            <w:r>
              <w:rPr>
                <w:rFonts w:ascii="Arial" w:cs="Arial" w:eastAsia="Arial" w:hAnsi="Arial"/>
                <w:sz w:val="13"/>
                <w:szCs w:val="13"/>
                <w:color w:val="auto"/>
              </w:rPr>
              <w:t>Operating lease liabilities, net of current portion</w:t>
            </w: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100" w:type="dxa"/>
            <w:vAlign w:val="bottom"/>
          </w:tcPr>
          <w:p>
            <w:pPr>
              <w:spacing w:after="0"/>
              <w:rPr>
                <w:sz w:val="15"/>
                <w:szCs w:val="15"/>
                <w:color w:val="auto"/>
              </w:rPr>
            </w:pPr>
          </w:p>
        </w:tc>
      </w:tr>
      <w:tr>
        <w:trPr>
          <w:trHeight w:val="18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b w:val="1"/>
                <w:bCs w:val="1"/>
                <w:color w:val="auto"/>
              </w:rPr>
              <w:t>Total liabilities</w:t>
            </w:r>
          </w:p>
        </w:tc>
        <w:tc>
          <w:tcPr>
            <w:tcW w:w="11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74,955</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39,499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Commitments and contingencies (Note 13)</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Convertible preferred stock</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3"/>
        </w:trPr>
        <w:tc>
          <w:tcPr>
            <w:tcW w:w="7720" w:type="dxa"/>
            <w:vAlign w:val="bottom"/>
          </w:tcPr>
          <w:p>
            <w:pPr>
              <w:ind w:left="200"/>
              <w:spacing w:after="0"/>
              <w:rPr>
                <w:sz w:val="20"/>
                <w:szCs w:val="20"/>
                <w:color w:val="auto"/>
              </w:rPr>
            </w:pPr>
            <w:r>
              <w:rPr>
                <w:rFonts w:ascii="Arial" w:cs="Arial" w:eastAsia="Arial" w:hAnsi="Arial"/>
                <w:sz w:val="13"/>
                <w:szCs w:val="13"/>
                <w:color w:val="auto"/>
              </w:rPr>
              <w:t>Convertible preferred stock- Seed-1, $0.000001 par value. 4,200,000 shares authorized, issued and</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7720" w:type="dxa"/>
            <w:vAlign w:val="bottom"/>
          </w:tcPr>
          <w:p>
            <w:pPr>
              <w:ind w:left="300"/>
              <w:spacing w:after="0"/>
              <w:rPr>
                <w:sz w:val="20"/>
                <w:szCs w:val="20"/>
                <w:color w:val="auto"/>
              </w:rPr>
            </w:pPr>
            <w:r>
              <w:rPr>
                <w:rFonts w:ascii="Arial" w:cs="Arial" w:eastAsia="Arial" w:hAnsi="Arial"/>
                <w:sz w:val="13"/>
                <w:szCs w:val="13"/>
                <w:color w:val="auto"/>
              </w:rPr>
              <w:t>outstanding as of June 30, 2021 and December 31, 2020</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4,200</w:t>
            </w:r>
          </w:p>
        </w:tc>
        <w:tc>
          <w:tcPr>
            <w:tcW w:w="100" w:type="dxa"/>
            <w:vAlign w:val="bottom"/>
          </w:tcPr>
          <w:p>
            <w:pPr>
              <w:spacing w:after="0"/>
              <w:rPr>
                <w:sz w:val="14"/>
                <w:szCs w:val="14"/>
                <w:color w:val="auto"/>
              </w:rPr>
            </w:pPr>
          </w:p>
        </w:tc>
      </w:tr>
      <w:tr>
        <w:trPr>
          <w:trHeight w:val="181"/>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Convertible preferred stock- Seed-2, $0.000001 par value. 2,188,322 shares authorized, issued and</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outstanding as of June 30, 2021 and December 31, 2020</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2,998</w:t>
            </w:r>
          </w:p>
        </w:tc>
        <w:tc>
          <w:tcPr>
            <w:tcW w:w="100" w:type="dxa"/>
            <w:vAlign w:val="bottom"/>
            <w:shd w:val="clear" w:color="auto" w:fill="CFF0FC"/>
          </w:tcPr>
          <w:p>
            <w:pPr>
              <w:spacing w:after="0"/>
              <w:rPr>
                <w:sz w:val="15"/>
                <w:szCs w:val="15"/>
                <w:color w:val="auto"/>
              </w:rPr>
            </w:pPr>
          </w:p>
        </w:tc>
      </w:tr>
      <w:tr>
        <w:trPr>
          <w:trHeight w:val="173"/>
        </w:trPr>
        <w:tc>
          <w:tcPr>
            <w:tcW w:w="7720" w:type="dxa"/>
            <w:vAlign w:val="bottom"/>
          </w:tcPr>
          <w:p>
            <w:pPr>
              <w:ind w:left="200"/>
              <w:spacing w:after="0"/>
              <w:rPr>
                <w:sz w:val="20"/>
                <w:szCs w:val="20"/>
                <w:color w:val="auto"/>
              </w:rPr>
            </w:pPr>
            <w:r>
              <w:rPr>
                <w:rFonts w:ascii="Arial" w:cs="Arial" w:eastAsia="Arial" w:hAnsi="Arial"/>
                <w:sz w:val="13"/>
                <w:szCs w:val="13"/>
                <w:color w:val="auto"/>
              </w:rPr>
              <w:t>Convertible preferred stock- Series A-1, $0.000001 par value. 4,211,094 shares authorized, issued and</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7720" w:type="dxa"/>
            <w:vAlign w:val="bottom"/>
          </w:tcPr>
          <w:p>
            <w:pPr>
              <w:ind w:left="300"/>
              <w:spacing w:after="0"/>
              <w:rPr>
                <w:sz w:val="20"/>
                <w:szCs w:val="20"/>
                <w:color w:val="auto"/>
              </w:rPr>
            </w:pPr>
            <w:r>
              <w:rPr>
                <w:rFonts w:ascii="Arial" w:cs="Arial" w:eastAsia="Arial" w:hAnsi="Arial"/>
                <w:sz w:val="13"/>
                <w:szCs w:val="13"/>
                <w:color w:val="auto"/>
              </w:rPr>
              <w:t>outstanding as of June 30, 2021 and December 31, 2020</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8,704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8,704</w:t>
            </w:r>
          </w:p>
        </w:tc>
        <w:tc>
          <w:tcPr>
            <w:tcW w:w="100" w:type="dxa"/>
            <w:vAlign w:val="bottom"/>
          </w:tcPr>
          <w:p>
            <w:pPr>
              <w:spacing w:after="0"/>
              <w:rPr>
                <w:sz w:val="14"/>
                <w:szCs w:val="14"/>
                <w:color w:val="auto"/>
              </w:rPr>
            </w:pPr>
          </w:p>
        </w:tc>
      </w:tr>
      <w:tr>
        <w:trPr>
          <w:trHeight w:val="181"/>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Convertible preferred stock- Series A-2, $0.000001 par value. 1,591,230 shares authorized, issued and</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outstanding as of June 30, 2021 and December 31, 2020</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12,839</w:t>
            </w:r>
          </w:p>
        </w:tc>
        <w:tc>
          <w:tcPr>
            <w:tcW w:w="100" w:type="dxa"/>
            <w:vAlign w:val="bottom"/>
            <w:shd w:val="clear" w:color="auto" w:fill="CFF0FC"/>
          </w:tcPr>
          <w:p>
            <w:pPr>
              <w:spacing w:after="0"/>
              <w:rPr>
                <w:sz w:val="15"/>
                <w:szCs w:val="15"/>
                <w:color w:val="auto"/>
              </w:rPr>
            </w:pPr>
          </w:p>
        </w:tc>
      </w:tr>
      <w:tr>
        <w:trPr>
          <w:trHeight w:val="173"/>
        </w:trPr>
        <w:tc>
          <w:tcPr>
            <w:tcW w:w="7720" w:type="dxa"/>
            <w:vAlign w:val="bottom"/>
          </w:tcPr>
          <w:p>
            <w:pPr>
              <w:ind w:left="200"/>
              <w:spacing w:after="0"/>
              <w:rPr>
                <w:sz w:val="20"/>
                <w:szCs w:val="20"/>
                <w:color w:val="auto"/>
              </w:rPr>
            </w:pPr>
            <w:r>
              <w:rPr>
                <w:rFonts w:ascii="Arial" w:cs="Arial" w:eastAsia="Arial" w:hAnsi="Arial"/>
                <w:sz w:val="13"/>
                <w:szCs w:val="13"/>
                <w:color w:val="auto"/>
              </w:rPr>
              <w:t>Convertible preferred stock- Series B, $0.000001 par value. 4,132,055 shares authorized</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7720" w:type="dxa"/>
            <w:vAlign w:val="bottom"/>
          </w:tcPr>
          <w:p>
            <w:pPr>
              <w:ind w:left="300"/>
              <w:spacing w:after="0"/>
              <w:rPr>
                <w:sz w:val="20"/>
                <w:szCs w:val="20"/>
                <w:color w:val="auto"/>
              </w:rPr>
            </w:pPr>
            <w:r>
              <w:rPr>
                <w:rFonts w:ascii="Arial" w:cs="Arial" w:eastAsia="Arial" w:hAnsi="Arial"/>
                <w:sz w:val="13"/>
                <w:szCs w:val="13"/>
                <w:color w:val="auto"/>
              </w:rPr>
              <w:t>and 4,044,271 issued and outstanding as of June 30, 2021 and December 31, 2020</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20,347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20,347</w:t>
            </w:r>
          </w:p>
        </w:tc>
        <w:tc>
          <w:tcPr>
            <w:tcW w:w="100" w:type="dxa"/>
            <w:vAlign w:val="bottom"/>
          </w:tcPr>
          <w:p>
            <w:pPr>
              <w:spacing w:after="0"/>
              <w:rPr>
                <w:sz w:val="14"/>
                <w:szCs w:val="14"/>
                <w:color w:val="auto"/>
              </w:rPr>
            </w:pPr>
          </w:p>
        </w:tc>
      </w:tr>
      <w:tr>
        <w:trPr>
          <w:trHeight w:val="181"/>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Convertible preferred stock- Series C, $0.000001 par value. 3,754,201 shares authorized, issued and</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outstanding as of June 30, 2021 and December 31, 2020</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26,004</w:t>
            </w:r>
          </w:p>
        </w:tc>
        <w:tc>
          <w:tcPr>
            <w:tcW w:w="100" w:type="dxa"/>
            <w:vAlign w:val="bottom"/>
            <w:shd w:val="clear" w:color="auto" w:fill="CFF0FC"/>
          </w:tcPr>
          <w:p>
            <w:pPr>
              <w:spacing w:after="0"/>
              <w:rPr>
                <w:sz w:val="15"/>
                <w:szCs w:val="15"/>
                <w:color w:val="auto"/>
              </w:rPr>
            </w:pPr>
          </w:p>
        </w:tc>
      </w:tr>
      <w:tr>
        <w:trPr>
          <w:trHeight w:val="173"/>
        </w:trPr>
        <w:tc>
          <w:tcPr>
            <w:tcW w:w="7720" w:type="dxa"/>
            <w:vAlign w:val="bottom"/>
          </w:tcPr>
          <w:p>
            <w:pPr>
              <w:ind w:left="200"/>
              <w:spacing w:after="0"/>
              <w:rPr>
                <w:sz w:val="20"/>
                <w:szCs w:val="20"/>
                <w:color w:val="auto"/>
              </w:rPr>
            </w:pPr>
            <w:r>
              <w:rPr>
                <w:rFonts w:ascii="Arial" w:cs="Arial" w:eastAsia="Arial" w:hAnsi="Arial"/>
                <w:sz w:val="13"/>
                <w:szCs w:val="13"/>
                <w:color w:val="auto"/>
                <w:w w:val="89"/>
              </w:rPr>
              <w:t>Convertible preferred stock- Series D, $0.000001 par value. 5,494,064 authorized, issued and outstanding as of June 30, 2021 and December 31,</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7720" w:type="dxa"/>
            <w:vAlign w:val="bottom"/>
          </w:tcPr>
          <w:p>
            <w:pPr>
              <w:ind w:left="200"/>
              <w:spacing w:after="0"/>
              <w:rPr>
                <w:sz w:val="20"/>
                <w:szCs w:val="20"/>
                <w:color w:val="auto"/>
              </w:rPr>
            </w:pPr>
            <w:r>
              <w:rPr>
                <w:rFonts w:ascii="Arial" w:cs="Arial" w:eastAsia="Arial" w:hAnsi="Arial"/>
                <w:sz w:val="13"/>
                <w:szCs w:val="13"/>
                <w:color w:val="auto"/>
              </w:rPr>
              <w:t>2020</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54,864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54,864</w:t>
            </w:r>
          </w:p>
        </w:tc>
        <w:tc>
          <w:tcPr>
            <w:tcW w:w="100" w:type="dxa"/>
            <w:vAlign w:val="bottom"/>
          </w:tcPr>
          <w:p>
            <w:pPr>
              <w:spacing w:after="0"/>
              <w:rPr>
                <w:sz w:val="14"/>
                <w:szCs w:val="14"/>
                <w:color w:val="auto"/>
              </w:rPr>
            </w:pPr>
          </w:p>
        </w:tc>
      </w:tr>
      <w:tr>
        <w:trPr>
          <w:trHeight w:val="181"/>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Convertible preferred stock- Series E, $0.000001 par value. 2,400,000 shares</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authorized and 2,275,759 shares issued and outstanding as of June 30, 2021 and December 31, 2020</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30,757</w:t>
            </w:r>
          </w:p>
        </w:tc>
        <w:tc>
          <w:tcPr>
            <w:tcW w:w="100" w:type="dxa"/>
            <w:vAlign w:val="bottom"/>
            <w:shd w:val="clear" w:color="auto" w:fill="CFF0FC"/>
          </w:tcPr>
          <w:p>
            <w:pPr>
              <w:spacing w:after="0"/>
              <w:rPr>
                <w:sz w:val="15"/>
                <w:szCs w:val="15"/>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Stockholders’ deficit</w:t>
            </w: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$0.000001 par value. Authorized 42,000,000; 8,665,797 and 7,755,782</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shares issued and outstanding as of June 30, 2021 and December 31, 2020</w:t>
            </w:r>
          </w:p>
        </w:tc>
        <w:tc>
          <w:tcPr>
            <w:tcW w:w="1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4,315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other comprehensive income</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Accumulated deficit</w:t>
            </w:r>
          </w:p>
        </w:tc>
        <w:tc>
          <w:tcPr>
            <w:tcW w:w="1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w w:val="87"/>
              </w:rPr>
              <w:t>(134,727 )</w:t>
            </w:r>
          </w:p>
        </w:tc>
        <w:tc>
          <w:tcPr>
            <w:tcW w:w="240" w:type="dxa"/>
            <w:vAlign w:val="bottom"/>
          </w:tcPr>
          <w:p>
            <w:pPr>
              <w:spacing w:after="0"/>
              <w:rPr>
                <w:sz w:val="15"/>
                <w:szCs w:val="15"/>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3"/>
                <w:szCs w:val="13"/>
                <w:color w:val="auto"/>
              </w:rPr>
              <w:t>(111,962 )</w:t>
            </w:r>
          </w:p>
        </w:tc>
      </w:tr>
      <w:tr>
        <w:trPr>
          <w:trHeight w:val="22"/>
        </w:trPr>
        <w:tc>
          <w:tcPr>
            <w:tcW w:w="7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b w:val="1"/>
                <w:bCs w:val="1"/>
                <w:color w:val="auto"/>
              </w:rPr>
              <w:t>Total stockholders’ deficit</w:t>
            </w:r>
          </w:p>
        </w:tc>
        <w:tc>
          <w:tcPr>
            <w:tcW w:w="1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87"/>
              </w:rPr>
              <w:t>(130,185 )</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(111,249 )</w:t>
            </w:r>
          </w:p>
        </w:tc>
      </w:tr>
      <w:tr>
        <w:trPr>
          <w:trHeight w:val="183"/>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3"/>
                <w:szCs w:val="13"/>
                <w:b w:val="1"/>
                <w:bCs w:val="1"/>
                <w:color w:val="auto"/>
              </w:rPr>
              <w:t>Total liabilities, convertible preferred stock and stockholders’ equity</w:t>
            </w:r>
          </w:p>
        </w:tc>
        <w:tc>
          <w:tcPr>
            <w:tcW w:w="110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105,483</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88,963</w:t>
            </w:r>
          </w:p>
        </w:tc>
        <w:tc>
          <w:tcPr>
            <w:tcW w:w="100" w:type="dxa"/>
            <w:vAlign w:val="bottom"/>
            <w:tcBorders>
              <w:top w:val="single" w:sz="8" w:color="CFF0FC"/>
            </w:tcBorders>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-5234305</wp:posOffset>
            </wp:positionV>
            <wp:extent cx="1797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-5234305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-4505325</wp:posOffset>
            </wp:positionV>
            <wp:extent cx="1797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-4505325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-3013710</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-3013710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-150495</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50,589</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16,422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43,559</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(11,801 )</w:t>
            </w: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(5,726 )</w:t>
            </w:r>
          </w:p>
        </w:tc>
        <w:tc>
          <w:tcPr>
            <w:tcW w:w="2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(21,849 )</w:t>
            </w: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(14,078 )</w:t>
            </w: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(350 )</w:t>
            </w: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(264 )</w:t>
            </w:r>
          </w:p>
        </w:tc>
        <w:tc>
          <w:tcPr>
            <w:tcW w:w="2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(681 )</w:t>
            </w: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(113 )</w:t>
            </w:r>
          </w:p>
        </w:tc>
        <w:tc>
          <w:tcPr>
            <w:tcW w:w="2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(129 )</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(235 )</w:t>
            </w: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(463 )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(393 )</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(916 )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(12,264 )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(6,119 )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(22,765 )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(14,726 )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6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 compute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8,390,088</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7,473,918</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8,158,753</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7,414,295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8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(12,264 )</w:t>
            </w:r>
          </w:p>
        </w:tc>
        <w:tc>
          <w:tcPr>
            <w:tcW w:w="2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(6,119 )</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(22,765 )</w:t>
            </w: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(14,726 )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(12,277 )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(6,097 )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(22,748 )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(14,753 )</w:t>
            </w: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-3545205</wp:posOffset>
            </wp:positionV>
            <wp:extent cx="1631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-3545205</wp:posOffset>
            </wp:positionV>
            <wp:extent cx="1631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-3545205</wp:posOffset>
            </wp:positionV>
            <wp:extent cx="1460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-3545205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-2885440</wp:posOffset>
            </wp:positionV>
            <wp:extent cx="1631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-2885440</wp:posOffset>
            </wp:positionV>
            <wp:extent cx="1631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-2885440</wp:posOffset>
            </wp:positionV>
            <wp:extent cx="146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-2885440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-1882140</wp:posOffset>
            </wp:positionV>
            <wp:extent cx="16319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-1882140</wp:posOffset>
            </wp:positionV>
            <wp:extent cx="16319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-1882140</wp:posOffset>
            </wp:positionV>
            <wp:extent cx="1460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-1882140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-1525270</wp:posOffset>
            </wp:positionV>
            <wp:extent cx="1631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-1508125</wp:posOffset>
            </wp:positionV>
            <wp:extent cx="163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-1525270</wp:posOffset>
            </wp:positionV>
            <wp:extent cx="163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-1508125</wp:posOffset>
            </wp:positionV>
            <wp:extent cx="163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-1525270</wp:posOffset>
            </wp:positionV>
            <wp:extent cx="146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-1508125</wp:posOffset>
            </wp:positionV>
            <wp:extent cx="146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-365125</wp:posOffset>
            </wp:positionV>
            <wp:extent cx="16319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-365125</wp:posOffset>
            </wp:positionV>
            <wp:extent cx="16319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-365125</wp:posOffset>
            </wp:positionV>
            <wp:extent cx="1460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163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163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63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63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1460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146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2021 and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0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rPr>
              <w:t>Convertible</w:t>
            </w:r>
          </w:p>
        </w:tc>
        <w:tc>
          <w:tcPr>
            <w:tcW w:w="40" w:type="dxa"/>
            <w:vAlign w:val="bottom"/>
          </w:tcPr>
          <w:p>
            <w:pPr>
              <w:spacing w:after="0"/>
              <w:rPr>
                <w:sz w:val="12"/>
                <w:szCs w:val="12"/>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Convertible</w:t>
            </w:r>
          </w:p>
        </w:tc>
        <w:tc>
          <w:tcPr>
            <w:tcW w:w="4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Convertible</w:t>
            </w:r>
          </w:p>
        </w:tc>
        <w:tc>
          <w:tcPr>
            <w:tcW w:w="2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tcPr>
          <w:p>
            <w:pPr>
              <w:spacing w:after="0"/>
              <w:rPr>
                <w:sz w:val="12"/>
                <w:szCs w:val="12"/>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1"/>
              </w:rPr>
              <w:t>Additiona</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2"/>
                <w:szCs w:val="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2"/>
                <w:szCs w:val="2"/>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2"/>
                <w:szCs w:val="2"/>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tcPr>
          <w:p>
            <w:pPr>
              <w:spacing w:after="0"/>
              <w:rPr>
                <w:sz w:val="2"/>
                <w:szCs w:val="2"/>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20" w:type="dxa"/>
            <w:vAlign w:val="bottom"/>
          </w:tcPr>
          <w:p>
            <w:pPr>
              <w:spacing w:after="0"/>
              <w:rPr>
                <w:sz w:val="2"/>
                <w:szCs w:val="2"/>
                <w:color w:val="auto"/>
              </w:rPr>
            </w:pPr>
          </w:p>
        </w:tc>
        <w:tc>
          <w:tcPr>
            <w:tcW w:w="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3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9"/>
                <w:szCs w:val="9"/>
                <w:b w:val="1"/>
                <w:bCs w:val="1"/>
                <w:color w:val="auto"/>
                <w:w w:val="77"/>
              </w:rPr>
              <w:t>l</w:t>
            </w:r>
          </w:p>
        </w:tc>
        <w:tc>
          <w:tcPr>
            <w:tcW w:w="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3"/>
              </w:rPr>
              <w:t>Seed-1</w:t>
            </w:r>
          </w:p>
        </w:tc>
        <w:tc>
          <w:tcPr>
            <w:tcW w:w="40" w:type="dxa"/>
            <w:vAlign w:val="bottom"/>
          </w:tcPr>
          <w:p>
            <w:pPr>
              <w:spacing w:after="0"/>
              <w:rPr>
                <w:sz w:val="9"/>
                <w:szCs w:val="9"/>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3"/>
              </w:rPr>
              <w:t>Seed-2</w:t>
            </w:r>
          </w:p>
        </w:tc>
        <w:tc>
          <w:tcPr>
            <w:tcW w:w="40" w:type="dxa"/>
            <w:vAlign w:val="bottom"/>
          </w:tcPr>
          <w:p>
            <w:pPr>
              <w:spacing w:after="0"/>
              <w:rPr>
                <w:sz w:val="9"/>
                <w:szCs w:val="9"/>
                <w:color w:val="auto"/>
              </w:rPr>
            </w:pPr>
          </w:p>
        </w:tc>
        <w:tc>
          <w:tcPr>
            <w:tcW w:w="800" w:type="dxa"/>
            <w:vAlign w:val="bottom"/>
            <w:gridSpan w:val="3"/>
            <w:vMerge w:val="restart"/>
          </w:tcPr>
          <w:p>
            <w:pPr>
              <w:jc w:val="right"/>
              <w:ind w:right="106"/>
              <w:spacing w:after="0"/>
              <w:rPr>
                <w:sz w:val="20"/>
                <w:szCs w:val="20"/>
                <w:color w:val="auto"/>
              </w:rPr>
            </w:pPr>
            <w:r>
              <w:rPr>
                <w:rFonts w:ascii="Arial" w:cs="Arial" w:eastAsia="Arial" w:hAnsi="Arial"/>
                <w:sz w:val="11"/>
                <w:szCs w:val="11"/>
                <w:b w:val="1"/>
                <w:bCs w:val="1"/>
                <w:color w:val="auto"/>
              </w:rPr>
              <w:t>Series A-1</w:t>
            </w:r>
          </w:p>
        </w:tc>
        <w:tc>
          <w:tcPr>
            <w:tcW w:w="40" w:type="dxa"/>
            <w:vAlign w:val="bottom"/>
          </w:tcPr>
          <w:p>
            <w:pPr>
              <w:spacing w:after="0"/>
              <w:rPr>
                <w:sz w:val="9"/>
                <w:szCs w:val="9"/>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A-2</w:t>
            </w:r>
          </w:p>
        </w:tc>
        <w:tc>
          <w:tcPr>
            <w:tcW w:w="40" w:type="dxa"/>
            <w:vAlign w:val="bottom"/>
          </w:tcPr>
          <w:p>
            <w:pPr>
              <w:spacing w:after="0"/>
              <w:rPr>
                <w:sz w:val="9"/>
                <w:szCs w:val="9"/>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1"/>
              </w:rPr>
              <w:t>Series B</w:t>
            </w:r>
          </w:p>
        </w:tc>
        <w:tc>
          <w:tcPr>
            <w:tcW w:w="40" w:type="dxa"/>
            <w:vAlign w:val="bottom"/>
          </w:tcPr>
          <w:p>
            <w:pPr>
              <w:spacing w:after="0"/>
              <w:rPr>
                <w:sz w:val="9"/>
                <w:szCs w:val="9"/>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Series C</w:t>
            </w:r>
          </w:p>
        </w:tc>
        <w:tc>
          <w:tcPr>
            <w:tcW w:w="20" w:type="dxa"/>
            <w:vAlign w:val="bottom"/>
          </w:tcPr>
          <w:p>
            <w:pPr>
              <w:spacing w:after="0"/>
              <w:rPr>
                <w:sz w:val="9"/>
                <w:szCs w:val="9"/>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Series D</w:t>
            </w:r>
          </w:p>
        </w:tc>
        <w:tc>
          <w:tcPr>
            <w:tcW w:w="20" w:type="dxa"/>
            <w:vAlign w:val="bottom"/>
          </w:tcPr>
          <w:p>
            <w:pPr>
              <w:spacing w:after="0"/>
              <w:rPr>
                <w:sz w:val="9"/>
                <w:szCs w:val="9"/>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Series E</w:t>
            </w:r>
          </w:p>
        </w:tc>
        <w:tc>
          <w:tcPr>
            <w:tcW w:w="780" w:type="dxa"/>
            <w:vAlign w:val="bottom"/>
            <w:gridSpan w:val="3"/>
            <w:vMerge w:val="restart"/>
          </w:tcPr>
          <w:p>
            <w:pPr>
              <w:jc w:val="right"/>
              <w:ind w:right="27"/>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89"/>
              </w:rPr>
              <w:t>Comprehensiv</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88"/>
              </w:rPr>
              <w:t>Stockholder</w:t>
            </w: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9"/>
                <w:szCs w:val="9"/>
                <w:b w:val="1"/>
                <w:bCs w:val="1"/>
                <w:color w:val="auto"/>
                <w:w w:val="93"/>
              </w:rPr>
              <w:t>Paid-In</w:t>
            </w:r>
          </w:p>
        </w:tc>
        <w:tc>
          <w:tcPr>
            <w:tcW w:w="2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78"/>
              </w:rPr>
              <w:t>e</w:t>
            </w:r>
          </w:p>
        </w:tc>
        <w:tc>
          <w:tcPr>
            <w:tcW w:w="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83"/>
              </w:rPr>
              <w:t>s'</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Amou</w:t>
            </w: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Amoun</w:t>
            </w: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Amoun</w:t>
            </w: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Amoun</w:t>
            </w: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Amoun</w:t>
            </w: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3"/>
                <w:szCs w:val="13"/>
                <w:color w:val="auto"/>
              </w:rPr>
            </w:pPr>
          </w:p>
        </w:tc>
        <w:tc>
          <w:tcPr>
            <w:tcW w:w="3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nt</w:t>
            </w:r>
          </w:p>
        </w:tc>
        <w:tc>
          <w:tcPr>
            <w:tcW w:w="40" w:type="dxa"/>
            <w:vAlign w:val="bottom"/>
          </w:tcPr>
          <w:p>
            <w:pPr>
              <w:spacing w:after="0"/>
              <w:rPr>
                <w:sz w:val="13"/>
                <w:szCs w:val="13"/>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Shares</w:t>
            </w: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t</w:t>
            </w: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9"/>
                <w:szCs w:val="9"/>
                <w:b w:val="1"/>
                <w:bCs w:val="1"/>
                <w:color w:val="auto"/>
              </w:rPr>
              <w:t>Shares</w:t>
            </w:r>
          </w:p>
        </w:tc>
        <w:tc>
          <w:tcPr>
            <w:tcW w:w="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Amount</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Capital</w:t>
            </w:r>
          </w:p>
        </w:tc>
        <w:tc>
          <w:tcPr>
            <w:tcW w:w="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Income (Loss)</w:t>
            </w:r>
          </w:p>
        </w:tc>
        <w:tc>
          <w:tcPr>
            <w:tcW w:w="20" w:type="dxa"/>
            <w:vAlign w:val="bottom"/>
          </w:tcPr>
          <w:p>
            <w:pPr>
              <w:spacing w:after="0"/>
              <w:rPr>
                <w:sz w:val="13"/>
                <w:szCs w:val="13"/>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Deficit</w:t>
            </w:r>
          </w:p>
        </w:tc>
        <w:tc>
          <w:tcPr>
            <w:tcW w:w="0" w:type="dxa"/>
            <w:vAlign w:val="bottom"/>
          </w:tcPr>
          <w:p>
            <w:pPr>
              <w:spacing w:after="0"/>
              <w:rPr>
                <w:sz w:val="1"/>
                <w:szCs w:val="1"/>
                <w:color w:val="auto"/>
              </w:rPr>
            </w:pPr>
          </w:p>
        </w:tc>
      </w:tr>
      <w:tr>
        <w:trPr>
          <w:trHeight w:val="139"/>
        </w:trPr>
        <w:tc>
          <w:tcPr>
            <w:tcW w:w="1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December 31,</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3"/>
              </w:rPr>
              <w:t>4,200,00</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2,188,32</w:t>
            </w: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1,591,23</w:t>
            </w: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4,044,2</w:t>
            </w:r>
          </w:p>
        </w:tc>
        <w:tc>
          <w:tcPr>
            <w:tcW w:w="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3,754,2</w:t>
            </w:r>
          </w:p>
        </w:tc>
        <w:tc>
          <w:tcPr>
            <w:tcW w:w="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5,494,0</w:t>
            </w: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2,275,7</w:t>
            </w:r>
          </w:p>
        </w:tc>
        <w:tc>
          <w:tcPr>
            <w:tcW w:w="2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7,755,7</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2020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$4,200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$2,998</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$8,704</w:t>
            </w:r>
          </w:p>
        </w:tc>
        <w:tc>
          <w:tcPr>
            <w:tcW w:w="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$12,839</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$20,347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$26,004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$54,864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59</w:t>
            </w:r>
          </w:p>
        </w:tc>
        <w:tc>
          <w:tcPr>
            <w:tcW w:w="460" w:type="dxa"/>
            <w:vAlign w:val="bottom"/>
            <w:tcBorders>
              <w:bottom w:val="single" w:sz="8" w:color="CFF0FC"/>
              <w:right w:val="single" w:sz="8" w:color="auto"/>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w w:val="95"/>
              </w:rPr>
              <w:t>$30,757</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82</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$503</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$(111,962)</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$(111,249)</w:t>
            </w:r>
          </w:p>
        </w:tc>
        <w:tc>
          <w:tcPr>
            <w:tcW w:w="0" w:type="dxa"/>
            <w:vAlign w:val="bottom"/>
          </w:tcPr>
          <w:p>
            <w:pPr>
              <w:spacing w:after="0"/>
              <w:rPr>
                <w:sz w:val="1"/>
                <w:szCs w:val="1"/>
                <w:color w:val="auto"/>
              </w:rPr>
            </w:pPr>
          </w:p>
        </w:tc>
      </w:tr>
      <w:tr>
        <w:trPr>
          <w:trHeight w:val="274"/>
        </w:trPr>
        <w:tc>
          <w:tcPr>
            <w:tcW w:w="1300" w:type="dxa"/>
            <w:vAlign w:val="bottom"/>
          </w:tcPr>
          <w:p>
            <w:pPr>
              <w:ind w:left="20"/>
              <w:spacing w:after="0"/>
              <w:rPr>
                <w:sz w:val="20"/>
                <w:szCs w:val="20"/>
                <w:color w:val="auto"/>
              </w:rPr>
            </w:pPr>
            <w:r>
              <w:rPr>
                <w:rFonts w:ascii="Arial" w:cs="Arial" w:eastAsia="Arial" w:hAnsi="Arial"/>
                <w:sz w:val="11"/>
                <w:szCs w:val="11"/>
                <w:color w:val="auto"/>
                <w:w w:val="98"/>
              </w:rPr>
              <w:t>Exercise of common stock</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20"/>
              <w:spacing w:after="0"/>
              <w:rPr>
                <w:sz w:val="20"/>
                <w:szCs w:val="20"/>
                <w:color w:val="auto"/>
              </w:rPr>
            </w:pPr>
            <w:r>
              <w:rPr>
                <w:rFonts w:ascii="Arial" w:cs="Arial" w:eastAsia="Arial" w:hAnsi="Arial"/>
                <w:sz w:val="11"/>
                <w:szCs w:val="11"/>
                <w:color w:val="auto"/>
              </w:rPr>
              <w:t>options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910,015</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1,332</w:t>
            </w: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1,332</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Stock based compensation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2,480</w:t>
            </w:r>
          </w:p>
        </w:tc>
        <w:tc>
          <w:tcPr>
            <w:tcW w:w="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2,480</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Foreign currency</w:t>
            </w: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translation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17</w:t>
            </w:r>
          </w:p>
        </w:tc>
        <w:tc>
          <w:tcPr>
            <w:tcW w:w="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414"/>
        </w:trPr>
        <w:tc>
          <w:tcPr>
            <w:tcW w:w="1300" w:type="dxa"/>
            <w:vAlign w:val="bottom"/>
          </w:tcPr>
          <w:p>
            <w:pPr>
              <w:ind w:left="160"/>
              <w:spacing w:after="0"/>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(22,765)</w:t>
            </w:r>
          </w:p>
        </w:tc>
        <w:tc>
          <w:tcPr>
            <w:tcW w:w="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(22,765)</w:t>
            </w:r>
          </w:p>
        </w:tc>
        <w:tc>
          <w:tcPr>
            <w:tcW w:w="0" w:type="dxa"/>
            <w:vAlign w:val="bottom"/>
          </w:tcPr>
          <w:p>
            <w:pPr>
              <w:spacing w:after="0"/>
              <w:rPr>
                <w:sz w:val="1"/>
                <w:szCs w:val="1"/>
                <w:color w:val="auto"/>
              </w:rPr>
            </w:pPr>
          </w:p>
        </w:tc>
      </w:tr>
      <w:tr>
        <w:trPr>
          <w:trHeight w:val="426"/>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comprehensive loss</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(22,748)</w:t>
            </w: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3"/>
              </w:rPr>
              <w:t>4,200,00</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7"/>
              </w:rPr>
              <w:t>2,188,32</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1,591,23</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4,044,2</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3,754,2</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5,494,0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2,275,7</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7"/>
              </w:rPr>
              <w:t>8,665,7</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vMerge w:val="restart"/>
          </w:tcPr>
          <w:p>
            <w:pPr>
              <w:ind w:left="20"/>
              <w:spacing w:after="0"/>
              <w:rPr>
                <w:sz w:val="20"/>
                <w:szCs w:val="20"/>
                <w:color w:val="auto"/>
              </w:rPr>
            </w:pPr>
            <w:r>
              <w:rPr>
                <w:rFonts w:ascii="Arial" w:cs="Arial" w:eastAsia="Arial" w:hAnsi="Arial"/>
                <w:sz w:val="11"/>
                <w:szCs w:val="11"/>
                <w:color w:val="auto"/>
              </w:rPr>
              <w:t>Balance, June 30, 2021</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$4,200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$2,998</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$8,704</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$12,839</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71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$20,347</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$26,004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$54,864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59</w:t>
            </w:r>
          </w:p>
        </w:tc>
        <w:tc>
          <w:tcPr>
            <w:tcW w:w="460" w:type="dxa"/>
            <w:vAlign w:val="bottom"/>
            <w:gridSpan w:val="2"/>
          </w:tcPr>
          <w:p>
            <w:pPr>
              <w:jc w:val="right"/>
              <w:ind w:right="6"/>
              <w:spacing w:after="0"/>
              <w:rPr>
                <w:sz w:val="20"/>
                <w:szCs w:val="20"/>
                <w:color w:val="auto"/>
              </w:rPr>
            </w:pPr>
            <w:r>
              <w:rPr>
                <w:rFonts w:ascii="Arial" w:cs="Arial" w:eastAsia="Arial" w:hAnsi="Arial"/>
                <w:sz w:val="11"/>
                <w:szCs w:val="11"/>
                <w:color w:val="auto"/>
                <w:w w:val="95"/>
              </w:rPr>
              <w:t>$30,757</w:t>
            </w:r>
          </w:p>
        </w:tc>
        <w:tc>
          <w:tcPr>
            <w:tcW w:w="400" w:type="dxa"/>
            <w:vAlign w:val="bottom"/>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$4,315</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$227</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$(134,727)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3"/>
              </w:rPr>
              <w:t>$(130,185)</w:t>
            </w:r>
          </w:p>
        </w:tc>
        <w:tc>
          <w:tcPr>
            <w:tcW w:w="0" w:type="dxa"/>
            <w:vAlign w:val="bottom"/>
          </w:tcPr>
          <w:p>
            <w:pPr>
              <w:spacing w:after="0"/>
              <w:rPr>
                <w:sz w:val="1"/>
                <w:szCs w:val="1"/>
                <w:color w:val="auto"/>
              </w:rPr>
            </w:pPr>
          </w:p>
        </w:tc>
      </w:tr>
      <w:tr>
        <w:trPr>
          <w:trHeight w:val="22"/>
        </w:trPr>
        <w:tc>
          <w:tcPr>
            <w:tcW w:w="13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December 31,</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3"/>
              </w:rPr>
              <w:t>4,200,00</w:t>
            </w: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2,188,32</w:t>
            </w: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1,591,23</w:t>
            </w: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4,044,2</w:t>
            </w: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3,754,2</w:t>
            </w: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5,494,0</w:t>
            </w: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7,289,5</w:t>
            </w: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2019</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$4,200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$2,998</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$8,704</w:t>
            </w:r>
          </w:p>
        </w:tc>
        <w:tc>
          <w:tcPr>
            <w:tcW w:w="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$6,957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$18,612</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$24,756</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$54,929</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$4,512</w:t>
            </w:r>
          </w:p>
        </w:tc>
        <w:tc>
          <w:tcPr>
            <w:tcW w:w="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$(77,609)</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$(73,097)</w:t>
            </w:r>
          </w:p>
        </w:tc>
        <w:tc>
          <w:tcPr>
            <w:tcW w:w="0" w:type="dxa"/>
            <w:vAlign w:val="bottom"/>
          </w:tcPr>
          <w:p>
            <w:pPr>
              <w:spacing w:after="0"/>
              <w:rPr>
                <w:sz w:val="1"/>
                <w:szCs w:val="1"/>
                <w:color w:val="auto"/>
              </w:rPr>
            </w:pPr>
          </w:p>
        </w:tc>
      </w:tr>
      <w:tr>
        <w:trPr>
          <w:trHeight w:val="274"/>
        </w:trPr>
        <w:tc>
          <w:tcPr>
            <w:tcW w:w="1300" w:type="dxa"/>
            <w:vAlign w:val="bottom"/>
          </w:tcPr>
          <w:p>
            <w:pPr>
              <w:ind w:left="20"/>
              <w:spacing w:after="0"/>
              <w:rPr>
                <w:sz w:val="20"/>
                <w:szCs w:val="20"/>
                <w:color w:val="auto"/>
              </w:rPr>
            </w:pPr>
            <w:r>
              <w:rPr>
                <w:rFonts w:ascii="Arial" w:cs="Arial" w:eastAsia="Arial" w:hAnsi="Arial"/>
                <w:sz w:val="11"/>
                <w:szCs w:val="11"/>
                <w:color w:val="auto"/>
                <w:w w:val="98"/>
              </w:rPr>
              <w:t>Exercise of common stock</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20"/>
              <w:spacing w:after="0"/>
              <w:rPr>
                <w:sz w:val="20"/>
                <w:szCs w:val="20"/>
                <w:color w:val="auto"/>
              </w:rPr>
            </w:pPr>
            <w:r>
              <w:rPr>
                <w:rFonts w:ascii="Arial" w:cs="Arial" w:eastAsia="Arial" w:hAnsi="Arial"/>
                <w:sz w:val="11"/>
                <w:szCs w:val="11"/>
                <w:color w:val="auto"/>
              </w:rPr>
              <w:t>options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201,627</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163</w:t>
            </w: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Stock based compensation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386</w:t>
            </w:r>
          </w:p>
        </w:tc>
        <w:tc>
          <w:tcPr>
            <w:tcW w:w="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386</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Foreign currency</w:t>
            </w: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translation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(27)</w:t>
            </w:r>
          </w:p>
        </w:tc>
        <w:tc>
          <w:tcPr>
            <w:tcW w:w="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414"/>
        </w:trPr>
        <w:tc>
          <w:tcPr>
            <w:tcW w:w="1300" w:type="dxa"/>
            <w:vAlign w:val="bottom"/>
          </w:tcPr>
          <w:p>
            <w:pPr>
              <w:ind w:left="160"/>
              <w:spacing w:after="0"/>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(14,726)</w:t>
            </w:r>
          </w:p>
        </w:tc>
        <w:tc>
          <w:tcPr>
            <w:tcW w:w="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(14,726)</w:t>
            </w:r>
          </w:p>
        </w:tc>
        <w:tc>
          <w:tcPr>
            <w:tcW w:w="0" w:type="dxa"/>
            <w:vAlign w:val="bottom"/>
          </w:tcPr>
          <w:p>
            <w:pPr>
              <w:spacing w:after="0"/>
              <w:rPr>
                <w:sz w:val="1"/>
                <w:szCs w:val="1"/>
                <w:color w:val="auto"/>
              </w:rPr>
            </w:pPr>
          </w:p>
        </w:tc>
      </w:tr>
      <w:tr>
        <w:trPr>
          <w:trHeight w:val="155"/>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comprehensive loss</w:t>
            </w: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right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(14,753)</w:t>
            </w:r>
          </w:p>
        </w:tc>
        <w:tc>
          <w:tcPr>
            <w:tcW w:w="0" w:type="dxa"/>
            <w:vAlign w:val="bottom"/>
          </w:tcPr>
          <w:p>
            <w:pPr>
              <w:spacing w:after="0"/>
              <w:rPr>
                <w:sz w:val="1"/>
                <w:szCs w:val="1"/>
                <w:color w:val="auto"/>
              </w:rPr>
            </w:pPr>
          </w:p>
        </w:tc>
      </w:tr>
      <w:tr>
        <w:trPr>
          <w:trHeight w:val="272"/>
        </w:trPr>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3"/>
              </w:rPr>
              <w:t>4,200,00</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7"/>
              </w:rPr>
              <w:t>2,188,32</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1,591,23</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4,044,2</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3,754,2</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5,494,0</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7"/>
              </w:rPr>
              <w:t>7,491,1</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vMerge w:val="restart"/>
          </w:tcPr>
          <w:p>
            <w:pPr>
              <w:ind w:left="20"/>
              <w:spacing w:after="0"/>
              <w:rPr>
                <w:sz w:val="20"/>
                <w:szCs w:val="20"/>
                <w:color w:val="auto"/>
              </w:rPr>
            </w:pPr>
            <w:r>
              <w:rPr>
                <w:rFonts w:ascii="Arial" w:cs="Arial" w:eastAsia="Arial" w:hAnsi="Arial"/>
                <w:sz w:val="11"/>
                <w:szCs w:val="11"/>
                <w:color w:val="auto"/>
              </w:rPr>
              <w:t>Balance, June 30, 2020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$4,200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$2,998</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$8,704</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$6,957</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71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$18,612</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$24,756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$54,929</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98</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$5,061</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$(27)</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$(92,335)</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$(87,301)</w:t>
            </w:r>
          </w:p>
        </w:tc>
        <w:tc>
          <w:tcPr>
            <w:tcW w:w="0" w:type="dxa"/>
            <w:vAlign w:val="bottom"/>
          </w:tcPr>
          <w:p>
            <w:pPr>
              <w:spacing w:after="0"/>
              <w:rPr>
                <w:sz w:val="1"/>
                <w:szCs w:val="1"/>
                <w:color w:val="auto"/>
              </w:rPr>
            </w:pPr>
          </w:p>
        </w:tc>
      </w:tr>
      <w:tr>
        <w:trPr>
          <w:trHeight w:val="22"/>
        </w:trPr>
        <w:tc>
          <w:tcPr>
            <w:tcW w:w="13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-4237990</wp:posOffset>
            </wp:positionV>
            <wp:extent cx="34290" cy="376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765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-2207895</wp:posOffset>
            </wp:positionV>
            <wp:extent cx="260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-2207895</wp:posOffset>
            </wp:positionV>
            <wp:extent cx="260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-2207895</wp:posOffset>
            </wp:positionV>
            <wp:extent cx="260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-2207895</wp:posOffset>
            </wp:positionV>
            <wp:extent cx="260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-2207895</wp:posOffset>
            </wp:positionV>
            <wp:extent cx="254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-2207895</wp:posOffset>
            </wp:positionV>
            <wp:extent cx="260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-2207895</wp:posOffset>
            </wp:positionV>
            <wp:extent cx="254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-2207895</wp:posOffset>
            </wp:positionV>
            <wp:extent cx="1714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-2207895</wp:posOffset>
            </wp:positionV>
            <wp:extent cx="1714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-2207895</wp:posOffset>
            </wp:positionV>
            <wp:extent cx="1714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-2207895</wp:posOffset>
            </wp:positionV>
            <wp:extent cx="1714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-2207895</wp:posOffset>
            </wp:positionV>
            <wp:extent cx="1714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-2207895</wp:posOffset>
            </wp:positionV>
            <wp:extent cx="1714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-2207895</wp:posOffset>
            </wp:positionV>
            <wp:extent cx="1714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-2207895</wp:posOffset>
            </wp:positionV>
            <wp:extent cx="1714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-2207895</wp:posOffset>
            </wp:positionV>
            <wp:extent cx="1714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-2207895</wp:posOffset>
            </wp:positionV>
            <wp:extent cx="1714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-2207895</wp:posOffset>
            </wp:positionV>
            <wp:extent cx="1714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-2207895</wp:posOffset>
            </wp:positionV>
            <wp:extent cx="1714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-2207895</wp:posOffset>
            </wp:positionV>
            <wp:extent cx="1714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5212715</wp:posOffset>
            </wp:positionH>
            <wp:positionV relativeFrom="paragraph">
              <wp:posOffset>-2498090</wp:posOffset>
            </wp:positionV>
            <wp:extent cx="34290" cy="522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226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-304800</wp:posOffset>
            </wp:positionV>
            <wp:extent cx="260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-304800</wp:posOffset>
            </wp:positionV>
            <wp:extent cx="260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-304800</wp:posOffset>
            </wp:positionV>
            <wp:extent cx="260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-304800</wp:posOffset>
            </wp:positionV>
            <wp:extent cx="260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-304800</wp:posOffset>
            </wp:positionV>
            <wp:extent cx="254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-304800</wp:posOffset>
            </wp:positionV>
            <wp:extent cx="260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-304800</wp:posOffset>
            </wp:positionV>
            <wp:extent cx="254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-304800</wp:posOffset>
            </wp:positionV>
            <wp:extent cx="1714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-304800</wp:posOffset>
            </wp:positionV>
            <wp:extent cx="1714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-304800</wp:posOffset>
            </wp:positionV>
            <wp:extent cx="1714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-304800</wp:posOffset>
            </wp:positionV>
            <wp:extent cx="1714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-304800</wp:posOffset>
            </wp:positionV>
            <wp:extent cx="1714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-304800</wp:posOffset>
            </wp:positionV>
            <wp:extent cx="1714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-304800</wp:posOffset>
            </wp:positionV>
            <wp:extent cx="1714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-304800</wp:posOffset>
            </wp:positionV>
            <wp:extent cx="1714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-304800</wp:posOffset>
            </wp:positionV>
            <wp:extent cx="1714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-304800</wp:posOffset>
            </wp:positionV>
            <wp:extent cx="1714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-304800</wp:posOffset>
            </wp:positionV>
            <wp:extent cx="1714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-304800</wp:posOffset>
            </wp:positionV>
            <wp:extent cx="1714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-304800</wp:posOffset>
            </wp:positionV>
            <wp:extent cx="1714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5212715</wp:posOffset>
            </wp:positionH>
            <wp:positionV relativeFrom="paragraph">
              <wp:posOffset>-423545</wp:posOffset>
            </wp:positionV>
            <wp:extent cx="34290" cy="436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368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June 30, 2021 and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9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4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Convertible</w:t>
            </w:r>
          </w:p>
        </w:tc>
        <w:tc>
          <w:tcPr>
            <w:tcW w:w="2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tcPr>
          <w:p>
            <w:pPr>
              <w:spacing w:after="0"/>
              <w:rPr>
                <w:sz w:val="12"/>
                <w:szCs w:val="12"/>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1"/>
              </w:rPr>
              <w:t>Additiona</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2"/>
                <w:szCs w:val="2"/>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40" w:type="dxa"/>
            <w:vAlign w:val="bottom"/>
          </w:tcPr>
          <w:p>
            <w:pPr>
              <w:spacing w:after="0"/>
              <w:rPr>
                <w:sz w:val="2"/>
                <w:szCs w:val="2"/>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tcPr>
          <w:p>
            <w:pPr>
              <w:spacing w:after="0"/>
              <w:rPr>
                <w:sz w:val="2"/>
                <w:szCs w:val="2"/>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20" w:type="dxa"/>
            <w:vAlign w:val="bottom"/>
          </w:tcPr>
          <w:p>
            <w:pPr>
              <w:spacing w:after="0"/>
              <w:rPr>
                <w:sz w:val="2"/>
                <w:szCs w:val="2"/>
                <w:color w:val="auto"/>
              </w:rPr>
            </w:pPr>
          </w:p>
        </w:tc>
        <w:tc>
          <w:tcPr>
            <w:tcW w:w="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3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9"/>
                <w:szCs w:val="9"/>
                <w:b w:val="1"/>
                <w:bCs w:val="1"/>
                <w:color w:val="auto"/>
                <w:w w:val="77"/>
              </w:rPr>
              <w:t>l</w:t>
            </w:r>
          </w:p>
        </w:tc>
        <w:tc>
          <w:tcPr>
            <w:tcW w:w="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3"/>
              </w:rPr>
              <w:t>Seed-1</w:t>
            </w:r>
          </w:p>
        </w:tc>
        <w:tc>
          <w:tcPr>
            <w:tcW w:w="40" w:type="dxa"/>
            <w:vAlign w:val="bottom"/>
          </w:tcPr>
          <w:p>
            <w:pPr>
              <w:spacing w:after="0"/>
              <w:rPr>
                <w:sz w:val="9"/>
                <w:szCs w:val="9"/>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3"/>
              </w:rPr>
              <w:t>Seed-2</w:t>
            </w:r>
          </w:p>
        </w:tc>
        <w:tc>
          <w:tcPr>
            <w:tcW w:w="40" w:type="dxa"/>
            <w:vAlign w:val="bottom"/>
          </w:tcPr>
          <w:p>
            <w:pPr>
              <w:spacing w:after="0"/>
              <w:rPr>
                <w:sz w:val="9"/>
                <w:szCs w:val="9"/>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A-1</w:t>
            </w:r>
          </w:p>
        </w:tc>
        <w:tc>
          <w:tcPr>
            <w:tcW w:w="40" w:type="dxa"/>
            <w:vAlign w:val="bottom"/>
          </w:tcPr>
          <w:p>
            <w:pPr>
              <w:spacing w:after="0"/>
              <w:rPr>
                <w:sz w:val="9"/>
                <w:szCs w:val="9"/>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A-2</w:t>
            </w:r>
          </w:p>
        </w:tc>
        <w:tc>
          <w:tcPr>
            <w:tcW w:w="40" w:type="dxa"/>
            <w:vAlign w:val="bottom"/>
          </w:tcPr>
          <w:p>
            <w:pPr>
              <w:spacing w:after="0"/>
              <w:rPr>
                <w:sz w:val="9"/>
                <w:szCs w:val="9"/>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Series B</w:t>
            </w:r>
          </w:p>
        </w:tc>
        <w:tc>
          <w:tcPr>
            <w:tcW w:w="40" w:type="dxa"/>
            <w:vAlign w:val="bottom"/>
          </w:tcPr>
          <w:p>
            <w:pPr>
              <w:spacing w:after="0"/>
              <w:rPr>
                <w:sz w:val="9"/>
                <w:szCs w:val="9"/>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Series C</w:t>
            </w:r>
          </w:p>
        </w:tc>
        <w:tc>
          <w:tcPr>
            <w:tcW w:w="20" w:type="dxa"/>
            <w:vAlign w:val="bottom"/>
          </w:tcPr>
          <w:p>
            <w:pPr>
              <w:spacing w:after="0"/>
              <w:rPr>
                <w:sz w:val="9"/>
                <w:szCs w:val="9"/>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Series D</w:t>
            </w:r>
          </w:p>
        </w:tc>
        <w:tc>
          <w:tcPr>
            <w:tcW w:w="20" w:type="dxa"/>
            <w:vAlign w:val="bottom"/>
          </w:tcPr>
          <w:p>
            <w:pPr>
              <w:spacing w:after="0"/>
              <w:rPr>
                <w:sz w:val="9"/>
                <w:szCs w:val="9"/>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Series E</w:t>
            </w:r>
          </w:p>
        </w:tc>
        <w:tc>
          <w:tcPr>
            <w:tcW w:w="20" w:type="dxa"/>
            <w:vAlign w:val="bottom"/>
          </w:tcPr>
          <w:p>
            <w:pPr>
              <w:spacing w:after="0"/>
              <w:rPr>
                <w:sz w:val="9"/>
                <w:szCs w:val="9"/>
                <w:color w:val="auto"/>
              </w:rPr>
            </w:pPr>
          </w:p>
        </w:tc>
        <w:tc>
          <w:tcPr>
            <w:tcW w:w="760" w:type="dxa"/>
            <w:vAlign w:val="bottom"/>
            <w:gridSpan w:val="3"/>
            <w:vMerge w:val="restart"/>
          </w:tcPr>
          <w:p>
            <w:pPr>
              <w:jc w:val="right"/>
              <w:ind w:right="27"/>
              <w:spacing w:after="0"/>
              <w:rPr>
                <w:sz w:val="20"/>
                <w:szCs w:val="20"/>
                <w:color w:val="auto"/>
              </w:rPr>
            </w:pPr>
            <w:r>
              <w:rPr>
                <w:rFonts w:ascii="Arial" w:cs="Arial" w:eastAsia="Arial" w:hAnsi="Arial"/>
                <w:sz w:val="9"/>
                <w:szCs w:val="9"/>
                <w:b w:val="1"/>
                <w:bCs w:val="1"/>
                <w:color w:val="auto"/>
                <w:w w:val="99"/>
              </w:rPr>
              <w:t>Common Stock</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89"/>
              </w:rPr>
              <w:t>Comprehensiv</w:t>
            </w:r>
          </w:p>
        </w:tc>
        <w:tc>
          <w:tcPr>
            <w:tcW w:w="2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0"/>
              </w:rPr>
              <w:t>Accumulate</w:t>
            </w:r>
          </w:p>
        </w:tc>
        <w:tc>
          <w:tcPr>
            <w:tcW w:w="2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88"/>
              </w:rPr>
              <w:t>Stockholder</w:t>
            </w: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9"/>
                <w:szCs w:val="9"/>
                <w:b w:val="1"/>
                <w:bCs w:val="1"/>
                <w:color w:val="auto"/>
                <w:w w:val="93"/>
              </w:rPr>
              <w:t>Paid-In</w:t>
            </w:r>
          </w:p>
        </w:tc>
        <w:tc>
          <w:tcPr>
            <w:tcW w:w="2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78"/>
              </w:rPr>
              <w:t>e</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71"/>
              </w:rPr>
              <w:t>d</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83"/>
              </w:rPr>
              <w:t>s'</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Amoun</w:t>
            </w: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Amoun</w:t>
            </w: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Amoun</w:t>
            </w: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Amoun</w:t>
            </w:r>
          </w:p>
        </w:tc>
        <w:tc>
          <w:tcPr>
            <w:tcW w:w="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Shares</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t</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Shares</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t</w:t>
            </w:r>
          </w:p>
        </w:tc>
        <w:tc>
          <w:tcPr>
            <w:tcW w:w="20" w:type="dxa"/>
            <w:vAlign w:val="bottom"/>
          </w:tcPr>
          <w:p>
            <w:pPr>
              <w:spacing w:after="0"/>
              <w:rPr>
                <w:sz w:val="13"/>
                <w:szCs w:val="13"/>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9"/>
              </w:rPr>
              <w:t>Shares</w:t>
            </w:r>
          </w:p>
        </w:tc>
        <w:tc>
          <w:tcPr>
            <w:tcW w:w="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Amount</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Capital</w:t>
            </w:r>
          </w:p>
        </w:tc>
        <w:tc>
          <w:tcPr>
            <w:tcW w:w="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Income (Loss)</w:t>
            </w:r>
          </w:p>
        </w:tc>
        <w:tc>
          <w:tcPr>
            <w:tcW w:w="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Deficit</w:t>
            </w:r>
          </w:p>
        </w:tc>
        <w:tc>
          <w:tcPr>
            <w:tcW w:w="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Deficit</w:t>
            </w:r>
          </w:p>
        </w:tc>
        <w:tc>
          <w:tcPr>
            <w:tcW w:w="0" w:type="dxa"/>
            <w:vAlign w:val="bottom"/>
          </w:tcPr>
          <w:p>
            <w:pPr>
              <w:spacing w:after="0"/>
              <w:rPr>
                <w:sz w:val="1"/>
                <w:szCs w:val="1"/>
                <w:color w:val="auto"/>
              </w:rPr>
            </w:pPr>
          </w:p>
        </w:tc>
      </w:tr>
      <w:tr>
        <w:trPr>
          <w:trHeight w:val="139"/>
        </w:trPr>
        <w:tc>
          <w:tcPr>
            <w:tcW w:w="13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8"/>
              </w:rPr>
              <w:t>4,200,00</w:t>
            </w: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1,591,23</w:t>
            </w: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4,044,27</w:t>
            </w:r>
          </w:p>
        </w:tc>
        <w:tc>
          <w:tcPr>
            <w:tcW w:w="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3,754,2</w:t>
            </w:r>
          </w:p>
        </w:tc>
        <w:tc>
          <w:tcPr>
            <w:tcW w:w="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5,494,0</w:t>
            </w: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2,275,7</w:t>
            </w:r>
          </w:p>
        </w:tc>
        <w:tc>
          <w:tcPr>
            <w:tcW w:w="2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8,239,4</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March 31, 2021</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$4,200</w:t>
            </w: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2,188,322</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$2,998</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$8,704</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$12,839</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$20,347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$26,004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$54,864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59</w:t>
            </w:r>
          </w:p>
        </w:tc>
        <w:tc>
          <w:tcPr>
            <w:tcW w:w="460" w:type="dxa"/>
            <w:vAlign w:val="bottom"/>
            <w:tcBorders>
              <w:bottom w:val="single" w:sz="8" w:color="CFF0FC"/>
              <w:right w:val="single" w:sz="8" w:color="auto"/>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w w:val="95"/>
              </w:rPr>
              <w:t>$30,757</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$1,854</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$240</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$(122,463)</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$(120,369)</w:t>
            </w:r>
          </w:p>
        </w:tc>
        <w:tc>
          <w:tcPr>
            <w:tcW w:w="0" w:type="dxa"/>
            <w:vAlign w:val="bottom"/>
          </w:tcPr>
          <w:p>
            <w:pPr>
              <w:spacing w:after="0"/>
              <w:rPr>
                <w:sz w:val="1"/>
                <w:szCs w:val="1"/>
                <w:color w:val="auto"/>
              </w:rPr>
            </w:pPr>
          </w:p>
        </w:tc>
      </w:tr>
      <w:tr>
        <w:trPr>
          <w:trHeight w:val="274"/>
        </w:trPr>
        <w:tc>
          <w:tcPr>
            <w:tcW w:w="1300" w:type="dxa"/>
            <w:vAlign w:val="bottom"/>
          </w:tcPr>
          <w:p>
            <w:pPr>
              <w:ind w:left="20"/>
              <w:spacing w:after="0"/>
              <w:rPr>
                <w:sz w:val="20"/>
                <w:szCs w:val="20"/>
                <w:color w:val="auto"/>
              </w:rPr>
            </w:pPr>
            <w:r>
              <w:rPr>
                <w:rFonts w:ascii="Arial" w:cs="Arial" w:eastAsia="Arial" w:hAnsi="Arial"/>
                <w:sz w:val="11"/>
                <w:szCs w:val="11"/>
                <w:color w:val="auto"/>
                <w:w w:val="98"/>
              </w:rPr>
              <w:t>Exercise of common stock</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20"/>
              <w:spacing w:after="0"/>
              <w:rPr>
                <w:sz w:val="20"/>
                <w:szCs w:val="20"/>
                <w:color w:val="auto"/>
              </w:rPr>
            </w:pPr>
            <w:r>
              <w:rPr>
                <w:rFonts w:ascii="Arial" w:cs="Arial" w:eastAsia="Arial" w:hAnsi="Arial"/>
                <w:sz w:val="11"/>
                <w:szCs w:val="11"/>
                <w:color w:val="auto"/>
              </w:rPr>
              <w:t>options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0"/>
              </w:rPr>
              <w:t>426,303</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486</w:t>
            </w: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486</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Stock based compensation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1,975</w:t>
            </w:r>
          </w:p>
        </w:tc>
        <w:tc>
          <w:tcPr>
            <w:tcW w:w="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1,975</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Foreign currency</w:t>
            </w: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translation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414"/>
        </w:trPr>
        <w:tc>
          <w:tcPr>
            <w:tcW w:w="1300" w:type="dxa"/>
            <w:vAlign w:val="bottom"/>
          </w:tcPr>
          <w:p>
            <w:pPr>
              <w:ind w:left="160"/>
              <w:spacing w:after="0"/>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(12,264)</w:t>
            </w:r>
          </w:p>
        </w:tc>
        <w:tc>
          <w:tcPr>
            <w:tcW w:w="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(12,264)</w:t>
            </w:r>
          </w:p>
        </w:tc>
        <w:tc>
          <w:tcPr>
            <w:tcW w:w="0" w:type="dxa"/>
            <w:vAlign w:val="bottom"/>
          </w:tcPr>
          <w:p>
            <w:pPr>
              <w:spacing w:after="0"/>
              <w:rPr>
                <w:sz w:val="1"/>
                <w:szCs w:val="1"/>
                <w:color w:val="auto"/>
              </w:rPr>
            </w:pPr>
          </w:p>
        </w:tc>
      </w:tr>
      <w:tr>
        <w:trPr>
          <w:trHeight w:val="156"/>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comprehensive loss</w:t>
            </w: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right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(12,277)</w:t>
            </w: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8"/>
              </w:rPr>
              <w:t>4,200,00</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1,591,23</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7"/>
              </w:rPr>
              <w:t>4,044,27</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3,754,2</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5,494,0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2,275,7</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7"/>
              </w:rPr>
              <w:t>8,665,7</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vMerge w:val="restart"/>
          </w:tcPr>
          <w:p>
            <w:pPr>
              <w:ind w:left="20"/>
              <w:spacing w:after="0"/>
              <w:rPr>
                <w:sz w:val="20"/>
                <w:szCs w:val="20"/>
                <w:color w:val="auto"/>
              </w:rPr>
            </w:pPr>
            <w:r>
              <w:rPr>
                <w:rFonts w:ascii="Arial" w:cs="Arial" w:eastAsia="Arial" w:hAnsi="Arial"/>
                <w:sz w:val="11"/>
                <w:szCs w:val="11"/>
                <w:color w:val="auto"/>
              </w:rPr>
              <w:t>Balance, June 30, 2021</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$4,200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3"/>
              </w:rPr>
              <w:t>2,188,322</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$2,998</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$8,704</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$12,839</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$20,347</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$26,004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$54,864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59</w:t>
            </w:r>
          </w:p>
        </w:tc>
        <w:tc>
          <w:tcPr>
            <w:tcW w:w="460" w:type="dxa"/>
            <w:vAlign w:val="bottom"/>
            <w:gridSpan w:val="2"/>
          </w:tcPr>
          <w:p>
            <w:pPr>
              <w:jc w:val="right"/>
              <w:ind w:right="6"/>
              <w:spacing w:after="0"/>
              <w:rPr>
                <w:sz w:val="20"/>
                <w:szCs w:val="20"/>
                <w:color w:val="auto"/>
              </w:rPr>
            </w:pPr>
            <w:r>
              <w:rPr>
                <w:rFonts w:ascii="Arial" w:cs="Arial" w:eastAsia="Arial" w:hAnsi="Arial"/>
                <w:sz w:val="11"/>
                <w:szCs w:val="11"/>
                <w:color w:val="auto"/>
                <w:w w:val="95"/>
              </w:rPr>
              <w:t>$30,757</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$4,315</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$227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3"/>
              </w:rPr>
              <w:t>$(134,727)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3"/>
              </w:rPr>
              <w:t>$(130,185)</w:t>
            </w:r>
          </w:p>
        </w:tc>
        <w:tc>
          <w:tcPr>
            <w:tcW w:w="0" w:type="dxa"/>
            <w:vAlign w:val="bottom"/>
          </w:tcPr>
          <w:p>
            <w:pPr>
              <w:spacing w:after="0"/>
              <w:rPr>
                <w:sz w:val="1"/>
                <w:szCs w:val="1"/>
                <w:color w:val="auto"/>
              </w:rPr>
            </w:pPr>
          </w:p>
        </w:tc>
      </w:tr>
      <w:tr>
        <w:trPr>
          <w:trHeight w:val="22"/>
        </w:trPr>
        <w:tc>
          <w:tcPr>
            <w:tcW w:w="13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30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8"/>
              </w:rPr>
              <w:t>4,200,00</w:t>
            </w: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3"/>
              </w:rPr>
              <w:t>1,591,23</w:t>
            </w: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4,044,27</w:t>
            </w: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3,754,2</w:t>
            </w: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5,494,0</w:t>
            </w: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7,458,7</w:t>
            </w: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March 31, 2020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$4,200</w:t>
            </w: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2,188,322</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$2,998</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$8,704</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$6,957</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$18,612</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$24,756</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5"/>
              </w:rPr>
              <w:t>$54,929</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83</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$4,755</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$(86,216)</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$(81,510)</w:t>
            </w:r>
          </w:p>
        </w:tc>
        <w:tc>
          <w:tcPr>
            <w:tcW w:w="0" w:type="dxa"/>
            <w:vAlign w:val="bottom"/>
          </w:tcPr>
          <w:p>
            <w:pPr>
              <w:spacing w:after="0"/>
              <w:rPr>
                <w:sz w:val="1"/>
                <w:szCs w:val="1"/>
                <w:color w:val="auto"/>
              </w:rPr>
            </w:pPr>
          </w:p>
        </w:tc>
      </w:tr>
      <w:tr>
        <w:trPr>
          <w:trHeight w:val="274"/>
        </w:trPr>
        <w:tc>
          <w:tcPr>
            <w:tcW w:w="1300" w:type="dxa"/>
            <w:vAlign w:val="bottom"/>
          </w:tcPr>
          <w:p>
            <w:pPr>
              <w:ind w:left="20"/>
              <w:spacing w:after="0"/>
              <w:rPr>
                <w:sz w:val="20"/>
                <w:szCs w:val="20"/>
                <w:color w:val="auto"/>
              </w:rPr>
            </w:pPr>
            <w:r>
              <w:rPr>
                <w:rFonts w:ascii="Arial" w:cs="Arial" w:eastAsia="Arial" w:hAnsi="Arial"/>
                <w:sz w:val="11"/>
                <w:szCs w:val="11"/>
                <w:color w:val="auto"/>
                <w:w w:val="98"/>
              </w:rPr>
              <w:t>Exercise of common stock</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tcPr>
          <w:p>
            <w:pPr>
              <w:ind w:left="20"/>
              <w:spacing w:after="0"/>
              <w:rPr>
                <w:sz w:val="20"/>
                <w:szCs w:val="20"/>
                <w:color w:val="auto"/>
              </w:rPr>
            </w:pPr>
            <w:r>
              <w:rPr>
                <w:rFonts w:ascii="Arial" w:cs="Arial" w:eastAsia="Arial" w:hAnsi="Arial"/>
                <w:sz w:val="11"/>
                <w:szCs w:val="11"/>
                <w:color w:val="auto"/>
              </w:rPr>
              <w:t>options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32,415</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68</w:t>
            </w: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Stock based compensation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238</w:t>
            </w:r>
          </w:p>
        </w:tc>
        <w:tc>
          <w:tcPr>
            <w:tcW w:w="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Foreign currency</w:t>
            </w: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tcBorders>
              <w:right w:val="single" w:sz="8" w:color="auto"/>
            </w:tcBorders>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translation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414"/>
        </w:trPr>
        <w:tc>
          <w:tcPr>
            <w:tcW w:w="1300" w:type="dxa"/>
            <w:vAlign w:val="bottom"/>
          </w:tcPr>
          <w:p>
            <w:pPr>
              <w:ind w:left="160"/>
              <w:spacing w:after="0"/>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(6,119)</w:t>
            </w:r>
          </w:p>
        </w:tc>
        <w:tc>
          <w:tcPr>
            <w:tcW w:w="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(6,119)</w:t>
            </w:r>
          </w:p>
        </w:tc>
        <w:tc>
          <w:tcPr>
            <w:tcW w:w="0" w:type="dxa"/>
            <w:vAlign w:val="bottom"/>
          </w:tcPr>
          <w:p>
            <w:pPr>
              <w:spacing w:after="0"/>
              <w:rPr>
                <w:sz w:val="1"/>
                <w:szCs w:val="1"/>
                <w:color w:val="auto"/>
              </w:rPr>
            </w:pPr>
          </w:p>
        </w:tc>
      </w:tr>
      <w:tr>
        <w:trPr>
          <w:trHeight w:val="155"/>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comprehensive loss</w:t>
            </w: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right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(6,097)</w:t>
            </w:r>
          </w:p>
        </w:tc>
        <w:tc>
          <w:tcPr>
            <w:tcW w:w="0" w:type="dxa"/>
            <w:vAlign w:val="bottom"/>
          </w:tcPr>
          <w:p>
            <w:pPr>
              <w:spacing w:after="0"/>
              <w:rPr>
                <w:sz w:val="1"/>
                <w:szCs w:val="1"/>
                <w:color w:val="auto"/>
              </w:rPr>
            </w:pPr>
          </w:p>
        </w:tc>
      </w:tr>
      <w:tr>
        <w:trPr>
          <w:trHeight w:val="272"/>
        </w:trPr>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8"/>
              </w:rPr>
              <w:t>4,200,00</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4,211,09</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3"/>
              </w:rPr>
              <w:t>1,591,23</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7"/>
              </w:rPr>
              <w:t>4,044,27</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3,754,2</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5,494,0</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7"/>
              </w:rPr>
              <w:t>7,491,1</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300" w:type="dxa"/>
            <w:vAlign w:val="bottom"/>
            <w:vMerge w:val="restart"/>
          </w:tcPr>
          <w:p>
            <w:pPr>
              <w:ind w:left="20"/>
              <w:spacing w:after="0"/>
              <w:rPr>
                <w:sz w:val="20"/>
                <w:szCs w:val="20"/>
                <w:color w:val="auto"/>
              </w:rPr>
            </w:pPr>
            <w:r>
              <w:rPr>
                <w:rFonts w:ascii="Arial" w:cs="Arial" w:eastAsia="Arial" w:hAnsi="Arial"/>
                <w:sz w:val="11"/>
                <w:szCs w:val="11"/>
                <w:color w:val="auto"/>
              </w:rPr>
              <w:t>Balance, June 30, 2020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$4,200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3"/>
              </w:rPr>
              <w:t>2,188,322</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$2,998</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$8,704</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$6,957</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$18,612</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$24,756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5"/>
              </w:rPr>
              <w:t>$54,929</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98</w:t>
            </w:r>
          </w:p>
        </w:tc>
        <w:tc>
          <w:tcPr>
            <w:tcW w:w="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$5,061</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$(92,335)</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$(87,301)</w:t>
            </w:r>
          </w:p>
        </w:tc>
        <w:tc>
          <w:tcPr>
            <w:tcW w:w="0" w:type="dxa"/>
            <w:vAlign w:val="bottom"/>
          </w:tcPr>
          <w:p>
            <w:pPr>
              <w:spacing w:after="0"/>
              <w:rPr>
                <w:sz w:val="1"/>
                <w:szCs w:val="1"/>
                <w:color w:val="auto"/>
              </w:rPr>
            </w:pPr>
          </w:p>
        </w:tc>
      </w:tr>
      <w:tr>
        <w:trPr>
          <w:trHeight w:val="22"/>
        </w:trPr>
        <w:tc>
          <w:tcPr>
            <w:tcW w:w="13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-4066540</wp:posOffset>
            </wp:positionV>
            <wp:extent cx="34290" cy="376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765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-2207895</wp:posOffset>
            </wp:positionV>
            <wp:extent cx="260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-2207895</wp:posOffset>
            </wp:positionV>
            <wp:extent cx="260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-2207895</wp:posOffset>
            </wp:positionV>
            <wp:extent cx="260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-2207895</wp:posOffset>
            </wp:positionV>
            <wp:extent cx="260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-2207895</wp:posOffset>
            </wp:positionV>
            <wp:extent cx="254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-2207895</wp:posOffset>
            </wp:positionV>
            <wp:extent cx="254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-2207895</wp:posOffset>
            </wp:positionV>
            <wp:extent cx="254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-2207895</wp:posOffset>
            </wp:positionV>
            <wp:extent cx="254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-2207895</wp:posOffset>
            </wp:positionV>
            <wp:extent cx="1714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-2207895</wp:posOffset>
            </wp:positionV>
            <wp:extent cx="1714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-2207895</wp:posOffset>
            </wp:positionV>
            <wp:extent cx="1714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-2207895</wp:posOffset>
            </wp:positionV>
            <wp:extent cx="1714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-2207895</wp:posOffset>
            </wp:positionV>
            <wp:extent cx="1714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-2207895</wp:posOffset>
            </wp:positionV>
            <wp:extent cx="1714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-2207895</wp:posOffset>
            </wp:positionV>
            <wp:extent cx="1714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-2207895</wp:posOffset>
            </wp:positionV>
            <wp:extent cx="1714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-2207895</wp:posOffset>
            </wp:positionV>
            <wp:extent cx="1714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-2207895</wp:posOffset>
            </wp:positionV>
            <wp:extent cx="1714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-2207895</wp:posOffset>
            </wp:positionV>
            <wp:extent cx="1714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-2207895</wp:posOffset>
            </wp:positionV>
            <wp:extent cx="1714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-2326640</wp:posOffset>
            </wp:positionV>
            <wp:extent cx="3429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-304800</wp:posOffset>
            </wp:positionV>
            <wp:extent cx="260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-304800</wp:posOffset>
            </wp:positionV>
            <wp:extent cx="260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-304800</wp:posOffset>
            </wp:positionV>
            <wp:extent cx="260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-304800</wp:posOffset>
            </wp:positionV>
            <wp:extent cx="260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-304800</wp:posOffset>
            </wp:positionV>
            <wp:extent cx="254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-304800</wp:posOffset>
            </wp:positionV>
            <wp:extent cx="254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-304800</wp:posOffset>
            </wp:positionV>
            <wp:extent cx="254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-304800</wp:posOffset>
            </wp:positionV>
            <wp:extent cx="254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-304800</wp:posOffset>
            </wp:positionV>
            <wp:extent cx="1714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-304800</wp:posOffset>
            </wp:positionV>
            <wp:extent cx="1714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-304800</wp:posOffset>
            </wp:positionV>
            <wp:extent cx="1714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-304800</wp:posOffset>
            </wp:positionV>
            <wp:extent cx="1714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-304800</wp:posOffset>
            </wp:positionV>
            <wp:extent cx="1714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-304800</wp:posOffset>
            </wp:positionV>
            <wp:extent cx="1714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-304800</wp:posOffset>
            </wp:positionV>
            <wp:extent cx="1714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-304800</wp:posOffset>
            </wp:positionV>
            <wp:extent cx="1714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-304800</wp:posOffset>
            </wp:positionV>
            <wp:extent cx="1714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-304800</wp:posOffset>
            </wp:positionV>
            <wp:extent cx="1714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-304800</wp:posOffset>
            </wp:positionV>
            <wp:extent cx="1714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-304800</wp:posOffset>
            </wp:positionV>
            <wp:extent cx="1714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-423545</wp:posOffset>
            </wp:positionV>
            <wp:extent cx="34290" cy="436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368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17145</wp:posOffset>
            </wp:positionV>
            <wp:extent cx="21513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(22,765 )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(14,726 )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Reduction in carrying amount of right-of-use asset</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Stock based compensation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Non-cash interest expense</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Changes in other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receivable, net</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(6,874 )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(768 )</w:t>
            </w: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Inventory</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(772 )</w:t>
            </w: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Prepaid expenses</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(5,270 )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(260 )</w:t>
            </w: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Accrued expenses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(453 )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Contract liabilities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Lease liabilities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(534 )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(444 )</w:t>
            </w:r>
          </w:p>
        </w:tc>
      </w:tr>
      <w:tr>
        <w:trPr>
          <w:trHeight w:val="23"/>
        </w:trPr>
        <w:tc>
          <w:tcPr>
            <w:tcW w:w="77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Net cash used in operating activities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6"/>
              </w:rPr>
              <w:t>(20,560 )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(11,650 )</w:t>
            </w:r>
          </w:p>
        </w:tc>
      </w:tr>
      <w:tr>
        <w:trPr>
          <w:trHeight w:val="22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short-term investments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(17,711 )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short-term investments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28,571</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(1,966 )</w:t>
            </w:r>
          </w:p>
        </w:tc>
      </w:tr>
      <w:tr>
        <w:trPr>
          <w:trHeight w:val="23"/>
        </w:trPr>
        <w:tc>
          <w:tcPr>
            <w:tcW w:w="77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(2,748 )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8,894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stock options exercised</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term loan</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other borrowings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finance lease obligations</w:t>
            </w:r>
          </w:p>
        </w:tc>
        <w:tc>
          <w:tcPr>
            <w:tcW w:w="10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r>
      <w:tr>
        <w:trPr>
          <w:trHeight w:val="223"/>
        </w:trPr>
        <w:tc>
          <w:tcPr>
            <w:tcW w:w="7740" w:type="dxa"/>
            <w:vAlign w:val="bottom"/>
          </w:tcPr>
          <w:p>
            <w:pPr>
              <w:ind w:left="200"/>
              <w:spacing w:after="0"/>
              <w:rPr>
                <w:sz w:val="20"/>
                <w:szCs w:val="20"/>
                <w:color w:val="auto"/>
              </w:rPr>
            </w:pPr>
            <w:r>
              <w:rPr>
                <w:rFonts w:ascii="Arial" w:cs="Arial" w:eastAsia="Arial" w:hAnsi="Arial"/>
                <w:sz w:val="16"/>
                <w:szCs w:val="16"/>
                <w:color w:val="auto"/>
              </w:rPr>
              <w:t>Payments in connection with initial public offering</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(524 )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b w:val="1"/>
                <w:bCs w:val="1"/>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Effect of foreign currency translation on cash and cash equivalents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(17 )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r>
      <w:tr>
        <w:trPr>
          <w:trHeight w:val="23"/>
        </w:trPr>
        <w:tc>
          <w:tcPr>
            <w:tcW w:w="77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6"/>
              </w:rPr>
              <w:t>(22,523 )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6,182</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59,874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40,122</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37,351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46,304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activity:</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purchase of property and equipment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Non-cash financing activity:</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amounts incurred in connection with initial public offering</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6"/>
              </w:rPr>
              <w:t>(25,938 )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-3288030</wp:posOffset>
            </wp:positionV>
            <wp:extent cx="1714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-3288030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-2696845</wp:posOffset>
            </wp:positionV>
            <wp:extent cx="17145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-2696845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-1504950</wp:posOffset>
            </wp:positionV>
            <wp:extent cx="17145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-899160</wp:posOffset>
            </wp:positionV>
            <wp:extent cx="171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-882015</wp:posOffset>
            </wp:positionV>
            <wp:extent cx="171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35" w:lineRule="exact"/>
        <w:rPr>
          <w:sz w:val="20"/>
          <w:szCs w:val="20"/>
          <w:color w:val="auto"/>
        </w:rPr>
      </w:pPr>
    </w:p>
    <w:p>
      <w:pPr>
        <w:ind w:right="80" w:firstLine="557"/>
        <w:spacing w:after="0" w:line="271" w:lineRule="auto"/>
        <w:rPr>
          <w:sz w:val="20"/>
          <w:szCs w:val="20"/>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83" w:lineRule="exact"/>
        <w:rPr>
          <w:sz w:val="20"/>
          <w:szCs w:val="20"/>
          <w:color w:val="auto"/>
        </w:rPr>
      </w:pPr>
    </w:p>
    <w:p>
      <w:pPr>
        <w:ind w:right="80" w:firstLine="557"/>
        <w:spacing w:after="0" w:line="303" w:lineRule="auto"/>
        <w:rPr>
          <w:sz w:val="20"/>
          <w:szCs w:val="20"/>
          <w:color w:val="auto"/>
        </w:rPr>
      </w:pPr>
      <w:r>
        <w:rPr>
          <w:rFonts w:ascii="Arial" w:cs="Arial" w:eastAsia="Arial" w:hAnsi="Arial"/>
          <w:sz w:val="17"/>
          <w:szCs w:val="17"/>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280" w:firstLine="557"/>
        <w:spacing w:after="0" w:line="279" w:lineRule="auto"/>
        <w:rPr>
          <w:sz w:val="20"/>
          <w:szCs w:val="20"/>
          <w:color w:val="auto"/>
        </w:rPr>
      </w:pPr>
      <w:r>
        <w:rPr>
          <w:rFonts w:ascii="Arial" w:cs="Arial" w:eastAsia="Arial" w:hAnsi="Arial"/>
          <w:sz w:val="18"/>
          <w:szCs w:val="18"/>
          <w:color w:val="auto"/>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w:t>
      </w:r>
    </w:p>
    <w:p>
      <w:pPr>
        <w:spacing w:after="0" w:line="75" w:lineRule="exact"/>
        <w:rPr>
          <w:sz w:val="20"/>
          <w:szCs w:val="20"/>
          <w:color w:val="auto"/>
        </w:rPr>
      </w:pPr>
    </w:p>
    <w:p>
      <w:pPr>
        <w:ind w:right="160" w:firstLine="557"/>
        <w:spacing w:after="0" w:line="329"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40" w:lineRule="exact"/>
        <w:rPr>
          <w:sz w:val="20"/>
          <w:szCs w:val="20"/>
          <w:color w:val="auto"/>
        </w:rPr>
      </w:pPr>
    </w:p>
    <w:p>
      <w:pPr>
        <w:ind w:right="160" w:firstLine="644"/>
        <w:spacing w:after="0" w:line="279" w:lineRule="auto"/>
        <w:rPr>
          <w:sz w:val="20"/>
          <w:szCs w:val="20"/>
          <w:color w:val="auto"/>
        </w:rPr>
      </w:pPr>
      <w:r>
        <w:rPr>
          <w:rFonts w:ascii="Arial" w:cs="Arial" w:eastAsia="Arial" w:hAnsi="Arial"/>
          <w:sz w:val="18"/>
          <w:szCs w:val="18"/>
          <w:color w:val="auto"/>
        </w:rPr>
        <w:t>Also on July 2, 2021, the Company reserved 402,658 shares of its Class A common stock, representing 1% of the Company's fully diluted capitalization as of the date of approval of our board of directors, for charitable contributions to non-profit organizations. These shares will be issued over the next five years, in an amount not to exceed 20% of the initial reserve amount per calendar year.</w:t>
      </w:r>
    </w:p>
    <w:p>
      <w:pPr>
        <w:spacing w:after="0" w:line="71" w:lineRule="exact"/>
        <w:rPr>
          <w:sz w:val="20"/>
          <w:szCs w:val="20"/>
          <w:color w:val="auto"/>
        </w:rPr>
      </w:pPr>
    </w:p>
    <w:p>
      <w:pPr>
        <w:ind w:left="340" w:right="5620" w:hanging="332"/>
        <w:spacing w:after="0" w:line="393" w:lineRule="auto"/>
        <w:tabs>
          <w:tab w:leader="none" w:pos="2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(a)Basis of Presentation</w:t>
      </w:r>
    </w:p>
    <w:p>
      <w:pPr>
        <w:spacing w:after="0" w:line="1" w:lineRule="exact"/>
        <w:rPr>
          <w:sz w:val="20"/>
          <w:szCs w:val="20"/>
          <w:color w:val="auto"/>
        </w:rPr>
      </w:pPr>
    </w:p>
    <w:p>
      <w:pPr>
        <w:ind w:firstLine="557"/>
        <w:spacing w:after="0" w:line="27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final Prospectus on Form 424(b)(4) filed with the SEC on July 1, 2021 (“Final Prospectus”).</w:t>
      </w:r>
    </w:p>
    <w:p>
      <w:pPr>
        <w:spacing w:after="0" w:line="83" w:lineRule="exact"/>
        <w:rPr>
          <w:sz w:val="20"/>
          <w:szCs w:val="20"/>
          <w:color w:val="auto"/>
        </w:rPr>
      </w:pPr>
    </w:p>
    <w:p>
      <w:pPr>
        <w:ind w:firstLine="557"/>
        <w:spacing w:after="0" w:line="272"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deficit and cash flows for the interim periods, but are not necessarily indicative of the results of operations to be anticipated for the full year 2021 or any future period.</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two reporting segments which are referred to as: (1) the United States (“U.S.”) and (2) Europe.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31" w:lineRule="exact"/>
        <w:rPr>
          <w:sz w:val="20"/>
          <w:szCs w:val="20"/>
          <w:color w:val="auto"/>
        </w:rPr>
      </w:pPr>
    </w:p>
    <w:p>
      <w:pPr>
        <w:ind w:right="140" w:firstLine="557"/>
        <w:spacing w:after="0" w:line="314" w:lineRule="auto"/>
        <w:rPr>
          <w:sz w:val="20"/>
          <w:szCs w:val="20"/>
          <w:color w:val="auto"/>
        </w:rPr>
      </w:pPr>
      <w:r>
        <w:rPr>
          <w:rFonts w:ascii="Arial" w:cs="Arial" w:eastAsia="Arial" w:hAnsi="Arial"/>
          <w:sz w:val="16"/>
          <w:szCs w:val="16"/>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(b)Use of Estimates</w:t>
      </w:r>
    </w:p>
    <w:p>
      <w:pPr>
        <w:spacing w:after="0" w:line="131" w:lineRule="exact"/>
        <w:rPr>
          <w:sz w:val="20"/>
          <w:szCs w:val="20"/>
          <w:color w:val="auto"/>
        </w:rPr>
      </w:pPr>
    </w:p>
    <w:p>
      <w:pPr>
        <w:jc w:val="both"/>
        <w:ind w:right="140" w:firstLine="557"/>
        <w:spacing w:after="0" w:line="279" w:lineRule="auto"/>
        <w:rPr>
          <w:sz w:val="20"/>
          <w:szCs w:val="20"/>
          <w:color w:val="auto"/>
        </w:rPr>
      </w:pPr>
      <w:r>
        <w:rPr>
          <w:rFonts w:ascii="Arial" w:cs="Arial" w:eastAsia="Arial" w:hAnsi="Arial"/>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(c)Fair Value Measurements and Financial Instruments</w:t>
      </w:r>
    </w:p>
    <w:p>
      <w:pPr>
        <w:spacing w:after="0" w:line="131" w:lineRule="exact"/>
        <w:rPr>
          <w:sz w:val="20"/>
          <w:szCs w:val="20"/>
          <w:color w:val="auto"/>
        </w:rPr>
      </w:pPr>
    </w:p>
    <w:p>
      <w:pPr>
        <w:jc w:val="both"/>
        <w:ind w:right="20" w:firstLine="557"/>
        <w:spacing w:after="0" w:line="329" w:lineRule="auto"/>
        <w:rPr>
          <w:sz w:val="20"/>
          <w:szCs w:val="20"/>
          <w:color w:val="auto"/>
        </w:rPr>
      </w:pPr>
      <w:r>
        <w:rPr>
          <w:rFonts w:ascii="Arial" w:cs="Arial" w:eastAsia="Arial" w:hAnsi="Arial"/>
          <w:sz w:val="16"/>
          <w:szCs w:val="16"/>
          <w:color w:val="auto"/>
        </w:rPr>
        <w:t>The carrying amounts of certain of the Company’s financial instruments, which include cash equivalents, accounts receivable, prepaid expenses and other assets, accounts payable, accrued expenses and contract liabilities approximate their fair values due to their short maturities. The carrying value of the Company’s short-term debt, which is recorded at cost, approximates its fair value due to its repayment in July 2021 (see Note 13).</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(d)Accounts Receivable</w:t>
      </w:r>
    </w:p>
    <w:p>
      <w:pPr>
        <w:spacing w:after="0" w:line="131" w:lineRule="exact"/>
        <w:rPr>
          <w:sz w:val="20"/>
          <w:szCs w:val="20"/>
          <w:color w:val="auto"/>
        </w:rPr>
      </w:pPr>
    </w:p>
    <w:p>
      <w:pPr>
        <w:ind w:firstLine="557"/>
        <w:spacing w:after="0" w:line="271"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(e)Property and Equipment and Long-Lived Assets</w:t>
      </w:r>
    </w:p>
    <w:p>
      <w:pPr>
        <w:spacing w:after="0" w:line="131" w:lineRule="exact"/>
        <w:rPr>
          <w:sz w:val="20"/>
          <w:szCs w:val="20"/>
          <w:color w:val="auto"/>
        </w:rPr>
      </w:pPr>
    </w:p>
    <w:p>
      <w:pPr>
        <w:ind w:right="160" w:firstLine="557"/>
        <w:spacing w:after="0" w:line="279"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75" w:lineRule="exact"/>
        <w:rPr>
          <w:sz w:val="20"/>
          <w:szCs w:val="20"/>
          <w:color w:val="auto"/>
        </w:rPr>
      </w:pPr>
    </w:p>
    <w:p>
      <w:pPr>
        <w:ind w:right="60" w:firstLine="557"/>
        <w:spacing w:after="0" w:line="290" w:lineRule="auto"/>
        <w:rPr>
          <w:sz w:val="20"/>
          <w:szCs w:val="20"/>
          <w:color w:val="auto"/>
        </w:rPr>
      </w:pPr>
      <w:r>
        <w:rPr>
          <w:rFonts w:ascii="Arial" w:cs="Arial" w:eastAsia="Arial" w:hAnsi="Arial"/>
          <w:sz w:val="17"/>
          <w:szCs w:val="17"/>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68" w:lineRule="exact"/>
        <w:rPr>
          <w:sz w:val="20"/>
          <w:szCs w:val="20"/>
          <w:color w:val="auto"/>
        </w:rPr>
      </w:pPr>
    </w:p>
    <w:p>
      <w:pPr>
        <w:ind w:right="620" w:firstLine="557"/>
        <w:spacing w:after="0" w:line="299" w:lineRule="auto"/>
        <w:rPr>
          <w:sz w:val="20"/>
          <w:szCs w:val="20"/>
          <w:color w:val="auto"/>
        </w:rPr>
      </w:pPr>
      <w:r>
        <w:rPr>
          <w:rFonts w:ascii="Arial" w:cs="Arial" w:eastAsia="Arial" w:hAnsi="Arial"/>
          <w:sz w:val="16"/>
          <w:szCs w:val="16"/>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$2.5 million for the six months ended June 30, 2021 and $3.6 million for the year ended December 31, 2020.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(f)Revenue</w:t>
      </w:r>
    </w:p>
    <w:p>
      <w:pPr>
        <w:spacing w:after="0" w:line="131" w:lineRule="exact"/>
        <w:rPr>
          <w:sz w:val="20"/>
          <w:szCs w:val="20"/>
          <w:color w:val="auto"/>
        </w:rPr>
      </w:pPr>
    </w:p>
    <w:p>
      <w:pPr>
        <w:ind w:right="40" w:firstLine="557"/>
        <w:spacing w:after="0" w:line="279" w:lineRule="auto"/>
        <w:rPr>
          <w:sz w:val="20"/>
          <w:szCs w:val="20"/>
          <w:color w:val="auto"/>
        </w:rPr>
      </w:pPr>
      <w:r>
        <w:rPr>
          <w:rFonts w:ascii="Arial" w:cs="Arial" w:eastAsia="Arial" w:hAnsi="Arial"/>
          <w:sz w:val="18"/>
          <w:szCs w:val="18"/>
          <w:color w:val="auto"/>
        </w:rPr>
        <w:t xml:space="preserve">The Company derives substantially all of its revenue in the U.S. and Europe from the sale of parts and assemblies fulfilled using a vast network of sellers. The Company recognizes revenue from the sales to our buyers pursuant to Financial Accounting Standard Board’s (“FASB”) Accounting Standards Codification (“ASC”) </w:t>
      </w:r>
      <w:r>
        <w:rPr>
          <w:rFonts w:ascii="Arial" w:cs="Arial" w:eastAsia="Arial" w:hAnsi="Arial"/>
          <w:sz w:val="18"/>
          <w:szCs w:val="18"/>
          <w:i w:val="1"/>
          <w:iCs w:val="1"/>
          <w:color w:val="auto"/>
        </w:rPr>
        <w:t>Topic 606, Revenue from Contracts with Customers</w:t>
      </w:r>
      <w:r>
        <w:rPr>
          <w:rFonts w:ascii="Arial" w:cs="Arial" w:eastAsia="Arial" w:hAnsi="Arial"/>
          <w:sz w:val="18"/>
          <w:szCs w:val="18"/>
          <w:color w:val="auto"/>
        </w:rPr>
        <w:t xml:space="preserve"> (“ASC 606”).</w:t>
      </w:r>
    </w:p>
    <w:p>
      <w:pPr>
        <w:spacing w:after="0" w:line="75" w:lineRule="exact"/>
        <w:rPr>
          <w:sz w:val="20"/>
          <w:szCs w:val="20"/>
          <w:color w:val="auto"/>
        </w:rPr>
      </w:pPr>
    </w:p>
    <w:p>
      <w:pPr>
        <w:ind w:right="140" w:firstLine="557"/>
        <w:spacing w:after="0" w:line="271"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 customers upon shipment, at which point control over the part(s) or assembly have transferred.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right="20" w:firstLine="557"/>
        <w:spacing w:after="0" w:line="311" w:lineRule="auto"/>
        <w:rPr>
          <w:sz w:val="20"/>
          <w:szCs w:val="20"/>
          <w:color w:val="auto"/>
        </w:rPr>
      </w:pPr>
      <w:r>
        <w:rPr>
          <w:rFonts w:ascii="Arial" w:cs="Arial" w:eastAsia="Arial" w:hAnsi="Arial"/>
          <w:sz w:val="16"/>
          <w:szCs w:val="16"/>
          <w:color w:val="auto"/>
        </w:rPr>
        <w:t>We have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buyer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55" w:lineRule="exact"/>
        <w:rPr>
          <w:sz w:val="20"/>
          <w:szCs w:val="20"/>
          <w:color w:val="auto"/>
        </w:rPr>
      </w:pPr>
    </w:p>
    <w:p>
      <w:pPr>
        <w:ind w:right="120" w:firstLine="557"/>
        <w:spacing w:after="0" w:line="293" w:lineRule="auto"/>
        <w:rPr>
          <w:sz w:val="20"/>
          <w:szCs w:val="20"/>
          <w:color w:val="auto"/>
        </w:rPr>
      </w:pPr>
      <w:r>
        <w:rPr>
          <w:rFonts w:ascii="Arial" w:cs="Arial" w:eastAsia="Arial" w:hAnsi="Arial"/>
          <w:sz w:val="18"/>
          <w:szCs w:val="18"/>
          <w:color w:val="auto"/>
        </w:rPr>
        <w:t>Revenue is shown net of estimated returns, refunds, and allowances. As of June 30, 2021 and December 31, 2020, the Company has a $0.1 million provision for estimated returns, refunds or allowances.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31" w:lineRule="exact"/>
        <w:rPr>
          <w:sz w:val="20"/>
          <w:szCs w:val="20"/>
          <w:color w:val="auto"/>
        </w:rPr>
      </w:pPr>
    </w:p>
    <w:p>
      <w:pPr>
        <w:jc w:val="both"/>
        <w:ind w:right="520" w:firstLine="557"/>
        <w:spacing w:after="0" w:line="279"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is a summary of the contract liabilities as of December 31, 2020 and June 30, 2021 (in thousands):</w:t>
      </w: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Rollforward of contract liabilities:</w:t>
            </w:r>
          </w:p>
        </w:tc>
        <w:tc>
          <w:tcPr>
            <w:tcW w:w="7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14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r>
      <w:tr>
        <w:trPr>
          <w:trHeight w:val="263"/>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7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(2,355 )</w:t>
            </w:r>
          </w:p>
        </w:tc>
      </w:tr>
      <w:tr>
        <w:trPr>
          <w:trHeight w:val="250"/>
        </w:trPr>
        <w:tc>
          <w:tcPr>
            <w:tcW w:w="9140" w:type="dxa"/>
            <w:vAlign w:val="bottom"/>
          </w:tcPr>
          <w:p>
            <w:pPr>
              <w:spacing w:after="0"/>
              <w:rPr>
                <w:sz w:val="20"/>
                <w:szCs w:val="20"/>
                <w:color w:val="auto"/>
              </w:rPr>
            </w:pPr>
            <w:r>
              <w:rPr>
                <w:rFonts w:ascii="Arial" w:cs="Arial" w:eastAsia="Arial" w:hAnsi="Arial"/>
                <w:sz w:val="18"/>
                <w:szCs w:val="18"/>
                <w:color w:val="auto"/>
              </w:rPr>
              <w:t>Payments received in advance</w:t>
            </w:r>
          </w:p>
        </w:tc>
        <w:tc>
          <w:tcPr>
            <w:tcW w:w="7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r>
      <w:tr>
        <w:trPr>
          <w:trHeight w:val="290"/>
        </w:trPr>
        <w:tc>
          <w:tcPr>
            <w:tcW w:w="9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 at June 30, 2021</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Contract Acquisition Costs</w:t>
      </w:r>
    </w:p>
    <w:p>
      <w:pPr>
        <w:spacing w:after="0" w:line="131" w:lineRule="exact"/>
        <w:rPr>
          <w:sz w:val="20"/>
          <w:szCs w:val="20"/>
          <w:color w:val="auto"/>
        </w:rPr>
      </w:pPr>
    </w:p>
    <w:p>
      <w:pPr>
        <w:ind w:right="60" w:firstLine="557"/>
        <w:spacing w:after="0" w:line="272"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pays are included in Xometry’s sales and marketing expenses in the Condensed Consolidated Statements of Operations and Comprehensive Loss.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(g)Cost of Revenue</w:t>
      </w:r>
    </w:p>
    <w:p>
      <w:pPr>
        <w:spacing w:after="0" w:line="131" w:lineRule="exact"/>
        <w:rPr>
          <w:sz w:val="20"/>
          <w:szCs w:val="20"/>
          <w:color w:val="auto"/>
        </w:rPr>
      </w:pPr>
    </w:p>
    <w:p>
      <w:pPr>
        <w:ind w:right="180" w:firstLine="557"/>
        <w:spacing w:after="0" w:line="293"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(h)Leases</w:t>
      </w:r>
    </w:p>
    <w:p>
      <w:pPr>
        <w:spacing w:after="0" w:line="131" w:lineRule="exact"/>
        <w:rPr>
          <w:sz w:val="20"/>
          <w:szCs w:val="20"/>
          <w:color w:val="auto"/>
        </w:rPr>
      </w:pPr>
    </w:p>
    <w:p>
      <w:pPr>
        <w:ind w:right="160" w:firstLine="557"/>
        <w:spacing w:after="0" w:line="287" w:lineRule="auto"/>
        <w:rPr>
          <w:sz w:val="20"/>
          <w:szCs w:val="20"/>
          <w:color w:val="auto"/>
        </w:rPr>
      </w:pPr>
      <w:r>
        <w:rPr>
          <w:rFonts w:ascii="Arial" w:cs="Arial" w:eastAsia="Arial" w:hAnsi="Arial"/>
          <w:sz w:val="17"/>
          <w:szCs w:val="17"/>
          <w:color w:val="auto"/>
        </w:rPr>
        <w:t xml:space="preserve">On January 1, 2019, the Company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This standard provided several optional practical expedients for use in transition. The Company elected to use what the FASB deemed the “package of practical expedients,” which allowed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elected the short-term lease recognition exemption for all leases that qualify, meaning that for leases with terms of twelve months or less, the Company will not recognize right-of-use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74" w:lineRule="exact"/>
        <w:rPr>
          <w:sz w:val="20"/>
          <w:szCs w:val="20"/>
          <w:color w:val="auto"/>
        </w:rPr>
      </w:pPr>
    </w:p>
    <w:p>
      <w:pPr>
        <w:jc w:val="both"/>
        <w:ind w:right="380" w:firstLine="557"/>
        <w:spacing w:after="0" w:line="303" w:lineRule="auto"/>
        <w:rPr>
          <w:sz w:val="20"/>
          <w:szCs w:val="20"/>
          <w:color w:val="auto"/>
        </w:rPr>
      </w:pPr>
      <w:r>
        <w:rPr>
          <w:rFonts w:ascii="Arial" w:cs="Arial" w:eastAsia="Arial" w:hAnsi="Arial"/>
          <w:sz w:val="17"/>
          <w:szCs w:val="17"/>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Condensed Consolidated Balance Sheets. The Company has finance leases as detailed in the Long-Lived Assets section above.</w:t>
      </w:r>
    </w:p>
    <w:p>
      <w:pPr>
        <w:spacing w:after="0" w:line="56" w:lineRule="exact"/>
        <w:rPr>
          <w:sz w:val="20"/>
          <w:szCs w:val="20"/>
          <w:color w:val="auto"/>
        </w:rPr>
      </w:pPr>
    </w:p>
    <w:p>
      <w:pPr>
        <w:ind w:firstLine="557"/>
        <w:spacing w:after="0" w:line="31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ind w:left="5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(i)Sales and Marketing</w:t>
      </w:r>
    </w:p>
    <w:p>
      <w:pPr>
        <w:spacing w:after="0" w:line="131" w:lineRule="exact"/>
        <w:rPr>
          <w:sz w:val="20"/>
          <w:szCs w:val="20"/>
          <w:color w:val="auto"/>
        </w:rPr>
      </w:pPr>
    </w:p>
    <w:p>
      <w:pPr>
        <w:ind w:right="260" w:firstLine="557"/>
        <w:spacing w:after="0" w:line="275" w:lineRule="auto"/>
        <w:rPr>
          <w:sz w:val="20"/>
          <w:szCs w:val="20"/>
          <w:color w:val="auto"/>
        </w:rPr>
      </w:pPr>
      <w:r>
        <w:rPr>
          <w:rFonts w:ascii="Arial" w:cs="Arial" w:eastAsia="Arial" w:hAnsi="Arial"/>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three and six months ended June 30, 2021 and 2020, the Company’s advertising costs were $4.7 million and $2.7 million, respectively and $8.9 million and $5.1 million, respectively.</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(j)Operations and Support</w:t>
      </w:r>
    </w:p>
    <w:p>
      <w:pPr>
        <w:spacing w:after="0" w:line="131" w:lineRule="exact"/>
        <w:rPr>
          <w:sz w:val="20"/>
          <w:szCs w:val="20"/>
          <w:color w:val="auto"/>
        </w:rPr>
      </w:pPr>
    </w:p>
    <w:p>
      <w:pPr>
        <w:ind w:right="20" w:firstLine="557"/>
        <w:spacing w:after="0" w:line="275"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(k)Product Development</w:t>
      </w:r>
    </w:p>
    <w:p>
      <w:pPr>
        <w:spacing w:after="0" w:line="131" w:lineRule="exact"/>
        <w:rPr>
          <w:sz w:val="20"/>
          <w:szCs w:val="20"/>
          <w:color w:val="auto"/>
        </w:rPr>
      </w:pPr>
    </w:p>
    <w:p>
      <w:pPr>
        <w:ind w:right="260" w:firstLine="557"/>
        <w:spacing w:after="0" w:line="359" w:lineRule="auto"/>
        <w:rPr>
          <w:sz w:val="20"/>
          <w:szCs w:val="20"/>
          <w:color w:val="auto"/>
        </w:rPr>
      </w:pPr>
      <w:r>
        <w:rPr>
          <w:rFonts w:ascii="Arial" w:cs="Arial" w:eastAsia="Arial" w:hAnsi="Arial"/>
          <w:sz w:val="16"/>
          <w:szCs w:val="16"/>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(l)General and Administrative</w:t>
      </w:r>
    </w:p>
    <w:p>
      <w:pPr>
        <w:spacing w:after="0" w:line="131" w:lineRule="exact"/>
        <w:rPr>
          <w:sz w:val="20"/>
          <w:szCs w:val="20"/>
          <w:color w:val="auto"/>
        </w:rPr>
      </w:pPr>
    </w:p>
    <w:p>
      <w:pPr>
        <w:ind w:right="580" w:firstLine="557"/>
        <w:spacing w:after="0" w:line="359" w:lineRule="auto"/>
        <w:rPr>
          <w:sz w:val="20"/>
          <w:szCs w:val="20"/>
          <w:color w:val="auto"/>
        </w:rPr>
      </w:pPr>
      <w:r>
        <w:rPr>
          <w:rFonts w:ascii="Arial" w:cs="Arial" w:eastAsia="Arial" w:hAnsi="Arial"/>
          <w:sz w:val="16"/>
          <w:szCs w:val="16"/>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(m)Stock Based Compensation</w:t>
      </w:r>
    </w:p>
    <w:p>
      <w:pPr>
        <w:spacing w:after="0" w:line="131" w:lineRule="exact"/>
        <w:rPr>
          <w:sz w:val="20"/>
          <w:szCs w:val="20"/>
          <w:color w:val="auto"/>
        </w:rPr>
      </w:pPr>
    </w:p>
    <w:p>
      <w:pPr>
        <w:ind w:firstLine="557"/>
        <w:spacing w:after="0" w:line="279"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Black-Scholes model considers several variables and assumptions in estimating the fair value of stock-based awards. These variables include:</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expected annual dividend yield;</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expected volatility over the expected term;</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expected term;</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risk free interest rate;</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per share value of the underlying common stock; and</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exercise price.</w:t>
      </w:r>
    </w:p>
    <w:p>
      <w:pPr>
        <w:spacing w:after="0" w:line="131" w:lineRule="exact"/>
        <w:rPr>
          <w:sz w:val="20"/>
          <w:szCs w:val="20"/>
          <w:color w:val="auto"/>
        </w:rPr>
      </w:pPr>
    </w:p>
    <w:p>
      <w:pPr>
        <w:ind w:right="80" w:firstLine="557"/>
        <w:spacing w:after="0" w:line="296" w:lineRule="auto"/>
        <w:rPr>
          <w:sz w:val="20"/>
          <w:szCs w:val="20"/>
          <w:color w:val="auto"/>
        </w:rPr>
      </w:pPr>
      <w:r>
        <w:rPr>
          <w:rFonts w:ascii="Arial" w:cs="Arial" w:eastAsia="Arial" w:hAnsi="Arial"/>
          <w:sz w:val="17"/>
          <w:szCs w:val="17"/>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(n)Net Loss Per Share</w:t>
      </w:r>
    </w:p>
    <w:p>
      <w:pPr>
        <w:spacing w:after="0" w:line="131" w:lineRule="exact"/>
        <w:rPr>
          <w:sz w:val="20"/>
          <w:szCs w:val="20"/>
          <w:color w:val="auto"/>
        </w:rPr>
      </w:pPr>
    </w:p>
    <w:p>
      <w:pPr>
        <w:ind w:right="20" w:firstLine="557"/>
        <w:spacing w:after="0" w:line="27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b w:val="1"/>
          <w:bCs w:val="1"/>
          <w:i w:val="1"/>
          <w:iCs w:val="1"/>
          <w:color w:val="auto"/>
        </w:rPr>
        <w:t>(o)Recently Issued Accounting Standards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31" w:lineRule="exact"/>
        <w:rPr>
          <w:sz w:val="20"/>
          <w:szCs w:val="20"/>
          <w:color w:val="auto"/>
        </w:rPr>
      </w:pPr>
    </w:p>
    <w:p>
      <w:pPr>
        <w:ind w:right="80" w:firstLine="557"/>
        <w:spacing w:after="0" w:line="31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Topic 326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55" w:lineRule="exact"/>
        <w:rPr>
          <w:sz w:val="20"/>
          <w:szCs w:val="20"/>
          <w:color w:val="auto"/>
        </w:rPr>
      </w:pPr>
    </w:p>
    <w:p>
      <w:pPr>
        <w:ind w:right="120" w:firstLine="644"/>
        <w:spacing w:after="0" w:line="293"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Credit Concentrations</w:t>
      </w:r>
    </w:p>
    <w:p>
      <w:pPr>
        <w:spacing w:after="0" w:line="135" w:lineRule="exact"/>
        <w:rPr>
          <w:sz w:val="20"/>
          <w:szCs w:val="20"/>
          <w:color w:val="auto"/>
        </w:rPr>
      </w:pPr>
    </w:p>
    <w:p>
      <w:pPr>
        <w:jc w:val="both"/>
        <w:ind w:right="40" w:firstLine="557"/>
        <w:spacing w:after="0" w:line="27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75" w:lineRule="exact"/>
        <w:rPr>
          <w:sz w:val="20"/>
          <w:szCs w:val="20"/>
          <w:color w:val="auto"/>
        </w:rPr>
      </w:pPr>
    </w:p>
    <w:p>
      <w:pPr>
        <w:jc w:val="both"/>
        <w:ind w:right="40" w:firstLine="644"/>
        <w:spacing w:after="0" w:line="324" w:lineRule="auto"/>
        <w:rPr>
          <w:sz w:val="20"/>
          <w:szCs w:val="20"/>
          <w:color w:val="auto"/>
        </w:rPr>
      </w:pPr>
      <w:r>
        <w:rPr>
          <w:rFonts w:ascii="Arial" w:cs="Arial" w:eastAsia="Arial" w:hAnsi="Arial"/>
          <w:sz w:val="17"/>
          <w:szCs w:val="17"/>
          <w:color w:val="auto"/>
        </w:rPr>
        <w:t>For the three and six months ended June 30, 2021 and 2020, no one customer accounted for more than 10% of the Company’s revenue. As of June 30, 2021 and December 31, 2020, no single customer accounted for more than 10% of the Company’s accounts receivable.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35" w:lineRule="exact"/>
        <w:rPr>
          <w:sz w:val="20"/>
          <w:szCs w:val="20"/>
          <w:color w:val="auto"/>
        </w:rPr>
      </w:pPr>
    </w:p>
    <w:p>
      <w:pPr>
        <w:ind w:right="20" w:firstLine="557"/>
        <w:spacing w:after="0" w:line="296" w:lineRule="auto"/>
        <w:rPr>
          <w:sz w:val="20"/>
          <w:szCs w:val="20"/>
          <w:color w:val="auto"/>
        </w:rPr>
      </w:pPr>
      <w:r>
        <w:rPr>
          <w:rFonts w:ascii="Arial" w:cs="Arial" w:eastAsia="Arial" w:hAnsi="Arial"/>
          <w:sz w:val="17"/>
          <w:szCs w:val="17"/>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June 30, 2021 and December 31, 2020 (in thousands):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6"/>
                <w:szCs w:val="16"/>
                <w:color w:val="auto"/>
              </w:rPr>
            </w:pPr>
          </w:p>
        </w:tc>
      </w:tr>
      <w:tr>
        <w:trPr>
          <w:trHeight w:val="196"/>
        </w:trPr>
        <w:tc>
          <w:tcPr>
            <w:tcW w:w="7900" w:type="dxa"/>
            <w:vAlign w:val="bottom"/>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7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inventory</w:t>
            </w:r>
          </w:p>
        </w:tc>
        <w:tc>
          <w:tcPr>
            <w:tcW w:w="9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9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r>
      <w:tr>
        <w:trPr>
          <w:trHeight w:val="29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1,503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54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543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and Long-Lived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 of the following as of June 30, 2021 and December 31, 2020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97"/>
        </w:trPr>
        <w:tc>
          <w:tcPr>
            <w:tcW w:w="4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hardware</w:t>
            </w:r>
          </w:p>
        </w:tc>
        <w:tc>
          <w:tcPr>
            <w:tcW w:w="2560" w:type="dxa"/>
            <w:vAlign w:val="bottom"/>
            <w:shd w:val="clear" w:color="auto" w:fill="CFF0FC"/>
          </w:tcPr>
          <w:p>
            <w:pPr>
              <w:spacing w:after="0"/>
              <w:rPr>
                <w:sz w:val="22"/>
                <w:szCs w:val="22"/>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22"/>
                <w:szCs w:val="22"/>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560" w:type="dxa"/>
            <w:vAlign w:val="bottom"/>
          </w:tcPr>
          <w:p>
            <w:pPr>
              <w:spacing w:after="0"/>
              <w:rPr>
                <w:sz w:val="21"/>
                <w:szCs w:val="21"/>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w:t>
            </w:r>
          </w:p>
        </w:tc>
        <w:tc>
          <w:tcPr>
            <w:tcW w:w="2560" w:type="dxa"/>
            <w:vAlign w:val="bottom"/>
            <w:shd w:val="clear" w:color="auto" w:fill="CFF0FC"/>
          </w:tcPr>
          <w:p>
            <w:pPr>
              <w:spacing w:after="0"/>
              <w:rPr>
                <w:sz w:val="22"/>
                <w:szCs w:val="22"/>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FF0FC"/>
          </w:tcPr>
          <w:p>
            <w:pPr>
              <w:spacing w:after="0"/>
              <w:rPr>
                <w:sz w:val="22"/>
                <w:szCs w:val="22"/>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Patent</w:t>
            </w:r>
          </w:p>
        </w:tc>
        <w:tc>
          <w:tcPr>
            <w:tcW w:w="2560" w:type="dxa"/>
            <w:vAlign w:val="bottom"/>
          </w:tcPr>
          <w:p>
            <w:pPr>
              <w:spacing w:after="0"/>
              <w:rPr>
                <w:sz w:val="21"/>
                <w:szCs w:val="21"/>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17 years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56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Shorter of useful</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000" w:type="dxa"/>
            <w:vAlign w:val="bottom"/>
            <w:shd w:val="clear" w:color="auto" w:fill="CFF0FC"/>
          </w:tcPr>
          <w:p>
            <w:pPr>
              <w:spacing w:after="0"/>
              <w:rPr>
                <w:sz w:val="21"/>
                <w:szCs w:val="21"/>
                <w:color w:val="auto"/>
              </w:rPr>
            </w:pPr>
          </w:p>
        </w:tc>
        <w:tc>
          <w:tcPr>
            <w:tcW w:w="256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life or lease term</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FF0FC"/>
          </w:tcPr>
          <w:p>
            <w:pPr>
              <w:spacing w:after="0"/>
              <w:rPr>
                <w:sz w:val="21"/>
                <w:szCs w:val="21"/>
                <w:color w:val="auto"/>
              </w:rPr>
            </w:pPr>
          </w:p>
        </w:tc>
      </w:tr>
      <w:tr>
        <w:trPr>
          <w:trHeight w:val="256"/>
        </w:trPr>
        <w:tc>
          <w:tcPr>
            <w:tcW w:w="4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560" w:type="dxa"/>
            <w:vAlign w:val="bottom"/>
          </w:tcPr>
          <w:p>
            <w:pPr>
              <w:spacing w:after="0"/>
              <w:rPr>
                <w:sz w:val="22"/>
                <w:szCs w:val="22"/>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7 years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r>
      <w:tr>
        <w:trPr>
          <w:trHeight w:val="25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shd w:val="clear" w:color="auto" w:fill="CFF0FC"/>
          </w:tcPr>
          <w:p>
            <w:pPr>
              <w:spacing w:after="0"/>
              <w:rPr>
                <w:sz w:val="21"/>
                <w:szCs w:val="21"/>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(8,966 )</w:t>
            </w: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(7,614 )</w:t>
            </w:r>
          </w:p>
        </w:tc>
      </w:tr>
      <w:tr>
        <w:trPr>
          <w:trHeight w:val="290"/>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56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4"/>
        </w:trPr>
        <w:tc>
          <w:tcPr>
            <w:tcW w:w="4000" w:type="dxa"/>
            <w:vAlign w:val="bottom"/>
          </w:tcPr>
          <w:p>
            <w:pPr>
              <w:spacing w:after="0"/>
              <w:rPr>
                <w:sz w:val="24"/>
                <w:szCs w:val="24"/>
                <w:color w:val="auto"/>
              </w:rPr>
            </w:pPr>
          </w:p>
        </w:tc>
        <w:tc>
          <w:tcPr>
            <w:tcW w:w="256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-462280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-445135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-462280</wp:posOffset>
            </wp:positionV>
            <wp:extent cx="59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-445135</wp:posOffset>
            </wp:positionV>
            <wp:extent cx="59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ind w:left="1120"/>
        <w:spacing w:after="0"/>
        <w:rPr>
          <w:sz w:val="20"/>
          <w:szCs w:val="20"/>
          <w:color w:val="auto"/>
        </w:rPr>
      </w:pPr>
      <w:r>
        <w:rPr>
          <w:rFonts w:ascii="Arial" w:cs="Arial" w:eastAsia="Arial" w:hAnsi="Arial"/>
          <w:sz w:val="18"/>
          <w:szCs w:val="18"/>
          <w:color w:val="auto"/>
        </w:rPr>
        <w:t>Depreciation expense for the three and six months ended June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r>
      <w:tr>
        <w:trPr>
          <w:trHeight w:val="196"/>
        </w:trPr>
        <w:tc>
          <w:tcPr>
            <w:tcW w:w="59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5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2"/>
                <w:szCs w:val="22"/>
                <w:color w:val="auto"/>
              </w:rPr>
            </w:pPr>
          </w:p>
        </w:tc>
      </w:tr>
      <w:tr>
        <w:trPr>
          <w:trHeight w:val="250"/>
        </w:trPr>
        <w:tc>
          <w:tcPr>
            <w:tcW w:w="59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6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2"/>
                <w:szCs w:val="22"/>
                <w:color w:val="auto"/>
              </w:rPr>
            </w:pPr>
          </w:p>
        </w:tc>
      </w:tr>
      <w:tr>
        <w:trPr>
          <w:trHeight w:val="250"/>
        </w:trPr>
        <w:tc>
          <w:tcPr>
            <w:tcW w:w="59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282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r>
      <w:tr>
        <w:trPr>
          <w:trHeight w:val="257"/>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687</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458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-193675</wp:posOffset>
            </wp:positionV>
            <wp:extent cx="7747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1714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-193675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lease expense for the three and six months ended June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5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7"/>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Total operating lease expense</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335</w:t>
            </w:r>
          </w:p>
        </w:tc>
        <w:tc>
          <w:tcPr>
            <w:tcW w:w="11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315</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-193675</wp:posOffset>
            </wp:positionV>
            <wp:extent cx="1625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16319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-193675</wp:posOffset>
            </wp:positionV>
            <wp:extent cx="1454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360" w:firstLine="644"/>
        <w:spacing w:after="0" w:line="324" w:lineRule="auto"/>
        <w:rPr>
          <w:sz w:val="20"/>
          <w:szCs w:val="20"/>
          <w:color w:val="auto"/>
        </w:rPr>
      </w:pPr>
      <w:r>
        <w:rPr>
          <w:rFonts w:ascii="Arial" w:cs="Arial" w:eastAsia="Arial" w:hAnsi="Arial"/>
          <w:sz w:val="17"/>
          <w:szCs w:val="17"/>
          <w:color w:val="auto"/>
        </w:rPr>
        <w:t>During the second quarter of 2021, the Company extended by three years an existing operating lease and entered into a new three year facility operating lease. In connection with these leases, the Company recorded non-cash ROU assets and liabilities of $0.9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35" w:lineRule="exact"/>
        <w:rPr>
          <w:sz w:val="20"/>
          <w:szCs w:val="20"/>
          <w:color w:val="auto"/>
        </w:rPr>
      </w:pPr>
    </w:p>
    <w:p>
      <w:pPr>
        <w:ind w:right="160" w:firstLine="557"/>
        <w:spacing w:after="0" w:line="275" w:lineRule="auto"/>
        <w:rPr>
          <w:sz w:val="20"/>
          <w:szCs w:val="20"/>
          <w:color w:val="auto"/>
        </w:rPr>
      </w:pPr>
      <w:r>
        <w:rPr>
          <w:rFonts w:ascii="Arial" w:cs="Arial" w:eastAsia="Arial" w:hAnsi="Arial"/>
          <w:sz w:val="18"/>
          <w:szCs w:val="18"/>
          <w:color w:val="auto"/>
        </w:rPr>
        <w:t>As of June 30, 2021, 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77" w:lineRule="exact"/>
        <w:rPr>
          <w:sz w:val="20"/>
          <w:szCs w:val="20"/>
          <w:color w:val="auto"/>
        </w:rPr>
      </w:pPr>
    </w:p>
    <w:p>
      <w:pPr>
        <w:ind w:right="260" w:firstLine="557"/>
        <w:spacing w:after="0" w:line="293" w:lineRule="auto"/>
        <w:rPr>
          <w:sz w:val="20"/>
          <w:szCs w:val="20"/>
          <w:color w:val="auto"/>
        </w:rPr>
      </w:pPr>
      <w:r>
        <w:rPr>
          <w:rFonts w:ascii="Arial" w:cs="Arial" w:eastAsia="Arial" w:hAnsi="Arial"/>
          <w:sz w:val="18"/>
          <w:szCs w:val="18"/>
          <w:color w:val="auto"/>
        </w:rPr>
        <w:t>In connection with the Company's IPO on July 2, 2021, the 8,665,797 shares of common stock outstanding on June 30, 2021 were reclassified to Class A common stock.</w:t>
      </w:r>
    </w:p>
    <w:p>
      <w:pPr>
        <w:spacing w:after="0" w:line="62" w:lineRule="exact"/>
        <w:rPr>
          <w:sz w:val="20"/>
          <w:szCs w:val="20"/>
          <w:color w:val="auto"/>
        </w:rPr>
      </w:pPr>
    </w:p>
    <w:p>
      <w:pPr>
        <w:ind w:right="160" w:firstLine="557"/>
        <w:spacing w:after="0" w:line="279" w:lineRule="auto"/>
        <w:rPr>
          <w:sz w:val="20"/>
          <w:szCs w:val="20"/>
          <w:color w:val="auto"/>
        </w:rPr>
      </w:pPr>
      <w:r>
        <w:rPr>
          <w:rFonts w:ascii="Arial" w:cs="Arial" w:eastAsia="Arial" w:hAnsi="Arial"/>
          <w:sz w:val="18"/>
          <w:szCs w:val="18"/>
          <w:color w:val="auto"/>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750,000,000 are designated Class A common stock;</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5,000,000 are designated Class B common stock; and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50,000,000 are designated preferred stock.</w:t>
      </w:r>
    </w:p>
    <w:p>
      <w:pPr>
        <w:spacing w:after="0" w:line="131" w:lineRule="exact"/>
        <w:rPr>
          <w:sz w:val="20"/>
          <w:szCs w:val="20"/>
          <w:color w:val="auto"/>
        </w:rPr>
      </w:pPr>
    </w:p>
    <w:p>
      <w:pPr>
        <w:ind w:right="40" w:firstLine="557"/>
        <w:spacing w:after="0" w:line="279" w:lineRule="auto"/>
        <w:rPr>
          <w:sz w:val="20"/>
          <w:szCs w:val="20"/>
          <w:color w:val="auto"/>
        </w:rPr>
      </w:pPr>
      <w:r>
        <w:rPr>
          <w:rFonts w:ascii="Arial" w:cs="Arial" w:eastAsia="Arial" w:hAnsi="Arial"/>
          <w:sz w:val="18"/>
          <w:szCs w:val="18"/>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w:t>
      </w:r>
    </w:p>
    <w:p>
      <w:pPr>
        <w:spacing w:after="0" w:line="75" w:lineRule="exact"/>
        <w:rPr>
          <w:sz w:val="20"/>
          <w:szCs w:val="20"/>
          <w:color w:val="auto"/>
        </w:rPr>
      </w:pPr>
    </w:p>
    <w:p>
      <w:pPr>
        <w:ind w:right="220" w:firstLine="644"/>
        <w:spacing w:after="0" w:line="324" w:lineRule="auto"/>
        <w:rPr>
          <w:sz w:val="20"/>
          <w:szCs w:val="20"/>
          <w:color w:val="auto"/>
        </w:rPr>
      </w:pPr>
      <w:r>
        <w:rPr>
          <w:rFonts w:ascii="Arial" w:cs="Arial" w:eastAsia="Arial" w:hAnsi="Arial"/>
          <w:sz w:val="17"/>
          <w:szCs w:val="17"/>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35" w:lineRule="exact"/>
        <w:rPr>
          <w:sz w:val="20"/>
          <w:szCs w:val="20"/>
          <w:color w:val="auto"/>
        </w:rPr>
      </w:pPr>
    </w:p>
    <w:p>
      <w:pPr>
        <w:ind w:right="120" w:firstLine="557"/>
        <w:spacing w:after="0" w:line="272" w:lineRule="auto"/>
        <w:rPr>
          <w:sz w:val="20"/>
          <w:szCs w:val="20"/>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83" w:lineRule="exact"/>
        <w:rPr>
          <w:sz w:val="20"/>
          <w:szCs w:val="20"/>
          <w:color w:val="auto"/>
        </w:rPr>
      </w:pPr>
    </w:p>
    <w:p>
      <w:pPr>
        <w:ind w:right="140" w:firstLine="557"/>
        <w:spacing w:after="0" w:line="293" w:lineRule="auto"/>
        <w:rPr>
          <w:sz w:val="20"/>
          <w:szCs w:val="20"/>
          <w:color w:val="auto"/>
        </w:rPr>
      </w:pPr>
      <w:r>
        <w:rPr>
          <w:rFonts w:ascii="Arial" w:cs="Arial" w:eastAsia="Arial" w:hAnsi="Arial"/>
          <w:sz w:val="18"/>
          <w:szCs w:val="18"/>
          <w:color w:val="auto"/>
        </w:rPr>
        <w:t>As of June 30, 2021 and December 31, 2020, the numbers of authorized and outstanding shares in the Convertible Preferred Stock, with their total respective liquidation preferences, were as follows (in thousands, except share and per share data):</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15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4"/>
              </w:rPr>
              <w:t>Shares</w:t>
            </w:r>
          </w:p>
        </w:tc>
        <w:tc>
          <w:tcPr>
            <w:tcW w:w="10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Liquidation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7"/>
                <w:szCs w:val="17"/>
                <w:color w:val="auto"/>
              </w:rPr>
            </w:pPr>
          </w:p>
        </w:tc>
      </w:tr>
      <w:tr>
        <w:trPr>
          <w:trHeight w:val="190"/>
        </w:trPr>
        <w:tc>
          <w:tcPr>
            <w:tcW w:w="4840" w:type="dxa"/>
            <w:vAlign w:val="bottom"/>
          </w:tcPr>
          <w:p>
            <w:pPr>
              <w:spacing w:after="0"/>
              <w:rPr>
                <w:sz w:val="16"/>
                <w:szCs w:val="16"/>
                <w:color w:val="auto"/>
              </w:rPr>
            </w:pP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Authorized</w:t>
            </w: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preference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56"/>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Series:</w:t>
            </w:r>
          </w:p>
        </w:tc>
        <w:tc>
          <w:tcPr>
            <w:tcW w:w="11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40" w:type="dxa"/>
            <w:vAlign w:val="bottom"/>
          </w:tcPr>
          <w:p>
            <w:pPr>
              <w:ind w:left="260"/>
              <w:spacing w:after="0"/>
              <w:rPr>
                <w:sz w:val="20"/>
                <w:szCs w:val="20"/>
                <w:color w:val="auto"/>
              </w:rPr>
            </w:pPr>
            <w:r>
              <w:rPr>
                <w:rFonts w:ascii="Arial" w:cs="Arial" w:eastAsia="Arial" w:hAnsi="Arial"/>
                <w:sz w:val="18"/>
                <w:szCs w:val="18"/>
                <w:color w:val="auto"/>
              </w:rPr>
              <w:t>Series Seed-1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4,200,000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4,200,000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r>
      <w:tr>
        <w:trPr>
          <w:trHeight w:val="263"/>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Seed-2 Convertible Preferred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2,188,322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FF0FC"/>
          </w:tcPr>
          <w:p>
            <w:pPr>
              <w:spacing w:after="0"/>
              <w:rPr>
                <w:sz w:val="22"/>
                <w:szCs w:val="22"/>
                <w:color w:val="auto"/>
              </w:rPr>
            </w:pPr>
          </w:p>
        </w:tc>
      </w:tr>
      <w:tr>
        <w:trPr>
          <w:trHeight w:val="250"/>
        </w:trPr>
        <w:tc>
          <w:tcPr>
            <w:tcW w:w="4840" w:type="dxa"/>
            <w:vAlign w:val="bottom"/>
          </w:tcPr>
          <w:p>
            <w:pPr>
              <w:ind w:left="260"/>
              <w:spacing w:after="0"/>
              <w:rPr>
                <w:sz w:val="20"/>
                <w:szCs w:val="20"/>
                <w:color w:val="auto"/>
              </w:rPr>
            </w:pPr>
            <w:r>
              <w:rPr>
                <w:rFonts w:ascii="Arial" w:cs="Arial" w:eastAsia="Arial" w:hAnsi="Arial"/>
                <w:sz w:val="18"/>
                <w:szCs w:val="18"/>
                <w:color w:val="auto"/>
              </w:rPr>
              <w:t>Series A-1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4,211,094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4,211,094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1"/>
                <w:szCs w:val="21"/>
                <w:color w:val="auto"/>
              </w:rPr>
            </w:pPr>
          </w:p>
        </w:tc>
      </w:tr>
      <w:tr>
        <w:trPr>
          <w:trHeight w:val="263"/>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A-2 Convertible Preferred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1,591,230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12,839</w:t>
            </w:r>
          </w:p>
        </w:tc>
        <w:tc>
          <w:tcPr>
            <w:tcW w:w="100" w:type="dxa"/>
            <w:vAlign w:val="bottom"/>
            <w:shd w:val="clear" w:color="auto" w:fill="CFF0FC"/>
          </w:tcPr>
          <w:p>
            <w:pPr>
              <w:spacing w:after="0"/>
              <w:rPr>
                <w:sz w:val="22"/>
                <w:szCs w:val="22"/>
                <w:color w:val="auto"/>
              </w:rPr>
            </w:pPr>
          </w:p>
        </w:tc>
      </w:tr>
      <w:tr>
        <w:trPr>
          <w:trHeight w:val="250"/>
        </w:trPr>
        <w:tc>
          <w:tcPr>
            <w:tcW w:w="4840" w:type="dxa"/>
            <w:vAlign w:val="bottom"/>
          </w:tcPr>
          <w:p>
            <w:pPr>
              <w:ind w:left="260"/>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4,132,055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4,044,271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20,347</w:t>
            </w:r>
          </w:p>
        </w:tc>
        <w:tc>
          <w:tcPr>
            <w:tcW w:w="100" w:type="dxa"/>
            <w:vAlign w:val="bottom"/>
          </w:tcPr>
          <w:p>
            <w:pPr>
              <w:spacing w:after="0"/>
              <w:rPr>
                <w:sz w:val="21"/>
                <w:szCs w:val="21"/>
                <w:color w:val="auto"/>
              </w:rPr>
            </w:pPr>
          </w:p>
        </w:tc>
      </w:tr>
      <w:tr>
        <w:trPr>
          <w:trHeight w:val="263"/>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C Convertible Preferred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3,754,201</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26,004</w:t>
            </w:r>
          </w:p>
        </w:tc>
        <w:tc>
          <w:tcPr>
            <w:tcW w:w="100" w:type="dxa"/>
            <w:vAlign w:val="bottom"/>
            <w:shd w:val="clear" w:color="auto" w:fill="CFF0FC"/>
          </w:tcPr>
          <w:p>
            <w:pPr>
              <w:spacing w:after="0"/>
              <w:rPr>
                <w:sz w:val="22"/>
                <w:szCs w:val="22"/>
                <w:color w:val="auto"/>
              </w:rPr>
            </w:pPr>
          </w:p>
        </w:tc>
      </w:tr>
      <w:tr>
        <w:trPr>
          <w:trHeight w:val="250"/>
        </w:trPr>
        <w:tc>
          <w:tcPr>
            <w:tcW w:w="4840" w:type="dxa"/>
            <w:vAlign w:val="bottom"/>
          </w:tcPr>
          <w:p>
            <w:pPr>
              <w:ind w:left="260"/>
              <w:spacing w:after="0"/>
              <w:rPr>
                <w:sz w:val="20"/>
                <w:szCs w:val="20"/>
                <w:color w:val="auto"/>
              </w:rPr>
            </w:pPr>
            <w:r>
              <w:rPr>
                <w:rFonts w:ascii="Arial" w:cs="Arial" w:eastAsia="Arial" w:hAnsi="Arial"/>
                <w:sz w:val="18"/>
                <w:szCs w:val="18"/>
                <w:color w:val="auto"/>
              </w:rPr>
              <w:t>Series D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5,494,064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5,494,064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54,864</w:t>
            </w:r>
          </w:p>
        </w:tc>
        <w:tc>
          <w:tcPr>
            <w:tcW w:w="100" w:type="dxa"/>
            <w:vAlign w:val="bottom"/>
          </w:tcPr>
          <w:p>
            <w:pPr>
              <w:spacing w:after="0"/>
              <w:rPr>
                <w:sz w:val="21"/>
                <w:szCs w:val="21"/>
                <w:color w:val="auto"/>
              </w:rPr>
            </w:pPr>
          </w:p>
        </w:tc>
      </w:tr>
      <w:tr>
        <w:trPr>
          <w:trHeight w:val="257"/>
        </w:trPr>
        <w:tc>
          <w:tcPr>
            <w:tcW w:w="4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Series E Convertible Preferred Stock</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2,275,759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32,693</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Totals</w:t>
            </w:r>
          </w:p>
        </w:tc>
        <w:tc>
          <w:tcPr>
            <w:tcW w:w="1140" w:type="dxa"/>
            <w:vAlign w:val="bottom"/>
          </w:tcPr>
          <w:p>
            <w:pPr>
              <w:jc w:val="right"/>
              <w:spacing w:after="0"/>
              <w:rPr>
                <w:sz w:val="20"/>
                <w:szCs w:val="20"/>
                <w:color w:val="auto"/>
              </w:rPr>
            </w:pPr>
            <w:r>
              <w:rPr>
                <w:rFonts w:ascii="Arial" w:cs="Arial" w:eastAsia="Arial" w:hAnsi="Arial"/>
                <w:sz w:val="18"/>
                <w:szCs w:val="18"/>
                <w:color w:val="auto"/>
              </w:rPr>
              <w:t>27,970,966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27,758,941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163,520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160,713</w:t>
            </w:r>
          </w:p>
        </w:tc>
        <w:tc>
          <w:tcPr>
            <w:tcW w:w="10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-193675</wp:posOffset>
            </wp:positionV>
            <wp:extent cx="1543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wp:posOffset>
            </wp:positionV>
            <wp:extent cx="1543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371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Company's IPO on July 2, 2021, 27,758,941 shares of Convertible Preferred Stock were converted to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Based Compensation</w:t>
      </w:r>
    </w:p>
    <w:p>
      <w:pPr>
        <w:spacing w:after="0" w:line="135" w:lineRule="exact"/>
        <w:rPr>
          <w:sz w:val="20"/>
          <w:szCs w:val="20"/>
          <w:color w:val="auto"/>
        </w:rPr>
      </w:pPr>
    </w:p>
    <w:p>
      <w:pPr>
        <w:ind w:right="20" w:firstLine="557"/>
        <w:spacing w:after="0" w:line="275" w:lineRule="auto"/>
        <w:rPr>
          <w:sz w:val="20"/>
          <w:szCs w:val="20"/>
          <w:color w:val="auto"/>
        </w:rPr>
      </w:pPr>
      <w:r>
        <w:rPr>
          <w:rFonts w:ascii="Arial" w:cs="Arial" w:eastAsia="Arial" w:hAnsi="Arial"/>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7" w:lineRule="exact"/>
        <w:rPr>
          <w:sz w:val="20"/>
          <w:szCs w:val="20"/>
          <w:color w:val="auto"/>
        </w:rPr>
      </w:pPr>
    </w:p>
    <w:p>
      <w:pPr>
        <w:jc w:val="both"/>
        <w:ind w:right="20" w:firstLine="557"/>
        <w:spacing w:after="0" w:line="279" w:lineRule="auto"/>
        <w:rPr>
          <w:sz w:val="20"/>
          <w:szCs w:val="20"/>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75" w:lineRule="exact"/>
        <w:rPr>
          <w:sz w:val="20"/>
          <w:szCs w:val="20"/>
          <w:color w:val="auto"/>
        </w:rPr>
      </w:pPr>
    </w:p>
    <w:p>
      <w:pPr>
        <w:ind w:right="100" w:firstLine="557"/>
        <w:spacing w:after="0" w:line="319" w:lineRule="auto"/>
        <w:rPr>
          <w:sz w:val="20"/>
          <w:szCs w:val="20"/>
          <w:color w:val="auto"/>
        </w:rPr>
      </w:pPr>
      <w:r>
        <w:rPr>
          <w:rFonts w:ascii="Arial" w:cs="Arial" w:eastAsia="Arial" w:hAnsi="Arial"/>
          <w:sz w:val="16"/>
          <w:szCs w:val="16"/>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48" w:lineRule="exact"/>
        <w:rPr>
          <w:sz w:val="20"/>
          <w:szCs w:val="20"/>
          <w:color w:val="auto"/>
        </w:rPr>
      </w:pPr>
    </w:p>
    <w:p>
      <w:pPr>
        <w:jc w:val="both"/>
        <w:ind w:right="20" w:firstLine="557"/>
        <w:spacing w:after="0" w:line="279" w:lineRule="auto"/>
        <w:rPr>
          <w:sz w:val="20"/>
          <w:szCs w:val="20"/>
          <w:color w:val="auto"/>
        </w:rPr>
      </w:pPr>
      <w:r>
        <w:rPr>
          <w:rFonts w:ascii="Arial" w:cs="Arial" w:eastAsia="Arial" w:hAnsi="Arial"/>
          <w:sz w:val="18"/>
          <w:szCs w:val="18"/>
          <w:color w:val="auto"/>
        </w:rPr>
        <w:t>As of June 30, 2021 and December 31, 2020, there were 177,183 shares and 203,535 shares, respectively available for the Company to grant under the 2016 Equity Incentive Plan. The weighted average assumptions for the six months ended June 30, 2021 and June 30, 2020 are provided in the following table. The Company recognizes forfeitures as incurred.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Valuation assumptions:</w:t>
            </w:r>
          </w:p>
        </w:tc>
        <w:tc>
          <w:tcPr>
            <w:tcW w:w="3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Expected dividend yield</w:t>
            </w:r>
          </w:p>
        </w:tc>
        <w:tc>
          <w:tcPr>
            <w:tcW w:w="3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volatility</w:t>
            </w:r>
          </w:p>
        </w:tc>
        <w:tc>
          <w:tcPr>
            <w:tcW w:w="3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Expected term (years)</w:t>
            </w:r>
          </w:p>
        </w:tc>
        <w:tc>
          <w:tcPr>
            <w:tcW w:w="3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Risk-free interest rate</w:t>
            </w:r>
          </w:p>
        </w:tc>
        <w:tc>
          <w:tcPr>
            <w:tcW w:w="3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0.8 %</w:t>
            </w: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Fair value of share</w:t>
            </w:r>
          </w:p>
        </w:tc>
        <w:tc>
          <w:tcPr>
            <w:tcW w:w="3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26.96</w:t>
            </w:r>
          </w:p>
        </w:tc>
        <w:tc>
          <w:tcPr>
            <w:tcW w:w="20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581"/>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60" w:type="dxa"/>
            <w:vAlign w:val="bottom"/>
          </w:tcPr>
          <w:p>
            <w:pPr>
              <w:jc w:val="right"/>
              <w:ind w:right="171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ind w:right="220" w:firstLine="557"/>
        <w:spacing w:after="0" w:line="293" w:lineRule="auto"/>
        <w:rPr>
          <w:sz w:val="20"/>
          <w:szCs w:val="20"/>
          <w:color w:val="auto"/>
        </w:rPr>
      </w:pPr>
      <w:r>
        <w:rPr>
          <w:rFonts w:ascii="Arial" w:cs="Arial" w:eastAsia="Arial" w:hAnsi="Arial"/>
          <w:sz w:val="18"/>
          <w:szCs w:val="18"/>
          <w:color w:val="auto"/>
        </w:rPr>
        <w:t>A summary of the status of the Company’s stock option activity and the changes during the period ended are as follows (in millions, except share and per share amounts):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6"/>
        </w:trPr>
        <w:tc>
          <w:tcPr>
            <w:tcW w:w="524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5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December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1,193,301</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2"/>
                <w:szCs w:val="22"/>
                <w:color w:val="auto"/>
              </w:rPr>
            </w:pPr>
          </w:p>
        </w:tc>
      </w:tr>
      <w:tr>
        <w:trPr>
          <w:trHeight w:val="506"/>
        </w:trPr>
        <w:tc>
          <w:tcPr>
            <w:tcW w:w="52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3,152,774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r>
      <w:tr>
        <w:trPr>
          <w:trHeight w:val="26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1,393,431</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(910,015 )</w:t>
            </w: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(75,332 )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5240" w:type="dxa"/>
            <w:vAlign w:val="bottom"/>
          </w:tcPr>
          <w:p>
            <w:pPr>
              <w:ind w:left="26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(7,668 )</w:t>
            </w: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3,553,190</w:t>
            </w:r>
          </w:p>
        </w:tc>
        <w:tc>
          <w:tcPr>
            <w:tcW w:w="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0"/>
        </w:trPr>
        <w:tc>
          <w:tcPr>
            <w:tcW w:w="524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040" w:type="dxa"/>
            <w:vAlign w:val="bottom"/>
          </w:tcPr>
          <w:p>
            <w:pPr>
              <w:jc w:val="right"/>
              <w:spacing w:after="0"/>
              <w:rPr>
                <w:sz w:val="20"/>
                <w:szCs w:val="20"/>
                <w:color w:val="auto"/>
              </w:rPr>
            </w:pPr>
            <w:r>
              <w:rPr>
                <w:rFonts w:ascii="Arial" w:cs="Arial" w:eastAsia="Arial" w:hAnsi="Arial"/>
                <w:sz w:val="18"/>
                <w:szCs w:val="18"/>
                <w:color w:val="auto"/>
              </w:rPr>
              <w:t>797,902</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-342265</wp:posOffset>
            </wp:positionV>
            <wp:extent cx="1454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-325120</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40" w:firstLine="557"/>
        <w:spacing w:after="0" w:line="293" w:lineRule="auto"/>
        <w:rPr>
          <w:sz w:val="20"/>
          <w:szCs w:val="20"/>
          <w:color w:val="auto"/>
        </w:rPr>
      </w:pPr>
      <w:r>
        <w:rPr>
          <w:rFonts w:ascii="Arial" w:cs="Arial" w:eastAsia="Arial" w:hAnsi="Arial"/>
          <w:sz w:val="18"/>
          <w:szCs w:val="18"/>
          <w:color w:val="auto"/>
        </w:rPr>
        <w:t>The weighted average grant date fair value of options granted during the six months ended June 30, 2021 was $18.73. The total intrinsic value of options exercised during the six months ended June 30, 2021 was $23.7 million.</w:t>
      </w:r>
    </w:p>
    <w:p>
      <w:pPr>
        <w:spacing w:after="0" w:line="62" w:lineRule="exact"/>
        <w:rPr>
          <w:sz w:val="20"/>
          <w:szCs w:val="20"/>
          <w:color w:val="auto"/>
        </w:rPr>
      </w:pPr>
    </w:p>
    <w:p>
      <w:pPr>
        <w:ind w:right="180" w:firstLine="557"/>
        <w:spacing w:after="0" w:line="324" w:lineRule="auto"/>
        <w:rPr>
          <w:sz w:val="20"/>
          <w:szCs w:val="20"/>
          <w:color w:val="auto"/>
        </w:rPr>
      </w:pPr>
      <w:r>
        <w:rPr>
          <w:rFonts w:ascii="Arial" w:cs="Arial" w:eastAsia="Arial" w:hAnsi="Arial"/>
          <w:sz w:val="17"/>
          <w:szCs w:val="17"/>
          <w:color w:val="auto"/>
        </w:rPr>
        <w:t>At June 30, 2021, there was approximately $26.3 million of total unrecognized compensation cost related to unvested stock options granted under the 2016 Equity Incentive Plan. That cost is expected to be recognized over a weighted average period of 3.7 years at June 30, 2021.</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131" w:lineRule="exact"/>
        <w:rPr>
          <w:sz w:val="20"/>
          <w:szCs w:val="20"/>
          <w:color w:val="auto"/>
        </w:rPr>
      </w:pPr>
    </w:p>
    <w:p>
      <w:pPr>
        <w:ind w:firstLine="557"/>
        <w:spacing w:after="0" w:line="271" w:lineRule="auto"/>
        <w:rPr>
          <w:sz w:val="20"/>
          <w:szCs w:val="20"/>
          <w:color w:val="auto"/>
        </w:rPr>
      </w:pPr>
      <w:r>
        <w:rPr>
          <w:rFonts w:ascii="Arial" w:cs="Arial" w:eastAsia="Arial" w:hAnsi="Arial"/>
          <w:sz w:val="18"/>
          <w:szCs w:val="18"/>
          <w:color w:val="auto"/>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4 years from the grant date.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stock-based compensation cost for the three and six months ended June 30, 2021 and 2020 were as follows (in thousands):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16"/>
                <w:szCs w:val="16"/>
                <w:color w:val="auto"/>
              </w:rPr>
            </w:pPr>
          </w:p>
        </w:tc>
      </w:tr>
      <w:tr>
        <w:trPr>
          <w:trHeight w:val="196"/>
        </w:trPr>
        <w:tc>
          <w:tcPr>
            <w:tcW w:w="49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02"/>
        </w:trPr>
        <w:tc>
          <w:tcPr>
            <w:tcW w:w="4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8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r>
      <w:tr>
        <w:trPr>
          <w:trHeight w:val="26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72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r>
      <w:tr>
        <w:trPr>
          <w:trHeight w:val="290"/>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compensation expense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1,975</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162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1625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460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460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46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460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firstLine="557"/>
        <w:spacing w:after="0" w:line="290" w:lineRule="auto"/>
        <w:rPr>
          <w:sz w:val="20"/>
          <w:szCs w:val="20"/>
          <w:color w:val="auto"/>
        </w:rPr>
      </w:pPr>
      <w:r>
        <w:rPr>
          <w:rFonts w:ascii="Arial" w:cs="Arial" w:eastAsia="Arial" w:hAnsi="Arial"/>
          <w:sz w:val="17"/>
          <w:szCs w:val="17"/>
          <w:color w:val="auto"/>
        </w:rPr>
        <w:t>In connection with the IPO on July 2, 2021, the Company's board of directors adopted the 2021 Equity Incentive Plan (the "2021 Equity Plan"). The 2021 Equity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 The maximum number of shares of common stock that may be issued under the Company's 2021 Plan is 4,026,588 shares.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Income Taxes</w:t>
      </w:r>
    </w:p>
    <w:p>
      <w:pPr>
        <w:spacing w:after="0" w:line="364" w:lineRule="exact"/>
        <w:rPr>
          <w:sz w:val="20"/>
          <w:szCs w:val="20"/>
          <w:color w:val="auto"/>
        </w:rPr>
      </w:pPr>
    </w:p>
    <w:p>
      <w:pPr>
        <w:ind w:right="160" w:firstLine="557"/>
        <w:spacing w:after="0" w:line="293" w:lineRule="auto"/>
        <w:rPr>
          <w:sz w:val="20"/>
          <w:szCs w:val="20"/>
          <w:color w:val="auto"/>
        </w:rPr>
      </w:pPr>
      <w:r>
        <w:rPr>
          <w:rFonts w:ascii="Arial" w:cs="Arial" w:eastAsia="Arial" w:hAnsi="Arial"/>
          <w:sz w:val="18"/>
          <w:szCs w:val="18"/>
          <w:color w:val="auto"/>
        </w:rPr>
        <w:t>A full valuation allowance has been established against our net U.S. federal and state deferred tax assets and foreign deferred tax assets, including net operating loss carryforwards.</w:t>
      </w:r>
    </w:p>
    <w:p>
      <w:pPr>
        <w:spacing w:after="0" w:line="62" w:lineRule="exact"/>
        <w:rPr>
          <w:sz w:val="20"/>
          <w:szCs w:val="20"/>
          <w:color w:val="auto"/>
        </w:rPr>
      </w:pPr>
    </w:p>
    <w:p>
      <w:pPr>
        <w:jc w:val="both"/>
        <w:ind w:right="220" w:firstLine="557"/>
        <w:spacing w:after="0" w:line="279" w:lineRule="auto"/>
        <w:rPr>
          <w:sz w:val="20"/>
          <w:szCs w:val="20"/>
          <w:color w:val="auto"/>
        </w:rPr>
      </w:pPr>
      <w:r>
        <w:rPr>
          <w:rFonts w:ascii="Arial" w:cs="Arial" w:eastAsia="Arial" w:hAnsi="Arial"/>
          <w:sz w:val="18"/>
          <w:szCs w:val="18"/>
          <w:color w:val="auto"/>
        </w:rPr>
        <w:t>The Company had no current or deferred income tax benefit or expense in the U.S. or Germany for the three and six months ended June 30, 2021 and 2020. This effective tax rate of 0% differs from the U.S. federal statutory rate primarily due to the effects of certain permanent items, foreign tax rate differences, and increases in the valuation allowance against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31" w:lineRule="exact"/>
        <w:rPr>
          <w:sz w:val="20"/>
          <w:szCs w:val="20"/>
          <w:color w:val="auto"/>
        </w:rPr>
      </w:pPr>
    </w:p>
    <w:p>
      <w:pPr>
        <w:ind w:right="20" w:firstLine="557"/>
        <w:spacing w:after="0" w:line="271" w:lineRule="auto"/>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 similar state amounts, of approximately $90.1 million available to reduce future income subject to income taxes before limitations. As of December 31, 2020, the Company had a net operating loss carryforward for tax purposes related to its foreign subsidiary of $10.2 million. U.S. federal net operating carryforwards generated prior to 2018 in the approximate amount of $26.6 million will begin to expire, if not utilized, in 2033. German net operating loss and U.S. federal net operating losses post 2017 have an indefinite life. The Company expects the $90.1 million of U.S. federal net operating losses to be available to offset future taxable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135" w:lineRule="exact"/>
        <w:rPr>
          <w:sz w:val="20"/>
          <w:szCs w:val="20"/>
          <w:color w:val="auto"/>
        </w:rPr>
      </w:pPr>
    </w:p>
    <w:p>
      <w:pPr>
        <w:ind w:right="340" w:firstLine="557"/>
        <w:spacing w:after="0" w:line="293"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Three Months Ended June 30,</w:t>
            </w:r>
          </w:p>
        </w:tc>
        <w:tc>
          <w:tcPr>
            <w:tcW w:w="180" w:type="dxa"/>
            <w:vAlign w:val="bottom"/>
          </w:tcPr>
          <w:p>
            <w:pPr>
              <w:spacing w:after="0"/>
              <w:rPr>
                <w:sz w:val="16"/>
                <w:szCs w:val="16"/>
                <w:color w:val="auto"/>
              </w:rPr>
            </w:pPr>
          </w:p>
        </w:tc>
        <w:tc>
          <w:tcPr>
            <w:tcW w:w="21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(12,264 )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(6,119 )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(22,765 )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(14,726 )</w:t>
            </w:r>
          </w:p>
        </w:tc>
        <w:tc>
          <w:tcPr>
            <w:tcW w:w="0" w:type="dxa"/>
            <w:vAlign w:val="bottom"/>
          </w:tcPr>
          <w:p>
            <w:pPr>
              <w:spacing w:after="0"/>
              <w:rPr>
                <w:sz w:val="1"/>
                <w:szCs w:val="1"/>
                <w:color w:val="auto"/>
              </w:rPr>
            </w:pPr>
          </w:p>
        </w:tc>
      </w:tr>
      <w:tr>
        <w:trPr>
          <w:trHeight w:val="486"/>
        </w:trPr>
        <w:tc>
          <w:tcPr>
            <w:tcW w:w="6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 compute net loss</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8,390,088</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7,473,918</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8,158,753</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7,414,295</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-685165</wp:posOffset>
            </wp:positionV>
            <wp:extent cx="171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-668020</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-685165</wp:posOffset>
            </wp:positionV>
            <wp:extent cx="1625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-668020</wp:posOffset>
            </wp:positionV>
            <wp:extent cx="162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-685165</wp:posOffset>
            </wp:positionV>
            <wp:extent cx="1631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-668020</wp:posOffset>
            </wp:positionV>
            <wp:extent cx="163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171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714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625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625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631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63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40" w:firstLine="557"/>
        <w:spacing w:after="0" w:line="271" w:lineRule="auto"/>
        <w:rPr>
          <w:sz w:val="20"/>
          <w:szCs w:val="20"/>
          <w:color w:val="auto"/>
        </w:rPr>
      </w:pPr>
      <w:r>
        <w:rPr>
          <w:rFonts w:ascii="Arial" w:cs="Arial" w:eastAsia="Arial" w:hAnsi="Arial"/>
          <w:sz w:val="18"/>
          <w:szCs w:val="18"/>
          <w:color w:val="auto"/>
        </w:rPr>
        <w:t>For the three months ended June 30, 2021 and 2020, the Company had approximately 30.5 million shares and approximately 26.4 million shares, respectively, that are potentially dilutive securities that were excluded from the computation of diluted net loss per share because including them would have had an anti-dilutive effect. Of these potentially dilutive shares as of June 30, 2021 and 2020, approximately 27.8 million shares and approximately 25.5 million shares, respectively are in the form of convertible preferred stock, approximately 2.7 million shares and approximately 0.9 million shares, respectively are in the form of outstanding stock options and approximately 0.1 million shares and approximately 13,000 shares, respectively are in the form of outstanding warrants.</w:t>
      </w:r>
    </w:p>
    <w:p>
      <w:pPr>
        <w:spacing w:after="0" w:line="204" w:lineRule="exact"/>
        <w:rPr>
          <w:sz w:val="20"/>
          <w:szCs w:val="20"/>
          <w:color w:val="auto"/>
        </w:rPr>
      </w:pPr>
    </w:p>
    <w:p>
      <w:pPr>
        <w:jc w:val="both"/>
        <w:ind w:right="320" w:firstLine="557"/>
        <w:spacing w:after="0" w:line="271" w:lineRule="auto"/>
        <w:rPr>
          <w:sz w:val="20"/>
          <w:szCs w:val="20"/>
          <w:color w:val="auto"/>
        </w:rPr>
      </w:pPr>
      <w:r>
        <w:rPr>
          <w:rFonts w:ascii="Arial" w:cs="Arial" w:eastAsia="Arial" w:hAnsi="Arial"/>
          <w:sz w:val="18"/>
          <w:szCs w:val="18"/>
          <w:color w:val="auto"/>
        </w:rPr>
        <w:t>For the six months ended June 30, 2021 and 2020, the Company had approximately 30.4 million shares and approximately 26.4 million shares, respectively, that are potentially dilutive securities that were excluded from the computation of diluted net loss per share because including them would have had an anti-dilutive effect. Of these potentially dilutive shares as of June 30, 2021 and 2020, approximately 27.8 million shares and approximately 25.5 million shares, respectively are in the form of convertible preferred stock, approximately 2.6 million shares and approximately 0.9 million shares, respectively are in the form of outstanding stock options and approximately 0.1 million shares and approximately 13,000 shares, respectively are in the form of outstanding warrants.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Current Assets</w:t>
      </w:r>
    </w:p>
    <w:p>
      <w:pPr>
        <w:spacing w:after="0" w:line="135" w:lineRule="exact"/>
        <w:rPr>
          <w:sz w:val="20"/>
          <w:szCs w:val="20"/>
          <w:color w:val="auto"/>
        </w:rPr>
      </w:pPr>
    </w:p>
    <w:p>
      <w:pPr>
        <w:ind w:right="20" w:firstLine="644"/>
        <w:spacing w:after="0" w:line="319" w:lineRule="auto"/>
        <w:rPr>
          <w:sz w:val="20"/>
          <w:szCs w:val="20"/>
          <w:color w:val="auto"/>
        </w:rPr>
      </w:pPr>
      <w:r>
        <w:rPr>
          <w:rFonts w:ascii="Arial" w:cs="Arial" w:eastAsia="Arial" w:hAnsi="Arial"/>
          <w:sz w:val="16"/>
          <w:szCs w:val="16"/>
          <w:color w:val="auto"/>
        </w:rPr>
        <w:t>As of June 30, 2021, the Company has $26.5 million of other current assets on its unaudited condensed consolidated balance sheet. These are costs incurred in connection with the Company's IPO which closed on July 2, 2021. This includes underwriters' fees of $22.6 million, legal and accounting fees of $2.9 million, roadshow costs of $0.3 million, printing costs of $0.2 million and listing fees of $0.3 million. IPO costs that have been incurred but not yet paid in the amount of $25.9 million are included in accrued expenses on our unaudited condensed consolidated balance sheet as of June 30,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 Commitments and Contingencies</w:t>
      </w:r>
    </w:p>
    <w:p>
      <w:pPr>
        <w:spacing w:after="0" w:line="135" w:lineRule="exact"/>
        <w:rPr>
          <w:sz w:val="20"/>
          <w:szCs w:val="20"/>
          <w:color w:val="auto"/>
        </w:rPr>
      </w:pPr>
    </w:p>
    <w:p>
      <w:pPr>
        <w:ind w:right="20" w:firstLine="557"/>
        <w:spacing w:after="0" w:line="311" w:lineRule="auto"/>
        <w:rPr>
          <w:sz w:val="20"/>
          <w:szCs w:val="20"/>
          <w:color w:val="auto"/>
        </w:rPr>
      </w:pPr>
      <w:r>
        <w:rPr>
          <w:rFonts w:ascii="Arial" w:cs="Arial" w:eastAsia="Arial" w:hAnsi="Arial"/>
          <w:sz w:val="16"/>
          <w:szCs w:val="16"/>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could borrow up to $15 million under a term loan, all of which became available to the Company immediately on the agreement date. The Company had borrowings under the term loan of $15 million as of June 30, 2021 and December 31, 2020. As of June 30, 2021 and December 31, 2020, the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right="360"/>
        <w:spacing w:after="0" w:line="293" w:lineRule="auto"/>
        <w:rPr>
          <w:sz w:val="20"/>
          <w:szCs w:val="20"/>
          <w:color w:val="auto"/>
        </w:rPr>
      </w:pPr>
      <w:r>
        <w:rPr>
          <w:rFonts w:ascii="Arial" w:cs="Arial" w:eastAsia="Arial" w:hAnsi="Arial"/>
          <w:sz w:val="18"/>
          <w:szCs w:val="18"/>
          <w:color w:val="auto"/>
        </w:rPr>
        <w:t>November 1, 2021, the amount owed would be $0.9 million. As of June 30, 2021 and December 31, 2020, the Company owed $15.9 million and $15.8 million, respectively, on this term loan, including principal borrowings and accrued end of term fee.</w:t>
      </w:r>
    </w:p>
    <w:p>
      <w:pPr>
        <w:spacing w:after="0" w:line="62" w:lineRule="exact"/>
        <w:rPr>
          <w:sz w:val="20"/>
          <w:szCs w:val="20"/>
          <w:color w:val="auto"/>
        </w:rPr>
      </w:pPr>
    </w:p>
    <w:p>
      <w:pPr>
        <w:ind w:right="240" w:firstLine="557"/>
        <w:spacing w:after="0" w:line="359" w:lineRule="auto"/>
        <w:rPr>
          <w:sz w:val="20"/>
          <w:szCs w:val="20"/>
          <w:color w:val="auto"/>
        </w:rPr>
      </w:pPr>
      <w:r>
        <w:rPr>
          <w:rFonts w:ascii="Arial" w:cs="Arial" w:eastAsia="Arial" w:hAnsi="Arial"/>
          <w:sz w:val="16"/>
          <w:szCs w:val="16"/>
          <w:color w:val="auto"/>
        </w:rPr>
        <w:t>On July 9, 2021, the Company repaid the full amount of its term loan with Hercules with proceeds from the IPO (see Note 1). In connection with the debt extinguishment, the Company paid Hercules $16.2 million. We will record a loss on debt extinguishment of approximately $0.3 million.</w:t>
      </w:r>
    </w:p>
    <w:p>
      <w:pPr>
        <w:spacing w:after="0" w:line="17" w:lineRule="exact"/>
        <w:rPr>
          <w:sz w:val="20"/>
          <w:szCs w:val="20"/>
          <w:color w:val="auto"/>
        </w:rPr>
      </w:pPr>
    </w:p>
    <w:p>
      <w:pPr>
        <w:ind w:right="200" w:firstLine="557"/>
        <w:spacing w:after="0" w:line="279"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75" w:lineRule="exact"/>
        <w:rPr>
          <w:sz w:val="20"/>
          <w:szCs w:val="20"/>
          <w:color w:val="auto"/>
        </w:rPr>
      </w:pPr>
    </w:p>
    <w:p>
      <w:pPr>
        <w:ind w:right="60" w:firstLine="557"/>
        <w:spacing w:after="0" w:line="272" w:lineRule="auto"/>
        <w:rPr>
          <w:sz w:val="20"/>
          <w:szCs w:val="20"/>
          <w:color w:val="auto"/>
        </w:rPr>
      </w:pPr>
      <w:r>
        <w:rPr>
          <w:rFonts w:ascii="Arial" w:cs="Arial" w:eastAsia="Arial" w:hAnsi="Arial"/>
          <w:sz w:val="18"/>
          <w:szCs w:val="18"/>
          <w:color w:val="auto"/>
        </w:rPr>
        <w:t>The term loan facility contained customary affirmative and negative covenants, including covenants that required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was in compliance with covenants at the time the term loan was repaid and was in compliance with these covenants as of June 30, 2021 and December 31,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jc w:val="both"/>
        <w:ind w:right="400" w:firstLine="557"/>
        <w:spacing w:after="0" w:line="275"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135" w:lineRule="exact"/>
        <w:rPr>
          <w:sz w:val="20"/>
          <w:szCs w:val="20"/>
          <w:color w:val="auto"/>
        </w:rPr>
      </w:pPr>
    </w:p>
    <w:p>
      <w:pPr>
        <w:ind w:right="60" w:firstLine="557"/>
        <w:spacing w:after="0" w:line="311" w:lineRule="auto"/>
        <w:rPr>
          <w:sz w:val="20"/>
          <w:szCs w:val="20"/>
          <w:color w:val="auto"/>
        </w:rPr>
      </w:pPr>
      <w:r>
        <w:rPr>
          <w:rFonts w:ascii="Arial" w:cs="Arial" w:eastAsia="Arial" w:hAnsi="Arial"/>
          <w:sz w:val="16"/>
          <w:szCs w:val="16"/>
          <w:color w:val="auto"/>
        </w:rPr>
        <w:t>Xometry is organized in two segments referred to as: (1) the U.S. and (2)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corporate overhead to the Europe segment. The Company’s CODM monitors assets of the consolidated Company, but does not use assets, by operating segment when assessing performance or making operating segment resource decisions.</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reflect certain segment information for the three and six months ended June 30, 2021 and 2020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77"/>
        </w:trPr>
        <w:tc>
          <w:tcPr>
            <w:tcW w:w="60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3"/>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ind w:right="313"/>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47,228</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34,135</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60,393</w:t>
            </w:r>
          </w:p>
        </w:tc>
        <w:tc>
          <w:tcPr>
            <w:tcW w:w="100" w:type="dxa"/>
            <w:vAlign w:val="bottom"/>
          </w:tcPr>
          <w:p>
            <w:pPr>
              <w:spacing w:after="0"/>
              <w:rPr>
                <w:sz w:val="21"/>
                <w:szCs w:val="21"/>
                <w:color w:val="auto"/>
              </w:rPr>
            </w:pPr>
          </w:p>
        </w:tc>
      </w:tr>
      <w:tr>
        <w:trPr>
          <w:trHeight w:val="257"/>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3,361</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77"/>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50,589</w:t>
            </w:r>
          </w:p>
        </w:tc>
        <w:tc>
          <w:tcPr>
            <w:tcW w:w="2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34,783</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61,472</w:t>
            </w:r>
          </w:p>
        </w:tc>
        <w:tc>
          <w:tcPr>
            <w:tcW w:w="10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Losses</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spacing w:after="0"/>
              <w:rPr>
                <w:sz w:val="21"/>
                <w:szCs w:val="21"/>
                <w:color w:val="auto"/>
              </w:rPr>
            </w:pPr>
          </w:p>
        </w:tc>
        <w:tc>
          <w:tcPr>
            <w:tcW w:w="42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(9,440 )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70"/>
              <w:spacing w:after="0"/>
              <w:rPr>
                <w:sz w:val="20"/>
                <w:szCs w:val="20"/>
                <w:color w:val="auto"/>
              </w:rPr>
            </w:pPr>
            <w:r>
              <w:rPr>
                <w:rFonts w:ascii="Arial" w:cs="Arial" w:eastAsia="Arial" w:hAnsi="Arial"/>
                <w:sz w:val="18"/>
                <w:szCs w:val="18"/>
                <w:color w:val="auto"/>
              </w:rPr>
              <w:t>(4,548 )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(17,602 )</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(11,991 )</w:t>
            </w: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(2,824 )</w:t>
            </w:r>
          </w:p>
        </w:tc>
        <w:tc>
          <w:tcPr>
            <w:tcW w:w="16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(1,571 )</w:t>
            </w:r>
          </w:p>
        </w:tc>
        <w:tc>
          <w:tcPr>
            <w:tcW w:w="120" w:type="dxa"/>
            <w:vAlign w:val="bottom"/>
            <w:shd w:val="clear" w:color="auto" w:fill="CFF0FC"/>
          </w:tcPr>
          <w:p>
            <w:pPr>
              <w:spacing w:after="0"/>
              <w:rPr>
                <w:sz w:val="22"/>
                <w:szCs w:val="22"/>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(5,163 )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(2,735 )</w:t>
            </w:r>
          </w:p>
        </w:tc>
      </w:tr>
      <w:tr>
        <w:trPr>
          <w:trHeight w:val="20"/>
        </w:trPr>
        <w:tc>
          <w:tcPr>
            <w:tcW w:w="60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(12,264 )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70"/>
              <w:spacing w:after="0"/>
              <w:rPr>
                <w:sz w:val="20"/>
                <w:szCs w:val="20"/>
                <w:color w:val="auto"/>
              </w:rPr>
            </w:pPr>
            <w:r>
              <w:rPr>
                <w:rFonts w:ascii="Arial" w:cs="Arial" w:eastAsia="Arial" w:hAnsi="Arial"/>
                <w:sz w:val="18"/>
                <w:szCs w:val="18"/>
                <w:color w:val="auto"/>
              </w:rPr>
              <w:t>(6,119 )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(22,765 )</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(14,726 )</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-1376680</wp:posOffset>
            </wp:positionV>
            <wp:extent cx="17145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-1376680</wp:posOffset>
            </wp:positionV>
            <wp:extent cx="1543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-1376680</wp:posOffset>
            </wp:positionV>
            <wp:extent cx="14605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-193675</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1454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1371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35" w:lineRule="exact"/>
        <w:rPr>
          <w:sz w:val="20"/>
          <w:szCs w:val="20"/>
          <w:color w:val="auto"/>
        </w:rPr>
      </w:pPr>
    </w:p>
    <w:p>
      <w:pPr>
        <w:ind w:right="160" w:firstLine="557"/>
        <w:spacing w:after="0" w:line="279" w:lineRule="auto"/>
        <w:rPr>
          <w:sz w:val="20"/>
          <w:szCs w:val="20"/>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 accounts receivable, and accounts payable include amounts from these companies and/or affiliates of these companies.</w:t>
      </w:r>
    </w:p>
    <w:p>
      <w:pPr>
        <w:spacing w:after="0" w:line="75" w:lineRule="exact"/>
        <w:rPr>
          <w:sz w:val="20"/>
          <w:szCs w:val="20"/>
          <w:color w:val="auto"/>
        </w:rPr>
      </w:pPr>
    </w:p>
    <w:p>
      <w:pPr>
        <w:ind w:firstLine="557"/>
        <w:spacing w:after="0" w:line="275" w:lineRule="auto"/>
        <w:rPr>
          <w:sz w:val="20"/>
          <w:szCs w:val="20"/>
          <w:color w:val="auto"/>
        </w:rPr>
      </w:pPr>
      <w:r>
        <w:rPr>
          <w:rFonts w:ascii="Arial" w:cs="Arial" w:eastAsia="Arial" w:hAnsi="Arial"/>
          <w:sz w:val="18"/>
          <w:szCs w:val="18"/>
          <w:color w:val="auto"/>
        </w:rPr>
        <w:t>For the three months ended June 30, 2021 and 2020, Xometry recognized revenue of approximately $0.5 million and $0.5 million, respectively from companies/and or affiliates of companies that are holders of the Company’s Convertible Preferred Stock. As of June 30, 2021 and December 31, 2020, the Company had approximately $0.5 million and $0.4 million of accounts receivable from companies and/or affiliates of companies that are holders of the Company’s Convertible Preferred Stock.</w:t>
      </w:r>
    </w:p>
    <w:p>
      <w:pPr>
        <w:spacing w:after="0" w:line="77" w:lineRule="exact"/>
        <w:rPr>
          <w:sz w:val="20"/>
          <w:szCs w:val="20"/>
          <w:color w:val="auto"/>
        </w:rPr>
      </w:pPr>
    </w:p>
    <w:p>
      <w:pPr>
        <w:ind w:right="60" w:firstLine="557"/>
        <w:spacing w:after="0" w:line="293" w:lineRule="auto"/>
        <w:rPr>
          <w:sz w:val="20"/>
          <w:szCs w:val="20"/>
          <w:color w:val="auto"/>
        </w:rPr>
      </w:pPr>
      <w:r>
        <w:rPr>
          <w:rFonts w:ascii="Arial" w:cs="Arial" w:eastAsia="Arial" w:hAnsi="Arial"/>
          <w:sz w:val="18"/>
          <w:szCs w:val="18"/>
          <w:color w:val="auto"/>
        </w:rPr>
        <w:t>For the six months ended June 30, 2021 and 2020, Xometry recognized revenue of approximately $0.7 million and $0.8 million, respectively from companies/and or affiliates of companies that are holders of the Company’s Convertible Preferred Stock.</w:t>
      </w:r>
    </w:p>
    <w:p>
      <w:pPr>
        <w:spacing w:after="0" w:line="62" w:lineRule="exact"/>
        <w:rPr>
          <w:sz w:val="20"/>
          <w:szCs w:val="20"/>
          <w:color w:val="auto"/>
        </w:rPr>
      </w:pPr>
    </w:p>
    <w:p>
      <w:pPr>
        <w:ind w:right="80" w:firstLine="557"/>
        <w:spacing w:after="0" w:line="275" w:lineRule="auto"/>
        <w:rPr>
          <w:sz w:val="20"/>
          <w:szCs w:val="20"/>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("BIS") provided the Company with consulting services related to operating services. This agreement was terminated as of January 31, 2021.</w:t>
      </w:r>
    </w:p>
    <w:p>
      <w:pPr>
        <w:spacing w:after="0" w:line="77" w:lineRule="exact"/>
        <w:rPr>
          <w:sz w:val="20"/>
          <w:szCs w:val="20"/>
          <w:color w:val="auto"/>
        </w:rPr>
      </w:pPr>
    </w:p>
    <w:p>
      <w:pPr>
        <w:ind w:right="360" w:firstLine="557"/>
        <w:spacing w:after="0" w:line="279" w:lineRule="auto"/>
        <w:rPr>
          <w:sz w:val="20"/>
          <w:szCs w:val="20"/>
          <w:color w:val="auto"/>
        </w:rPr>
      </w:pPr>
      <w:r>
        <w:rPr>
          <w:rFonts w:ascii="Arial" w:cs="Arial" w:eastAsia="Arial" w:hAnsi="Arial"/>
          <w:sz w:val="18"/>
          <w:szCs w:val="18"/>
          <w:color w:val="auto"/>
        </w:rPr>
        <w:t>For the three months ended June 30, 2021, no amounts were paid to BIS. For the three months ended June 30, 2020, the Company paid BIS, approximately $50,000. As of June 30, 2021, the Company had no amounts payable to BIS. As of December 31, 2020, the Company had $0.1 million payable to BIS.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six months ended June 30, 2021 and 2020, the Company paid BIS, approximately $0.1 million and $0.1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Goodwill and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the Company’s intangible assets (dollars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192"/>
        </w:trPr>
        <w:tc>
          <w:tcPr>
            <w:tcW w:w="5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r>
      <w:tr>
        <w:trPr>
          <w:trHeight w:val="202"/>
        </w:trPr>
        <w:tc>
          <w:tcPr>
            <w:tcW w:w="5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color w:val="auto"/>
              </w:rPr>
              <w:t>Amortizing intangible assets: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Non Compete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5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63"/>
        </w:trPr>
        <w:tc>
          <w:tcPr>
            <w:tcW w:w="52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520"/>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r>
      <w:tr>
        <w:trPr>
          <w:trHeight w:val="263"/>
        </w:trPr>
        <w:tc>
          <w:tcPr>
            <w:tcW w:w="52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Vendor Relationships</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200" w:type="dxa"/>
            <w:vAlign w:val="bottom"/>
          </w:tcPr>
          <w:p>
            <w:pPr>
              <w:ind w:left="760"/>
              <w:spacing w:after="0"/>
              <w:rPr>
                <w:sz w:val="20"/>
                <w:szCs w:val="20"/>
                <w:color w:val="auto"/>
              </w:rPr>
            </w:pPr>
            <w:r>
              <w:rPr>
                <w:rFonts w:ascii="Arial" w:cs="Arial" w:eastAsia="Arial" w:hAnsi="Arial"/>
                <w:sz w:val="18"/>
                <w:szCs w:val="18"/>
                <w:color w:val="auto"/>
              </w:rPr>
              <w:t>Total intangible assets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5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r>
      <w:tr>
        <w:trPr>
          <w:trHeight w:val="176"/>
        </w:trPr>
        <w:tc>
          <w:tcPr>
            <w:tcW w:w="5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192"/>
        </w:trPr>
        <w:tc>
          <w:tcPr>
            <w:tcW w:w="5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r>
      <w:tr>
        <w:trPr>
          <w:trHeight w:val="25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260"/>
              <w:spacing w:after="0"/>
              <w:rPr>
                <w:sz w:val="20"/>
                <w:szCs w:val="20"/>
                <w:color w:val="auto"/>
              </w:rPr>
            </w:pPr>
            <w:r>
              <w:rPr>
                <w:rFonts w:ascii="Arial" w:cs="Arial" w:eastAsia="Arial" w:hAnsi="Arial"/>
                <w:sz w:val="18"/>
                <w:szCs w:val="18"/>
                <w:color w:val="auto"/>
              </w:rPr>
              <w:t>Amortizing intangible assets: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Non Compete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5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r>
      <w:tr>
        <w:trPr>
          <w:trHeight w:val="263"/>
        </w:trPr>
        <w:tc>
          <w:tcPr>
            <w:tcW w:w="52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ind w:left="520"/>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r>
      <w:tr>
        <w:trPr>
          <w:trHeight w:val="263"/>
        </w:trPr>
        <w:tc>
          <w:tcPr>
            <w:tcW w:w="52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Vendor Relationships</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200" w:type="dxa"/>
            <w:vAlign w:val="bottom"/>
          </w:tcPr>
          <w:p>
            <w:pPr>
              <w:ind w:left="760"/>
              <w:spacing w:after="0"/>
              <w:rPr>
                <w:sz w:val="20"/>
                <w:szCs w:val="20"/>
                <w:color w:val="auto"/>
              </w:rPr>
            </w:pPr>
            <w:r>
              <w:rPr>
                <w:rFonts w:ascii="Arial" w:cs="Arial" w:eastAsia="Arial" w:hAnsi="Arial"/>
                <w:sz w:val="18"/>
                <w:szCs w:val="18"/>
                <w:color w:val="auto"/>
              </w:rPr>
              <w:t>Total intangible assets</w:t>
            </w:r>
          </w:p>
        </w:tc>
        <w:tc>
          <w:tcPr>
            <w:tcW w:w="10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-2336800</wp:posOffset>
            </wp:positionV>
            <wp:extent cx="1454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-2336800</wp:posOffset>
            </wp:positionV>
            <wp:extent cx="1371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-2336800</wp:posOffset>
            </wp:positionV>
            <wp:extent cx="603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-193675</wp:posOffset>
            </wp:positionV>
            <wp:extent cx="1454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13716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and December 31, 2020, Xometry’s goodwill of $0.8 million is part of the Company's U.S. operating segment.</w:t>
      </w:r>
    </w:p>
    <w:p>
      <w:pPr>
        <w:spacing w:after="0" w:line="131" w:lineRule="exact"/>
        <w:rPr>
          <w:sz w:val="20"/>
          <w:szCs w:val="20"/>
          <w:color w:val="auto"/>
        </w:rPr>
      </w:pPr>
    </w:p>
    <w:p>
      <w:pPr>
        <w:ind w:right="160" w:firstLine="557"/>
        <w:spacing w:after="0" w:line="293" w:lineRule="auto"/>
        <w:rPr>
          <w:sz w:val="20"/>
          <w:szCs w:val="20"/>
          <w:color w:val="auto"/>
        </w:rPr>
      </w:pPr>
      <w:r>
        <w:rPr>
          <w:rFonts w:ascii="Arial" w:cs="Arial" w:eastAsia="Arial" w:hAnsi="Arial"/>
          <w:sz w:val="18"/>
          <w:szCs w:val="18"/>
          <w:color w:val="auto"/>
        </w:rPr>
        <w:t>As of June 30, 2021, estimated amortization expense for the remainder of 2021 and next five years is: $0.1 million in 2021, $0.3 million in 2022, $0.1 million in 2023, $0.1 million in 2024, $0.1 million in 2025 and $0.1 million in 2026.</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9" w:name="page20"/>
    <w:bookmarkEnd w:id="19"/>
    <w:p>
      <w:pPr>
        <w:ind w:left="560"/>
        <w:spacing w:after="0"/>
        <w:rPr>
          <w:sz w:val="20"/>
          <w:szCs w:val="20"/>
          <w:color w:val="auto"/>
        </w:rPr>
      </w:pPr>
      <w:r>
        <w:rPr>
          <w:rFonts w:ascii="Arial" w:cs="Arial" w:eastAsia="Arial" w:hAnsi="Arial"/>
          <w:sz w:val="18"/>
          <w:szCs w:val="18"/>
          <w:color w:val="auto"/>
        </w:rPr>
        <w:t>Amortization expense for the three and six months ended June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2"/>
                <w:szCs w:val="22"/>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r>
      <w:tr>
        <w:trPr>
          <w:trHeight w:val="257"/>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12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960" w:type="dxa"/>
            <w:vAlign w:val="bottom"/>
          </w:tcPr>
          <w:p>
            <w:pPr>
              <w:spacing w:after="0"/>
              <w:rPr>
                <w:sz w:val="24"/>
                <w:szCs w:val="24"/>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-639445</wp:posOffset>
            </wp:positionV>
            <wp:extent cx="1625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-639445</wp:posOffset>
            </wp:positionV>
            <wp:extent cx="14541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-639445</wp:posOffset>
            </wp:positionV>
            <wp:extent cx="14605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20" w:firstLine="644"/>
        <w:spacing w:after="0" w:line="290"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this Quarterly Report on Form 10-Q. Our historical results are not necessarily indicative of the results that may be expected in the future and our current quarterly results are not necessarily indicative of the results expected for the full year or any other period.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60" w:firstLine="644"/>
        <w:spacing w:after="0" w:line="290" w:lineRule="auto"/>
        <w:rPr>
          <w:sz w:val="20"/>
          <w:szCs w:val="20"/>
          <w:color w:val="auto"/>
        </w:rPr>
      </w:pPr>
      <w:r>
        <w:rPr>
          <w:rFonts w:ascii="Arial" w:cs="Arial" w:eastAsia="Arial" w:hAnsi="Arial"/>
          <w:sz w:val="17"/>
          <w:szCs w:val="17"/>
          <w:color w:val="auto"/>
        </w:rPr>
        <w:t>Xometry Inc. (“Xometry”, “Company”, "our" or "we")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135" w:lineRule="exact"/>
        <w:rPr>
          <w:sz w:val="20"/>
          <w:szCs w:val="20"/>
          <w:color w:val="auto"/>
        </w:rPr>
      </w:pPr>
    </w:p>
    <w:p>
      <w:pPr>
        <w:ind w:right="320" w:firstLine="644"/>
        <w:spacing w:after="0" w:line="359"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84" w:lineRule="exact"/>
        <w:rPr>
          <w:sz w:val="20"/>
          <w:szCs w:val="20"/>
          <w:color w:val="auto"/>
        </w:rPr>
      </w:pPr>
    </w:p>
    <w:p>
      <w:pPr>
        <w:ind w:right="400" w:firstLine="644"/>
        <w:spacing w:after="0" w:line="279"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156"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150"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150" w:lineRule="exact"/>
        <w:rPr>
          <w:sz w:val="20"/>
          <w:szCs w:val="20"/>
          <w:color w:val="auto"/>
        </w:rPr>
      </w:pPr>
    </w:p>
    <w:p>
      <w:pPr>
        <w:ind w:right="180" w:firstLine="644"/>
        <w:spacing w:after="0" w:line="275"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158" w:lineRule="exact"/>
        <w:rPr>
          <w:sz w:val="20"/>
          <w:szCs w:val="20"/>
          <w:color w:val="auto"/>
        </w:rPr>
      </w:pPr>
    </w:p>
    <w:p>
      <w:pPr>
        <w:ind w:firstLine="644"/>
        <w:spacing w:after="0" w:line="319" w:lineRule="auto"/>
        <w:rPr>
          <w:sz w:val="20"/>
          <w:szCs w:val="20"/>
          <w:color w:val="auto"/>
        </w:rPr>
      </w:pPr>
      <w:r>
        <w:rPr>
          <w:rFonts w:ascii="Arial" w:cs="Arial" w:eastAsia="Arial" w:hAnsi="Arial"/>
          <w:sz w:val="16"/>
          <w:szCs w:val="16"/>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w:t>
      </w:r>
    </w:p>
    <w:p>
      <w:pPr>
        <w:spacing w:after="0" w:line="115" w:lineRule="exact"/>
        <w:rPr>
          <w:sz w:val="20"/>
          <w:szCs w:val="20"/>
          <w:color w:val="auto"/>
        </w:rPr>
      </w:pPr>
    </w:p>
    <w:p>
      <w:pPr>
        <w:jc w:val="both"/>
        <w:ind w:right="460" w:firstLine="644"/>
        <w:spacing w:after="0" w:line="279" w:lineRule="auto"/>
        <w:rPr>
          <w:sz w:val="20"/>
          <w:szCs w:val="20"/>
          <w:color w:val="auto"/>
        </w:rPr>
      </w:pPr>
      <w:r>
        <w:rPr>
          <w:rFonts w:ascii="Arial" w:cs="Arial" w:eastAsia="Arial" w:hAnsi="Arial"/>
          <w:sz w:val="18"/>
          <w:szCs w:val="18"/>
          <w:color w:val="auto"/>
        </w:rPr>
        <w:t>On July 2, 2021, the Company closed its planned IPO, in which it issued and sold 7,906,250 shares of its Class A common stock. The initial offering price was $44.00 per share. The Company received net proceeds of approximately $325.3 million from the IPO after deducting underwriting discounts and commissions of $22.6 million.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1" w:name="page22"/>
    <w:bookmarkEnd w:id="21"/>
    <w:p>
      <w:pPr>
        <w:ind w:right="160" w:firstLine="644"/>
        <w:spacing w:after="0" w:line="329"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21" w:lineRule="exact"/>
        <w:rPr>
          <w:sz w:val="20"/>
          <w:szCs w:val="20"/>
          <w:color w:val="auto"/>
        </w:rPr>
      </w:pPr>
    </w:p>
    <w:p>
      <w:pPr>
        <w:ind w:right="160" w:firstLine="644"/>
        <w:spacing w:after="0" w:line="279" w:lineRule="auto"/>
        <w:rPr>
          <w:sz w:val="20"/>
          <w:szCs w:val="20"/>
          <w:color w:val="auto"/>
        </w:rPr>
      </w:pPr>
      <w:r>
        <w:rPr>
          <w:rFonts w:ascii="Arial" w:cs="Arial" w:eastAsia="Arial" w:hAnsi="Arial"/>
          <w:sz w:val="18"/>
          <w:szCs w:val="18"/>
          <w:color w:val="auto"/>
        </w:rPr>
        <w:t>Also on July 2, 2021, the Company reserved 402,658 shares of its Class A common stock, representing 1% of the Company's fully diluted capitalization as of the date of approval of our board of directors, for charitable contributions to non-profit organizations. These shares will be issued over the next five years, in an amount not to exceed 20% of the initial reserve amount per calendar year.</w:t>
      </w:r>
    </w:p>
    <w:p>
      <w:pPr>
        <w:spacing w:after="0" w:line="75" w:lineRule="exact"/>
        <w:rPr>
          <w:sz w:val="20"/>
          <w:szCs w:val="20"/>
          <w:color w:val="auto"/>
        </w:rPr>
      </w:pPr>
    </w:p>
    <w:p>
      <w:pPr>
        <w:ind w:right="120" w:firstLine="636"/>
        <w:spacing w:after="0" w:line="287" w:lineRule="auto"/>
        <w:rPr>
          <w:sz w:val="20"/>
          <w:szCs w:val="20"/>
          <w:color w:val="auto"/>
        </w:rPr>
      </w:pPr>
      <w:r>
        <w:rPr>
          <w:rFonts w:ascii="Arial" w:cs="Arial" w:eastAsia="Arial" w:hAnsi="Arial"/>
          <w:sz w:val="17"/>
          <w:szCs w:val="17"/>
          <w:color w:val="auto"/>
        </w:rPr>
        <w:t>The on-going COVID-19 pandemic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141" w:lineRule="exact"/>
        <w:rPr>
          <w:sz w:val="20"/>
          <w:szCs w:val="20"/>
          <w:color w:val="auto"/>
        </w:rPr>
      </w:pPr>
    </w:p>
    <w:p>
      <w:pPr>
        <w:ind w:right="480" w:firstLine="636"/>
        <w:spacing w:after="0" w:line="293" w:lineRule="auto"/>
        <w:rPr>
          <w:sz w:val="20"/>
          <w:szCs w:val="20"/>
          <w:color w:val="auto"/>
        </w:rPr>
      </w:pPr>
      <w:r>
        <w:rPr>
          <w:rFonts w:ascii="Arial" w:cs="Arial" w:eastAsia="Arial" w:hAnsi="Arial"/>
          <w:sz w:val="18"/>
          <w:szCs w:val="18"/>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0" w:lineRule="exact"/>
        <w:rPr>
          <w:sz w:val="20"/>
          <w:szCs w:val="20"/>
          <w:color w:val="auto"/>
        </w:rPr>
      </w:pPr>
    </w:p>
    <w:p>
      <w:pPr>
        <w:ind w:right="260" w:firstLine="636"/>
        <w:spacing w:after="0" w:line="359" w:lineRule="auto"/>
        <w:rPr>
          <w:sz w:val="20"/>
          <w:szCs w:val="20"/>
          <w:color w:val="auto"/>
        </w:rPr>
      </w:pPr>
      <w:r>
        <w:rPr>
          <w:rFonts w:ascii="Arial" w:cs="Arial" w:eastAsia="Arial" w:hAnsi="Arial"/>
          <w:sz w:val="16"/>
          <w:szCs w:val="16"/>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43"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filing, we use the following key operational and business metrics to help us evaluate our business, measure our performance, identify trends affecting our business, formulate business plans and develop forecasts, and make strategic decisions: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31" w:lineRule="exact"/>
        <w:rPr>
          <w:sz w:val="20"/>
          <w:szCs w:val="20"/>
          <w:color w:val="auto"/>
        </w:rPr>
      </w:pPr>
    </w:p>
    <w:p>
      <w:pPr>
        <w:ind w:right="380" w:firstLine="636"/>
        <w:spacing w:after="0" w:line="359"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jc w:val="both"/>
        <w:ind w:right="80" w:firstLine="644"/>
        <w:spacing w:after="0" w:line="279"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23,942 as of June 30, 2021, up 66% from 14,460 as of June 30,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150495</wp:posOffset>
            </wp:positionV>
            <wp:extent cx="4534535" cy="3103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3453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31" w:lineRule="exact"/>
        <w:rPr>
          <w:sz w:val="20"/>
          <w:szCs w:val="20"/>
          <w:color w:val="auto"/>
        </w:rPr>
      </w:pPr>
    </w:p>
    <w:p>
      <w:pPr>
        <w:ind w:firstLine="636"/>
        <w:spacing w:after="0" w:line="290"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firstLine="644"/>
        <w:spacing w:after="0" w:line="359" w:lineRule="auto"/>
        <w:rPr>
          <w:sz w:val="20"/>
          <w:szCs w:val="20"/>
          <w:color w:val="auto"/>
        </w:rPr>
      </w:pPr>
      <w:r>
        <w:rPr>
          <w:rFonts w:ascii="Arial" w:cs="Arial" w:eastAsia="Arial" w:hAnsi="Arial"/>
          <w:sz w:val="16"/>
          <w:szCs w:val="16"/>
          <w:color w:val="auto"/>
        </w:rPr>
        <w:t>For the quarter ended June 30,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113665</wp:posOffset>
            </wp:positionV>
            <wp:extent cx="4526280" cy="3103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2628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584" w:right="7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31" w:lineRule="exact"/>
        <w:rPr>
          <w:sz w:val="20"/>
          <w:szCs w:val="20"/>
          <w:color w:val="auto"/>
        </w:rPr>
      </w:pPr>
    </w:p>
    <w:p>
      <w:pPr>
        <w:ind w:right="20" w:firstLine="644"/>
        <w:spacing w:after="0" w:line="319" w:lineRule="auto"/>
        <w:rPr>
          <w:sz w:val="20"/>
          <w:szCs w:val="20"/>
          <w:color w:val="auto"/>
        </w:rPr>
      </w:pPr>
      <w:r>
        <w:rPr>
          <w:rFonts w:ascii="Arial" w:cs="Arial" w:eastAsia="Arial" w:hAnsi="Arial"/>
          <w:sz w:val="16"/>
          <w:szCs w:val="16"/>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508 as of June 30, 2021, up 54% from 330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133985</wp:posOffset>
            </wp:positionV>
            <wp:extent cx="4500245" cy="3086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0024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ind w:right="320" w:firstLine="636"/>
        <w:spacing w:after="0" w:line="329" w:lineRule="auto"/>
        <w:rPr>
          <w:sz w:val="20"/>
          <w:szCs w:val="20"/>
          <w:color w:val="auto"/>
        </w:rPr>
      </w:pPr>
      <w:r>
        <w:rPr>
          <w:rFonts w:ascii="Arial" w:cs="Arial" w:eastAsia="Arial" w:hAnsi="Arial"/>
          <w:sz w:val="16"/>
          <w:szCs w:val="16"/>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15"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For the three months ended June 30, 2021, Adjusted EBITDA increased to $(9.1) million, compared to Adjusted EBITDA of $(4.8) million for the same quarter in 2020. For the quarter ended June 30, 2021, Adjusted EBITDA increased to (18)% of revenue, as compared to (14)% of revenue for the same quarter in 2020, driven primarily by higher operating expenses as we continue to scale our business.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5" w:name="page26"/>
    <w:bookmarkEnd w:id="25"/>
    <w:p>
      <w:pPr>
        <w:ind w:right="80" w:firstLine="644"/>
        <w:spacing w:after="0" w:line="275" w:lineRule="auto"/>
        <w:rPr>
          <w:sz w:val="20"/>
          <w:szCs w:val="20"/>
          <w:color w:val="auto"/>
        </w:rPr>
      </w:pPr>
      <w:r>
        <w:rPr>
          <w:rFonts w:ascii="Arial" w:cs="Arial" w:eastAsia="Arial" w:hAnsi="Arial"/>
          <w:sz w:val="18"/>
          <w:szCs w:val="18"/>
          <w:color w:val="auto"/>
        </w:rPr>
        <w:t>For the six months ended June 30, 2021, Adjusted EBITDA increased to $(17.9) million, compared to Adjusted EBITDA of $(12.3) million for the same period in 2020. For the six months ended June 30, 2021, Adjusted EBITDA improved to (19)% of revenue, as compared to (20)% of revenue for the same period in 2020, driven primarily by operating efficiencies as we continued to grow our revenue faster than our supporting expenses and improved our margin as we increased our gross profit.</w:t>
      </w:r>
    </w:p>
    <w:p>
      <w:pPr>
        <w:spacing w:after="0" w:line="185"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filing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(12,264 )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(6,119 )</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(22,765 )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(14,726 )</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Addback</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expenses</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r>
      <w:tr>
        <w:trPr>
          <w:trHeight w:val="257"/>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based compensation expense</w:t>
            </w: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(9,073 )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(4,788 )</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(17,882 )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(12,303 )</w:t>
            </w: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-193675</wp:posOffset>
            </wp:positionV>
            <wp:extent cx="17145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-193675</wp:posOffset>
            </wp:positionV>
            <wp:extent cx="15430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15430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160" w:firstLine="636"/>
        <w:spacing w:after="0" w:line="296" w:lineRule="auto"/>
        <w:rPr>
          <w:sz w:val="20"/>
          <w:szCs w:val="20"/>
          <w:color w:val="auto"/>
        </w:rPr>
      </w:pPr>
      <w:r>
        <w:rPr>
          <w:rFonts w:ascii="Arial" w:cs="Arial" w:eastAsia="Arial" w:hAnsi="Arial"/>
          <w:sz w:val="17"/>
          <w:szCs w:val="17"/>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firstLine="636"/>
        <w:spacing w:after="0" w:line="275"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1" w:lineRule="exact"/>
        <w:rPr>
          <w:sz w:val="20"/>
          <w:szCs w:val="20"/>
          <w:color w:val="auto"/>
        </w:rPr>
      </w:pPr>
    </w:p>
    <w:p>
      <w:pPr>
        <w:ind w:right="220" w:firstLine="636"/>
        <w:spacing w:after="0" w:line="279"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60" w:firstLine="636"/>
        <w:spacing w:after="0" w:line="290" w:lineRule="auto"/>
        <w:rPr>
          <w:sz w:val="20"/>
          <w:szCs w:val="20"/>
          <w:color w:val="auto"/>
        </w:rPr>
      </w:pPr>
      <w:r>
        <w:rPr>
          <w:rFonts w:ascii="Arial" w:cs="Arial" w:eastAsia="Arial" w:hAnsi="Arial"/>
          <w:sz w:val="17"/>
          <w:szCs w:val="17"/>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160" w:firstLine="636"/>
        <w:spacing w:after="0" w:line="29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160" w:firstLine="636"/>
        <w:spacing w:after="0" w:line="272"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20" w:firstLine="636"/>
        <w:spacing w:after="0" w:line="296" w:lineRule="auto"/>
        <w:rPr>
          <w:sz w:val="20"/>
          <w:szCs w:val="20"/>
          <w:color w:val="auto"/>
        </w:rPr>
      </w:pPr>
      <w:r>
        <w:rPr>
          <w:rFonts w:ascii="Arial" w:cs="Arial" w:eastAsia="Arial" w:hAnsi="Arial"/>
          <w:sz w:val="17"/>
          <w:szCs w:val="17"/>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1" w:lineRule="exact"/>
        <w:rPr>
          <w:sz w:val="20"/>
          <w:szCs w:val="20"/>
          <w:color w:val="auto"/>
        </w:rPr>
      </w:pPr>
    </w:p>
    <w:p>
      <w:pPr>
        <w:ind w:right="20" w:firstLine="636"/>
        <w:spacing w:after="0" w:line="279"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statement of operations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30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50,589</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34,783</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c>
          <w:tcPr>
            <w:tcW w:w="3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26,518</w:t>
            </w:r>
          </w:p>
        </w:tc>
        <w:tc>
          <w:tcPr>
            <w:tcW w:w="100" w:type="dxa"/>
            <w:vAlign w:val="bottom"/>
          </w:tcPr>
          <w:p>
            <w:pPr>
              <w:spacing w:after="0"/>
              <w:rPr>
                <w:sz w:val="21"/>
                <w:szCs w:val="21"/>
                <w:color w:val="auto"/>
              </w:rPr>
            </w:pPr>
          </w:p>
        </w:tc>
      </w:tr>
      <w:tr>
        <w:trPr>
          <w:trHeight w:val="25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11,875</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8,858</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Operations and support</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5,489</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3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r>
      <w:tr>
        <w:trPr>
          <w:trHeight w:val="250"/>
        </w:trPr>
        <w:tc>
          <w:tcPr>
            <w:tcW w:w="44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23,676</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(11,801 )</w:t>
            </w:r>
          </w:p>
        </w:tc>
        <w:tc>
          <w:tcPr>
            <w:tcW w:w="9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(5,726 )</w:t>
            </w:r>
          </w:p>
        </w:tc>
      </w:tr>
      <w:tr>
        <w:trPr>
          <w:trHeight w:val="26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(350 )</w:t>
            </w:r>
          </w:p>
        </w:tc>
        <w:tc>
          <w:tcPr>
            <w:tcW w:w="9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(264 )</w:t>
            </w:r>
          </w:p>
        </w:tc>
      </w:tr>
      <w:tr>
        <w:trPr>
          <w:trHeight w:val="256"/>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expenses</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(113 )</w:t>
            </w:r>
          </w:p>
        </w:tc>
        <w:tc>
          <w:tcPr>
            <w:tcW w:w="9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(129 )</w:t>
            </w:r>
          </w:p>
        </w:tc>
      </w:tr>
      <w:tr>
        <w:trPr>
          <w:trHeight w:val="20"/>
        </w:trPr>
        <w:tc>
          <w:tcPr>
            <w:tcW w:w="4400" w:type="dxa"/>
            <w:vAlign w:val="bottom"/>
            <w:shd w:val="clear" w:color="auto" w:fill="CFF0FC"/>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400" w:type="dxa"/>
            <w:vAlign w:val="bottom"/>
          </w:tcPr>
          <w:p>
            <w:pPr>
              <w:ind w:left="520"/>
              <w:spacing w:after="0"/>
              <w:rPr>
                <w:sz w:val="20"/>
                <w:szCs w:val="20"/>
                <w:color w:val="auto"/>
              </w:rPr>
            </w:pPr>
            <w:r>
              <w:rPr>
                <w:rFonts w:ascii="Arial" w:cs="Arial" w:eastAsia="Arial" w:hAnsi="Arial"/>
                <w:sz w:val="18"/>
                <w:szCs w:val="18"/>
                <w:color w:val="auto"/>
              </w:rPr>
              <w:t>Total other expenses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(463 )</w:t>
            </w:r>
          </w:p>
        </w:tc>
        <w:tc>
          <w:tcPr>
            <w:tcW w:w="9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(393 )</w:t>
            </w:r>
          </w:p>
        </w:tc>
      </w:tr>
      <w:tr>
        <w:trPr>
          <w:trHeight w:val="20"/>
        </w:trPr>
        <w:tc>
          <w:tcPr>
            <w:tcW w:w="4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3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(12,264 )</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(6,119 )</w:t>
            </w:r>
          </w:p>
        </w:tc>
      </w:tr>
      <w:tr>
        <w:trPr>
          <w:trHeight w:val="811"/>
        </w:trPr>
        <w:tc>
          <w:tcPr>
            <w:tcW w:w="440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jc w:val="right"/>
              <w:ind w:right="1910"/>
              <w:spacing w:after="0"/>
              <w:rPr>
                <w:sz w:val="20"/>
                <w:szCs w:val="20"/>
                <w:color w:val="auto"/>
              </w:rPr>
            </w:pPr>
            <w:r>
              <w:rPr>
                <w:rFonts w:ascii="Arial" w:cs="Arial" w:eastAsia="Arial" w:hAnsi="Arial"/>
                <w:sz w:val="18"/>
                <w:szCs w:val="18"/>
                <w:color w:val="auto"/>
              </w:rPr>
              <w:t>24</w:t>
            </w: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-1633855</wp:posOffset>
            </wp:positionV>
            <wp:extent cx="18859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-973455</wp:posOffset>
            </wp:positionV>
            <wp:extent cx="18859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1885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-616585</wp:posOffset>
            </wp:positionV>
            <wp:extent cx="1885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periods indicated:</w:t>
      </w:r>
    </w:p>
    <w:p>
      <w:pPr>
        <w:spacing w:after="0" w:line="298"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23495</wp:posOffset>
            </wp:positionV>
            <wp:extent cx="20313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r>
      <w:tr>
        <w:trPr>
          <w:trHeight w:val="256"/>
        </w:trPr>
        <w:tc>
          <w:tcPr>
            <w:tcW w:w="8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93"/>
              </w:rPr>
              <w:t>100.0 %</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76.5 %</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76.2 %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23.5 %</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23.8 %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500" w:type="dxa"/>
            <w:vAlign w:val="bottom"/>
            <w:tcBorders>
              <w:top w:val="single" w:sz="8" w:color="CFF0FC"/>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r>
      <w:tr>
        <w:trPr>
          <w:trHeight w:val="263"/>
        </w:trPr>
        <w:tc>
          <w:tcPr>
            <w:tcW w:w="8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17.5 %</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14.7 %</w:t>
            </w:r>
          </w:p>
        </w:tc>
      </w:tr>
      <w:tr>
        <w:trPr>
          <w:trHeight w:val="250"/>
        </w:trPr>
        <w:tc>
          <w:tcPr>
            <w:tcW w:w="8620" w:type="dxa"/>
            <w:vAlign w:val="bottom"/>
            <w:gridSpan w:val="2"/>
          </w:tcPr>
          <w:p>
            <w:pPr>
              <w:ind w:left="280"/>
              <w:spacing w:after="0"/>
              <w:rPr>
                <w:sz w:val="20"/>
                <w:szCs w:val="20"/>
                <w:color w:val="auto"/>
              </w:rPr>
            </w:pPr>
            <w:r>
              <w:rPr>
                <w:rFonts w:ascii="Arial" w:cs="Arial" w:eastAsia="Arial" w:hAnsi="Arial"/>
                <w:sz w:val="18"/>
                <w:szCs w:val="18"/>
                <w:color w:val="auto"/>
              </w:rPr>
              <w:t>Operations and support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10.9 %</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9.1 %</w:t>
            </w:r>
          </w:p>
        </w:tc>
      </w:tr>
      <w:tr>
        <w:trPr>
          <w:trHeight w:val="263"/>
        </w:trPr>
        <w:tc>
          <w:tcPr>
            <w:tcW w:w="8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Product development</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8.1 %</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8.4 %</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10.4 %</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8.0 %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46.9 %</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40.2 %</w:t>
            </w:r>
          </w:p>
        </w:tc>
      </w:tr>
      <w:tr>
        <w:trPr>
          <w:trHeight w:val="20"/>
        </w:trPr>
        <w:tc>
          <w:tcPr>
            <w:tcW w:w="7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(23.4 )%</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(16.4 )%</w:t>
            </w:r>
          </w:p>
        </w:tc>
      </w:tr>
      <w:tr>
        <w:trPr>
          <w:trHeight w:val="263"/>
        </w:trPr>
        <w:tc>
          <w:tcPr>
            <w:tcW w:w="8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4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r>
      <w:tr>
        <w:trPr>
          <w:trHeight w:val="250"/>
        </w:trPr>
        <w:tc>
          <w:tcPr>
            <w:tcW w:w="862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(0.7 )%</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(0.8 )%</w:t>
            </w:r>
          </w:p>
        </w:tc>
      </w:tr>
      <w:tr>
        <w:trPr>
          <w:trHeight w:val="25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expenses</w:t>
            </w:r>
          </w:p>
        </w:tc>
        <w:tc>
          <w:tcPr>
            <w:tcW w:w="9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(0.2 )%</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(0.4 )%</w:t>
            </w:r>
          </w:p>
        </w:tc>
      </w:tr>
      <w:tr>
        <w:trPr>
          <w:trHeight w:val="20"/>
        </w:trPr>
        <w:tc>
          <w:tcPr>
            <w:tcW w:w="7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Total other expenses</w:t>
            </w:r>
          </w:p>
        </w:tc>
        <w:tc>
          <w:tcPr>
            <w:tcW w:w="9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(0.9 )%</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(24.3 )%</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-2019300</wp:posOffset>
            </wp:positionV>
            <wp:extent cx="31686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-2019300</wp:posOffset>
            </wp:positionV>
            <wp:extent cx="19748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-1024890</wp:posOffset>
            </wp:positionV>
            <wp:extent cx="31686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-1024890</wp:posOffset>
            </wp:positionV>
            <wp:extent cx="19748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-365125</wp:posOffset>
            </wp:positionV>
            <wp:extent cx="31686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-365125</wp:posOffset>
            </wp:positionV>
            <wp:extent cx="19748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3168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3168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80" w:firstLine="636"/>
        <w:spacing w:after="0" w:line="329" w:lineRule="auto"/>
        <w:rPr>
          <w:sz w:val="20"/>
          <w:szCs w:val="20"/>
          <w:color w:val="auto"/>
        </w:rPr>
      </w:pPr>
      <w:r>
        <w:rPr>
          <w:rFonts w:ascii="Arial" w:cs="Arial" w:eastAsia="Arial" w:hAnsi="Arial"/>
          <w:sz w:val="16"/>
          <w:szCs w:val="16"/>
          <w:color w:val="auto"/>
        </w:rPr>
        <w:t>Total revenue increased $15.8 million, or 45%, from $34.8 million for the three months ended June 31, 2020 to $50.6 million for the three months ended June 30, 2021. This increase was primarily the result of a 66% increase in the number of active buyers resulting from investment in sales and marketing, as well as existing buyers increasing their spend on the platform for the three months ended June 31, 2021 as compared to the prior year period.</w:t>
      </w:r>
    </w:p>
    <w:p>
      <w:pPr>
        <w:spacing w:after="0" w:line="148" w:lineRule="exact"/>
        <w:rPr>
          <w:sz w:val="20"/>
          <w:szCs w:val="20"/>
          <w:color w:val="auto"/>
        </w:rPr>
      </w:pPr>
    </w:p>
    <w:p>
      <w:pPr>
        <w:ind w:right="840" w:firstLine="636"/>
        <w:spacing w:after="0" w:line="293" w:lineRule="auto"/>
        <w:rPr>
          <w:sz w:val="20"/>
          <w:szCs w:val="20"/>
          <w:color w:val="auto"/>
        </w:rPr>
      </w:pPr>
      <w:r>
        <w:rPr>
          <w:rFonts w:ascii="Arial" w:cs="Arial" w:eastAsia="Arial" w:hAnsi="Arial"/>
          <w:sz w:val="18"/>
          <w:szCs w:val="18"/>
          <w:color w:val="auto"/>
        </w:rPr>
        <w:t>Total revenue from our U.S. and Europe operating segments for the three months ended June 30, 2021 and 2020, was $47.2 million and $34.1 million, for the U.S. respectively, and $3.4 million and $0.6 million, for Europe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20" w:firstLine="636"/>
        <w:spacing w:after="0" w:line="279" w:lineRule="auto"/>
        <w:rPr>
          <w:sz w:val="20"/>
          <w:szCs w:val="20"/>
          <w:color w:val="auto"/>
        </w:rPr>
      </w:pPr>
      <w:r>
        <w:rPr>
          <w:rFonts w:ascii="Arial" w:cs="Arial" w:eastAsia="Arial" w:hAnsi="Arial"/>
          <w:sz w:val="18"/>
          <w:szCs w:val="18"/>
          <w:color w:val="auto"/>
        </w:rPr>
        <w:t>Total cost of revenue increased $12.2 million, or 46%, from $26.5 million for the period ended June 30, 2020 to $38.7 million for the three months ended June 30, 2021. This increase was primarily the result of an increase in payments to sellers on our platform due to the growth in our buyer base and increased activity by existing accounts on our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31" w:lineRule="exact"/>
        <w:rPr>
          <w:sz w:val="20"/>
          <w:szCs w:val="20"/>
          <w:color w:val="auto"/>
        </w:rPr>
      </w:pPr>
    </w:p>
    <w:p>
      <w:pPr>
        <w:ind w:right="380" w:firstLine="636"/>
        <w:spacing w:after="0" w:line="293" w:lineRule="auto"/>
        <w:rPr>
          <w:sz w:val="20"/>
          <w:szCs w:val="20"/>
          <w:color w:val="auto"/>
        </w:rPr>
      </w:pPr>
      <w:r>
        <w:rPr>
          <w:rFonts w:ascii="Arial" w:cs="Arial" w:eastAsia="Arial" w:hAnsi="Arial"/>
          <w:sz w:val="18"/>
          <w:szCs w:val="18"/>
          <w:color w:val="auto"/>
        </w:rPr>
        <w:t>Gross profit increased $3.6 million, or 44%, from $8.3 million for the three months ended June 30, 2020 to $11.9 million for the three months ended June 30, 2021. The increase in gross profit was primarily due to the increase in revenue described above.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margin decreased to 23.5% for the three months ended June 30, 2021 from 23.8% for the three months ended June 30,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120" w:firstLine="636"/>
        <w:spacing w:after="0" w:line="319" w:lineRule="auto"/>
        <w:rPr>
          <w:sz w:val="20"/>
          <w:szCs w:val="20"/>
          <w:color w:val="auto"/>
        </w:rPr>
      </w:pPr>
      <w:r>
        <w:rPr>
          <w:rFonts w:ascii="Arial" w:cs="Arial" w:eastAsia="Arial" w:hAnsi="Arial"/>
          <w:sz w:val="16"/>
          <w:szCs w:val="16"/>
          <w:color w:val="auto"/>
        </w:rPr>
        <w:t>Sales and marketing expense increased $3.7 million, or 73%, from $5.1 million for the three months ended June 31, 2020 to $8.9 million for the three months ended June 30, 2021, a result of continued investment to drive revenue growth, our hiring of additional employees and increased stock based compensation expense for options granted in the second quarter of 2021, as compared to the corresponding period in the prior year. As a percent of total revenue, sales and marketing expenses increased to 18% for the three months ended June 30, 2021 from 15% for the three months ended June 30, 2020.</w:t>
      </w:r>
    </w:p>
    <w:p>
      <w:pPr>
        <w:spacing w:after="0" w:line="48" w:lineRule="exact"/>
        <w:rPr>
          <w:sz w:val="20"/>
          <w:szCs w:val="20"/>
          <w:color w:val="auto"/>
        </w:rPr>
      </w:pPr>
    </w:p>
    <w:p>
      <w:pPr>
        <w:ind w:right="380" w:firstLine="636"/>
        <w:spacing w:after="0" w:line="293" w:lineRule="auto"/>
        <w:rPr>
          <w:sz w:val="20"/>
          <w:szCs w:val="20"/>
          <w:color w:val="auto"/>
        </w:rPr>
      </w:pPr>
      <w:r>
        <w:rPr>
          <w:rFonts w:ascii="Arial" w:cs="Arial" w:eastAsia="Arial" w:hAnsi="Arial"/>
          <w:sz w:val="18"/>
          <w:szCs w:val="18"/>
          <w:color w:val="auto"/>
        </w:rPr>
        <w:t>For the three months ended June 30, 2021 and 2020, stock based compensation expense recorded in sales and marketing was $0.3 million and $37,000,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240" w:firstLine="636"/>
        <w:spacing w:after="0" w:line="279" w:lineRule="auto"/>
        <w:rPr>
          <w:sz w:val="20"/>
          <w:szCs w:val="20"/>
          <w:color w:val="auto"/>
        </w:rPr>
      </w:pPr>
      <w:r>
        <w:rPr>
          <w:rFonts w:ascii="Arial" w:cs="Arial" w:eastAsia="Arial" w:hAnsi="Arial"/>
          <w:sz w:val="18"/>
          <w:szCs w:val="18"/>
          <w:color w:val="auto"/>
        </w:rPr>
        <w:t>Operations and support increased $2.3 million, or 73%, from $3.2 million for the three months ended June 31, 2020 to $5.5 million for the three months ended June 31, 2021, primarily as a result of additional employees hired to support the growth of buyer and seller activity on our platform, and increased stock based compensation expense for options granted in the second quarter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ind w:right="280"/>
        <w:spacing w:after="0" w:line="293" w:lineRule="auto"/>
        <w:rPr>
          <w:sz w:val="20"/>
          <w:szCs w:val="20"/>
          <w:color w:val="auto"/>
        </w:rPr>
      </w:pPr>
      <w:r>
        <w:rPr>
          <w:rFonts w:ascii="Arial" w:cs="Arial" w:eastAsia="Arial" w:hAnsi="Arial"/>
          <w:sz w:val="18"/>
          <w:szCs w:val="18"/>
          <w:color w:val="auto"/>
        </w:rPr>
        <w:t>2021, as compared to the corresponding period in the prior year. As a percent of total revenue, operations and support expenses increased to 11% for the three months ended June 30, 2021 from 9% for the three months ended June 30, 2020.</w:t>
      </w:r>
    </w:p>
    <w:p>
      <w:pPr>
        <w:spacing w:after="0" w:line="62" w:lineRule="exact"/>
        <w:rPr>
          <w:sz w:val="20"/>
          <w:szCs w:val="20"/>
          <w:color w:val="auto"/>
        </w:rPr>
      </w:pPr>
    </w:p>
    <w:p>
      <w:pPr>
        <w:ind w:right="180" w:firstLine="636"/>
        <w:spacing w:after="0" w:line="293" w:lineRule="auto"/>
        <w:rPr>
          <w:sz w:val="20"/>
          <w:szCs w:val="20"/>
          <w:color w:val="auto"/>
        </w:rPr>
      </w:pPr>
      <w:r>
        <w:rPr>
          <w:rFonts w:ascii="Arial" w:cs="Arial" w:eastAsia="Arial" w:hAnsi="Arial"/>
          <w:sz w:val="18"/>
          <w:szCs w:val="18"/>
          <w:color w:val="auto"/>
        </w:rPr>
        <w:t>For the three months ended June 30, 2021 and 2020, stock based compensation expense recorded in operations and support was $0.6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160" w:firstLine="636"/>
        <w:spacing w:after="0" w:line="275" w:lineRule="auto"/>
        <w:rPr>
          <w:sz w:val="20"/>
          <w:szCs w:val="20"/>
          <w:color w:val="auto"/>
        </w:rPr>
      </w:pPr>
      <w:r>
        <w:rPr>
          <w:rFonts w:ascii="Arial" w:cs="Arial" w:eastAsia="Arial" w:hAnsi="Arial"/>
          <w:sz w:val="18"/>
          <w:szCs w:val="18"/>
          <w:color w:val="auto"/>
        </w:rPr>
        <w:t>Product development expense increased $1.2 million, or 40%, from $2.9 million for the three months ended June 30, 2020 to $4.1 million for the three months ended June 30, 2021, a result of additional employees and increased stock based compensation expense for options granted in the second quarter of 2021, as compared to the corresponding period in the prior year. As a percent of total revenue, product development expenses remained flat at approximately 8% for the three months ended June 30, 2021 and 2020.</w:t>
      </w:r>
    </w:p>
    <w:p>
      <w:pPr>
        <w:spacing w:after="0" w:line="77" w:lineRule="exact"/>
        <w:rPr>
          <w:sz w:val="20"/>
          <w:szCs w:val="20"/>
          <w:color w:val="auto"/>
        </w:rPr>
      </w:pPr>
    </w:p>
    <w:p>
      <w:pPr>
        <w:ind w:right="300" w:firstLine="636"/>
        <w:spacing w:after="0" w:line="293" w:lineRule="auto"/>
        <w:rPr>
          <w:sz w:val="20"/>
          <w:szCs w:val="20"/>
          <w:color w:val="auto"/>
        </w:rPr>
      </w:pPr>
      <w:r>
        <w:rPr>
          <w:rFonts w:ascii="Arial" w:cs="Arial" w:eastAsia="Arial" w:hAnsi="Arial"/>
          <w:sz w:val="18"/>
          <w:szCs w:val="18"/>
          <w:color w:val="auto"/>
        </w:rPr>
        <w:t>For the three months ended June 30, 2021 and 2020, stock based compensation expense recorded in product development was $0.4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firstLine="636"/>
        <w:spacing w:after="0" w:line="292" w:lineRule="auto"/>
        <w:rPr>
          <w:sz w:val="20"/>
          <w:szCs w:val="20"/>
          <w:color w:val="auto"/>
        </w:rPr>
      </w:pPr>
      <w:r>
        <w:rPr>
          <w:rFonts w:ascii="Arial" w:cs="Arial" w:eastAsia="Arial" w:hAnsi="Arial"/>
          <w:sz w:val="17"/>
          <w:szCs w:val="17"/>
          <w:color w:val="auto"/>
        </w:rPr>
        <w:t>General and administrative expense increased $2.5 million, or 89%, from $2.8 million for the three months ended June 30, 2020 to $5.2 million for the three months ended June 30, 2021, primarily as a result of an increase in compensation-related expenses, including increased stock based compensation, additional legal, accounting and financial headcount and third party expenses in preparation for becoming a public company, as well as additional overhead expenses to support the growth of our business operations. As a percent of total revenue, general and administrative expenses increased to 10% for the for the three months ended June 30, 2021 from 8% for the three months ended June 30, 2020.</w:t>
      </w:r>
    </w:p>
    <w:p>
      <w:pPr>
        <w:spacing w:after="0" w:line="66" w:lineRule="exact"/>
        <w:rPr>
          <w:sz w:val="20"/>
          <w:szCs w:val="20"/>
          <w:color w:val="auto"/>
        </w:rPr>
      </w:pPr>
    </w:p>
    <w:p>
      <w:pPr>
        <w:ind w:right="220" w:firstLine="636"/>
        <w:spacing w:after="0" w:line="293" w:lineRule="auto"/>
        <w:rPr>
          <w:sz w:val="20"/>
          <w:szCs w:val="20"/>
          <w:color w:val="auto"/>
        </w:rPr>
      </w:pPr>
      <w:r>
        <w:rPr>
          <w:rFonts w:ascii="Arial" w:cs="Arial" w:eastAsia="Arial" w:hAnsi="Arial"/>
          <w:sz w:val="18"/>
          <w:szCs w:val="18"/>
          <w:color w:val="auto"/>
        </w:rPr>
        <w:t>For the three months ended June 30, 2021 and 2020, stock based compensation expense recorded in general and administrative was $0.7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1" w:lineRule="exact"/>
        <w:rPr>
          <w:sz w:val="20"/>
          <w:szCs w:val="20"/>
          <w:color w:val="auto"/>
        </w:rPr>
      </w:pPr>
    </w:p>
    <w:p>
      <w:pPr>
        <w:ind w:right="220" w:firstLine="636"/>
        <w:spacing w:after="0" w:line="293" w:lineRule="auto"/>
        <w:rPr>
          <w:sz w:val="20"/>
          <w:szCs w:val="20"/>
          <w:color w:val="auto"/>
        </w:rPr>
      </w:pPr>
      <w:r>
        <w:rPr>
          <w:rFonts w:ascii="Arial" w:cs="Arial" w:eastAsia="Arial" w:hAnsi="Arial"/>
          <w:sz w:val="18"/>
          <w:szCs w:val="18"/>
          <w:color w:val="auto"/>
        </w:rPr>
        <w:t>Interest expense, net increased by $0.1 million, or 33%, from $0.3 million for the three months ended June 30, 2020 to $0.4 million for the three months ended June 30, 2021, as a result of a higher interest rate on existing borrowings.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31" w:lineRule="exact"/>
        <w:rPr>
          <w:sz w:val="20"/>
          <w:szCs w:val="20"/>
          <w:color w:val="auto"/>
        </w:rPr>
      </w:pPr>
    </w:p>
    <w:p>
      <w:pPr>
        <w:ind w:right="40" w:firstLine="636"/>
        <w:spacing w:after="0" w:line="279" w:lineRule="auto"/>
        <w:rPr>
          <w:sz w:val="20"/>
          <w:szCs w:val="20"/>
          <w:color w:val="auto"/>
        </w:rPr>
      </w:pPr>
      <w:r>
        <w:rPr>
          <w:rFonts w:ascii="Arial" w:cs="Arial" w:eastAsia="Arial" w:hAnsi="Arial"/>
          <w:sz w:val="18"/>
          <w:szCs w:val="18"/>
          <w:color w:val="auto"/>
        </w:rPr>
        <w:t>Total segment loss from our U.S. operating segment for the three months ended June 30, 2021 and 2020, was $9.4 million and $4.5 million, respectively. Total segment loss from our Europe operating segment for the three months ended June 30, 2021 and 2020, was $2.8 million and $1.6 million, respectively.</w:t>
      </w:r>
    </w:p>
    <w:p>
      <w:pPr>
        <w:spacing w:after="0" w:line="30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unaudited statement of operations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30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94,510</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61,472</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72,800</w:t>
            </w:r>
          </w:p>
        </w:tc>
        <w:tc>
          <w:tcPr>
            <w:tcW w:w="3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21"/>
                <w:szCs w:val="21"/>
                <w:color w:val="auto"/>
              </w:rPr>
            </w:pPr>
          </w:p>
        </w:tc>
      </w:tr>
      <w:tr>
        <w:trPr>
          <w:trHeight w:val="25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21,710</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16,422</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Operations and support</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9,820</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7,755</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3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21"/>
                <w:szCs w:val="21"/>
                <w:color w:val="auto"/>
              </w:rPr>
            </w:pPr>
          </w:p>
        </w:tc>
      </w:tr>
      <w:tr>
        <w:trPr>
          <w:trHeight w:val="250"/>
        </w:trPr>
        <w:tc>
          <w:tcPr>
            <w:tcW w:w="44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43,559</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(21,849 )</w:t>
            </w:r>
          </w:p>
        </w:tc>
        <w:tc>
          <w:tcPr>
            <w:tcW w:w="9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(14,078 )</w:t>
            </w:r>
          </w:p>
        </w:tc>
      </w:tr>
      <w:tr>
        <w:trPr>
          <w:trHeight w:val="26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(681 )</w:t>
            </w:r>
          </w:p>
        </w:tc>
        <w:tc>
          <w:tcPr>
            <w:tcW w:w="9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(417 )</w:t>
            </w:r>
          </w:p>
        </w:tc>
      </w:tr>
      <w:tr>
        <w:trPr>
          <w:trHeight w:val="256"/>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expenses</w:t>
            </w:r>
          </w:p>
        </w:tc>
        <w:tc>
          <w:tcPr>
            <w:tcW w:w="3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(235 )</w:t>
            </w:r>
          </w:p>
        </w:tc>
        <w:tc>
          <w:tcPr>
            <w:tcW w:w="94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(231 )</w:t>
            </w:r>
          </w:p>
        </w:tc>
      </w:tr>
      <w:tr>
        <w:trPr>
          <w:trHeight w:val="20"/>
        </w:trPr>
        <w:tc>
          <w:tcPr>
            <w:tcW w:w="4400" w:type="dxa"/>
            <w:vAlign w:val="bottom"/>
            <w:shd w:val="clear" w:color="auto" w:fill="CFF0FC"/>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400" w:type="dxa"/>
            <w:vAlign w:val="bottom"/>
          </w:tcPr>
          <w:p>
            <w:pPr>
              <w:ind w:left="520"/>
              <w:spacing w:after="0"/>
              <w:rPr>
                <w:sz w:val="20"/>
                <w:szCs w:val="20"/>
                <w:color w:val="auto"/>
              </w:rPr>
            </w:pPr>
            <w:r>
              <w:rPr>
                <w:rFonts w:ascii="Arial" w:cs="Arial" w:eastAsia="Arial" w:hAnsi="Arial"/>
                <w:sz w:val="18"/>
                <w:szCs w:val="18"/>
                <w:color w:val="auto"/>
              </w:rPr>
              <w:t>Total other expenses</w:t>
            </w:r>
          </w:p>
        </w:tc>
        <w:tc>
          <w:tcPr>
            <w:tcW w:w="3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(916 )</w:t>
            </w:r>
          </w:p>
        </w:tc>
        <w:tc>
          <w:tcPr>
            <w:tcW w:w="9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(648 )</w:t>
            </w:r>
          </w:p>
        </w:tc>
      </w:tr>
      <w:tr>
        <w:trPr>
          <w:trHeight w:val="20"/>
        </w:trPr>
        <w:tc>
          <w:tcPr>
            <w:tcW w:w="4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3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(22,765 )</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(14,726 )</w:t>
            </w:r>
          </w:p>
        </w:tc>
      </w:tr>
      <w:tr>
        <w:trPr>
          <w:trHeight w:val="554"/>
        </w:trPr>
        <w:tc>
          <w:tcPr>
            <w:tcW w:w="440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jc w:val="right"/>
              <w:ind w:right="1910"/>
              <w:spacing w:after="0"/>
              <w:rPr>
                <w:sz w:val="20"/>
                <w:szCs w:val="20"/>
                <w:color w:val="auto"/>
              </w:rPr>
            </w:pPr>
            <w:r>
              <w:rPr>
                <w:rFonts w:ascii="Arial" w:cs="Arial" w:eastAsia="Arial" w:hAnsi="Arial"/>
                <w:sz w:val="18"/>
                <w:szCs w:val="18"/>
                <w:color w:val="auto"/>
              </w:rPr>
              <w:t>26</w:t>
            </w: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-1470660</wp:posOffset>
            </wp:positionV>
            <wp:extent cx="18859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-1470660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-810895</wp:posOffset>
            </wp:positionV>
            <wp:extent cx="18859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1885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1885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The following table sets forth our unaudited statement of operations data expressed as a percentage of total revenue for the periods indicated:</w:t>
      </w:r>
    </w:p>
    <w:p>
      <w:pPr>
        <w:spacing w:after="0" w:line="321"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23495</wp:posOffset>
            </wp:positionV>
            <wp:extent cx="20313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3"/>
        </w:trPr>
        <w:tc>
          <w:tcPr>
            <w:tcW w:w="8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93"/>
              </w:rPr>
              <w:t>100.0 %</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77.0 %</w:t>
            </w: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77.8 %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23.0 %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50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r>
      <w:tr>
        <w:trPr>
          <w:trHeight w:val="263"/>
        </w:trPr>
        <w:tc>
          <w:tcPr>
            <w:tcW w:w="8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17.4 %</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16.0 %</w:t>
            </w:r>
          </w:p>
        </w:tc>
      </w:tr>
      <w:tr>
        <w:trPr>
          <w:trHeight w:val="250"/>
        </w:trPr>
        <w:tc>
          <w:tcPr>
            <w:tcW w:w="8620" w:type="dxa"/>
            <w:vAlign w:val="bottom"/>
            <w:gridSpan w:val="2"/>
          </w:tcPr>
          <w:p>
            <w:pPr>
              <w:ind w:left="280"/>
              <w:spacing w:after="0"/>
              <w:rPr>
                <w:sz w:val="20"/>
                <w:szCs w:val="20"/>
                <w:color w:val="auto"/>
              </w:rPr>
            </w:pPr>
            <w:r>
              <w:rPr>
                <w:rFonts w:ascii="Arial" w:cs="Arial" w:eastAsia="Arial" w:hAnsi="Arial"/>
                <w:sz w:val="18"/>
                <w:szCs w:val="18"/>
                <w:color w:val="auto"/>
              </w:rPr>
              <w:t>Operations and support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10.4 %</w:t>
            </w: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10.5 %</w:t>
            </w:r>
          </w:p>
        </w:tc>
      </w:tr>
      <w:tr>
        <w:trPr>
          <w:trHeight w:val="263"/>
        </w:trPr>
        <w:tc>
          <w:tcPr>
            <w:tcW w:w="8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Product development</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8.2 %</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9.6 %</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10.1 %</w:t>
            </w: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9.0 %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46.1 %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45.1 %</w:t>
            </w:r>
          </w:p>
        </w:tc>
      </w:tr>
      <w:tr>
        <w:trPr>
          <w:trHeight w:val="20"/>
        </w:trPr>
        <w:tc>
          <w:tcPr>
            <w:tcW w:w="7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(23.1 )%</w:t>
            </w: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(22.9 )%</w:t>
            </w:r>
          </w:p>
        </w:tc>
      </w:tr>
      <w:tr>
        <w:trPr>
          <w:trHeight w:val="263"/>
        </w:trPr>
        <w:tc>
          <w:tcPr>
            <w:tcW w:w="8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(0.7 )%</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(0.7 )%</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9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(0.2 )%</w:t>
            </w: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(0.4 )%</w:t>
            </w:r>
          </w:p>
        </w:tc>
      </w:tr>
      <w:tr>
        <w:trPr>
          <w:trHeight w:val="20"/>
        </w:trPr>
        <w:tc>
          <w:tcPr>
            <w:tcW w:w="7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other expenses</w:t>
            </w:r>
          </w:p>
        </w:tc>
        <w:tc>
          <w:tcPr>
            <w:tcW w:w="9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(1.1 )%</w:t>
            </w:r>
          </w:p>
        </w:tc>
      </w:tr>
      <w:tr>
        <w:trPr>
          <w:trHeight w:val="20"/>
        </w:trPr>
        <w:tc>
          <w:tcPr>
            <w:tcW w:w="7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(24.0 )%</w:t>
            </w: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(24.0 )%</w:t>
            </w:r>
          </w:p>
        </w:tc>
      </w:tr>
      <w:tr>
        <w:trPr>
          <w:trHeight w:val="20"/>
        </w:trPr>
        <w:tc>
          <w:tcPr>
            <w:tcW w:w="7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-1856740</wp:posOffset>
            </wp:positionV>
            <wp:extent cx="31686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-1856740</wp:posOffset>
            </wp:positionV>
            <wp:extent cx="19748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-862330</wp:posOffset>
            </wp:positionV>
            <wp:extent cx="31686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-862330</wp:posOffset>
            </wp:positionV>
            <wp:extent cx="19748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wp:posOffset>
            </wp:positionV>
            <wp:extent cx="31686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686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-193675</wp:posOffset>
            </wp:positionV>
            <wp:extent cx="19748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748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100" w:firstLine="636"/>
        <w:spacing w:after="0" w:line="279" w:lineRule="auto"/>
        <w:rPr>
          <w:sz w:val="20"/>
          <w:szCs w:val="20"/>
          <w:color w:val="auto"/>
        </w:rPr>
      </w:pPr>
      <w:r>
        <w:rPr>
          <w:rFonts w:ascii="Arial" w:cs="Arial" w:eastAsia="Arial" w:hAnsi="Arial"/>
          <w:sz w:val="18"/>
          <w:szCs w:val="18"/>
          <w:color w:val="auto"/>
        </w:rPr>
        <w:t>Total revenue increased $33.0 million, or 54%, from $61.5 million for the six months ended June 30, 2020 to $94.5 million for the six months ended June 30, 2021. This increase was primarily the result of a 66% increase in active buyers resulting from investment in sales and marketing, as well as existing buyers increasing their spend on the platform from the prior year.</w:t>
      </w:r>
    </w:p>
    <w:p>
      <w:pPr>
        <w:spacing w:after="0" w:line="250" w:lineRule="exact"/>
        <w:rPr>
          <w:sz w:val="20"/>
          <w:szCs w:val="20"/>
          <w:color w:val="auto"/>
        </w:rPr>
      </w:pPr>
    </w:p>
    <w:p>
      <w:pPr>
        <w:ind w:right="980" w:firstLine="636"/>
        <w:spacing w:after="0" w:line="293" w:lineRule="auto"/>
        <w:rPr>
          <w:sz w:val="20"/>
          <w:szCs w:val="20"/>
          <w:color w:val="auto"/>
        </w:rPr>
      </w:pPr>
      <w:r>
        <w:rPr>
          <w:rFonts w:ascii="Arial" w:cs="Arial" w:eastAsia="Arial" w:hAnsi="Arial"/>
          <w:sz w:val="18"/>
          <w:szCs w:val="18"/>
          <w:color w:val="auto"/>
        </w:rPr>
        <w:t>Total revenue from our U.S. and Europe operating segments for the six months ended June 30, 2021 and 2020, was $88.5 million and $60.4 million, for the U.S. respectively, and $6.0 million and $1.1 million, for Europe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320" w:firstLine="636"/>
        <w:spacing w:after="0" w:line="279" w:lineRule="auto"/>
        <w:rPr>
          <w:sz w:val="20"/>
          <w:szCs w:val="20"/>
          <w:color w:val="auto"/>
        </w:rPr>
      </w:pPr>
      <w:r>
        <w:rPr>
          <w:rFonts w:ascii="Arial" w:cs="Arial" w:eastAsia="Arial" w:hAnsi="Arial"/>
          <w:sz w:val="18"/>
          <w:szCs w:val="18"/>
          <w:color w:val="auto"/>
        </w:rPr>
        <w:t>Total cost of revenue increased $25.0 million, or 52%, from $47.8 million for the six months ended June 30, 2020 to $72.8 million for the six months ended June 30, 2021. This increase was primarily the result of an increase in payments to sellers on our platform due to the growth in our buyer base and increased activity by existing accounts on our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31" w:lineRule="exact"/>
        <w:rPr>
          <w:sz w:val="20"/>
          <w:szCs w:val="20"/>
          <w:color w:val="auto"/>
        </w:rPr>
      </w:pPr>
    </w:p>
    <w:p>
      <w:pPr>
        <w:ind w:right="120" w:firstLine="636"/>
        <w:spacing w:after="0" w:line="293" w:lineRule="auto"/>
        <w:rPr>
          <w:sz w:val="20"/>
          <w:szCs w:val="20"/>
          <w:color w:val="auto"/>
        </w:rPr>
      </w:pPr>
      <w:r>
        <w:rPr>
          <w:rFonts w:ascii="Arial" w:cs="Arial" w:eastAsia="Arial" w:hAnsi="Arial"/>
          <w:sz w:val="18"/>
          <w:szCs w:val="18"/>
          <w:color w:val="auto"/>
        </w:rPr>
        <w:t>Gross profit increased $8.1 million, or 59%, from $13.6 million for the six months ended June 30, 2020 to $21.7 million for the six months ended June 30, 2021. The increase in gross profit was due primarily to the increase in revenue described above.</w:t>
      </w:r>
    </w:p>
    <w:p>
      <w:pPr>
        <w:spacing w:after="0" w:line="62" w:lineRule="exact"/>
        <w:rPr>
          <w:sz w:val="20"/>
          <w:szCs w:val="20"/>
          <w:color w:val="auto"/>
        </w:rPr>
      </w:pPr>
    </w:p>
    <w:p>
      <w:pPr>
        <w:ind w:right="40" w:firstLine="636"/>
        <w:spacing w:after="0" w:line="275" w:lineRule="auto"/>
        <w:rPr>
          <w:sz w:val="20"/>
          <w:szCs w:val="20"/>
          <w:color w:val="auto"/>
        </w:rPr>
      </w:pPr>
      <w:r>
        <w:rPr>
          <w:rFonts w:ascii="Arial" w:cs="Arial" w:eastAsia="Arial" w:hAnsi="Arial"/>
          <w:sz w:val="18"/>
          <w:szCs w:val="18"/>
          <w:color w:val="auto"/>
        </w:rPr>
        <w:t>Gross margin increased to 23% for the six months ended June 30, 2021 from 22% for the six months ended June 30, 2020. This increase was primarily the result of a growing number of active sellers from the prior year period,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40" w:firstLine="636"/>
        <w:spacing w:after="0" w:line="272" w:lineRule="auto"/>
        <w:rPr>
          <w:sz w:val="20"/>
          <w:szCs w:val="20"/>
          <w:color w:val="auto"/>
        </w:rPr>
      </w:pPr>
      <w:r>
        <w:rPr>
          <w:rFonts w:ascii="Arial" w:cs="Arial" w:eastAsia="Arial" w:hAnsi="Arial"/>
          <w:sz w:val="18"/>
          <w:szCs w:val="18"/>
          <w:color w:val="auto"/>
        </w:rPr>
        <w:t>Sales and marketing expense increased $6.6 million, or 67%, from $9.9 million for the six months ended June 30, 2020 to $16.4 million for the six months ended June 30, 2021, a result of continued investment to drive revenue growth, additional employees and increased compensation-related expenses including stock based compensation related to options granted in the second quarter of 2021, as compared to the corresponding period in the prior year. As a percent of total revenue, sales and marketing expenses increased to 17% for the six months ended June 30, 2021 from 16% for the six months ended June 30, 2020.</w:t>
      </w:r>
    </w:p>
    <w:p>
      <w:pPr>
        <w:spacing w:after="0" w:line="83" w:lineRule="exact"/>
        <w:rPr>
          <w:sz w:val="20"/>
          <w:szCs w:val="20"/>
          <w:color w:val="auto"/>
        </w:rPr>
      </w:pPr>
    </w:p>
    <w:p>
      <w:pPr>
        <w:ind w:right="180" w:firstLine="636"/>
        <w:spacing w:after="0" w:line="293" w:lineRule="auto"/>
        <w:rPr>
          <w:sz w:val="20"/>
          <w:szCs w:val="20"/>
          <w:color w:val="auto"/>
        </w:rPr>
      </w:pPr>
      <w:r>
        <w:rPr>
          <w:rFonts w:ascii="Arial" w:cs="Arial" w:eastAsia="Arial" w:hAnsi="Arial"/>
          <w:sz w:val="18"/>
          <w:szCs w:val="18"/>
          <w:color w:val="auto"/>
        </w:rPr>
        <w:t>For the six months ended June 30, 2021 and 2020, stock based compensation expense recorded in sales and marketing was $0.4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31" w:lineRule="exact"/>
        <w:rPr>
          <w:sz w:val="20"/>
          <w:szCs w:val="20"/>
          <w:color w:val="auto"/>
        </w:rPr>
      </w:pPr>
    </w:p>
    <w:p>
      <w:pPr>
        <w:ind w:right="380" w:firstLine="636"/>
        <w:spacing w:after="0" w:line="279" w:lineRule="auto"/>
        <w:rPr>
          <w:sz w:val="20"/>
          <w:szCs w:val="20"/>
          <w:color w:val="auto"/>
        </w:rPr>
      </w:pPr>
      <w:r>
        <w:rPr>
          <w:rFonts w:ascii="Arial" w:cs="Arial" w:eastAsia="Arial" w:hAnsi="Arial"/>
          <w:sz w:val="18"/>
          <w:szCs w:val="18"/>
          <w:color w:val="auto"/>
        </w:rPr>
        <w:t>Operations and support increased $3.4 million, or 52%, from $6.5 million for the six months ended June 30, 2020 to $9.8 million for the six months ended June 30, 2021, primarily as a result of additional employees hired to support the growth of buyer and seller activity on our platform, and increased stock based compensation expense for options granted in the second quarter of 2021,</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right="240"/>
        <w:spacing w:after="0" w:line="293" w:lineRule="auto"/>
        <w:rPr>
          <w:sz w:val="20"/>
          <w:szCs w:val="20"/>
          <w:color w:val="auto"/>
        </w:rPr>
      </w:pPr>
      <w:r>
        <w:rPr>
          <w:rFonts w:ascii="Arial" w:cs="Arial" w:eastAsia="Arial" w:hAnsi="Arial"/>
          <w:sz w:val="18"/>
          <w:szCs w:val="18"/>
          <w:color w:val="auto"/>
        </w:rPr>
        <w:t>as compared to the corresponding period in the prior year. As a percent of total revenue, operations and support expenses decreased to 10.4% for the six months ended June 30, 2021 from 10.5% for the six months ended June 30, 2020.</w:t>
      </w:r>
    </w:p>
    <w:p>
      <w:pPr>
        <w:spacing w:after="0" w:line="62" w:lineRule="exact"/>
        <w:rPr>
          <w:sz w:val="20"/>
          <w:szCs w:val="20"/>
          <w:color w:val="auto"/>
        </w:rPr>
      </w:pPr>
    </w:p>
    <w:p>
      <w:pPr>
        <w:ind w:right="260" w:firstLine="636"/>
        <w:spacing w:after="0" w:line="293" w:lineRule="auto"/>
        <w:rPr>
          <w:sz w:val="20"/>
          <w:szCs w:val="20"/>
          <w:color w:val="auto"/>
        </w:rPr>
      </w:pPr>
      <w:r>
        <w:rPr>
          <w:rFonts w:ascii="Arial" w:cs="Arial" w:eastAsia="Arial" w:hAnsi="Arial"/>
          <w:sz w:val="18"/>
          <w:szCs w:val="18"/>
          <w:color w:val="auto"/>
        </w:rPr>
        <w:t>For the six months ended June 30, 2021 and 2020, stock based compensation expense recorded in operations and support was $0.7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firstLine="636"/>
        <w:spacing w:after="0" w:line="296" w:lineRule="auto"/>
        <w:rPr>
          <w:sz w:val="20"/>
          <w:szCs w:val="20"/>
          <w:color w:val="auto"/>
        </w:rPr>
      </w:pPr>
      <w:r>
        <w:rPr>
          <w:rFonts w:ascii="Arial" w:cs="Arial" w:eastAsia="Arial" w:hAnsi="Arial"/>
          <w:sz w:val="17"/>
          <w:szCs w:val="17"/>
          <w:color w:val="auto"/>
        </w:rPr>
        <w:t>Product development expense increased $1.9 million, or 32%, from $5.9 million for the six months ended June 30, 2020 to $7.8 million for the six months ended June 30, 2021, a result of additional employees and increased stock based compensation expense for options granted in the second quarter of 2021, as compared to the corresponding period in the prior year. As a percent of total revenue, product development expenses decreased to 8% for the six months ended June 30, 2021 from 10% for the six months ended June 30, 2020.</w:t>
      </w:r>
    </w:p>
    <w:p>
      <w:pPr>
        <w:spacing w:after="0" w:line="62" w:lineRule="exact"/>
        <w:rPr>
          <w:sz w:val="20"/>
          <w:szCs w:val="20"/>
          <w:color w:val="auto"/>
        </w:rPr>
      </w:pPr>
    </w:p>
    <w:p>
      <w:pPr>
        <w:ind w:right="20" w:firstLine="636"/>
        <w:spacing w:after="0" w:line="293" w:lineRule="auto"/>
        <w:rPr>
          <w:sz w:val="20"/>
          <w:szCs w:val="20"/>
          <w:color w:val="auto"/>
        </w:rPr>
      </w:pPr>
      <w:r>
        <w:rPr>
          <w:rFonts w:ascii="Arial" w:cs="Arial" w:eastAsia="Arial" w:hAnsi="Arial"/>
          <w:sz w:val="18"/>
          <w:szCs w:val="18"/>
          <w:color w:val="auto"/>
        </w:rPr>
        <w:t>For the six months ended June 30, 2021 and 2020, stock based compensation expense recorded in product development was $0.5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60" w:firstLine="636"/>
        <w:spacing w:after="0" w:line="272" w:lineRule="auto"/>
        <w:rPr>
          <w:sz w:val="20"/>
          <w:szCs w:val="20"/>
          <w:color w:val="auto"/>
        </w:rPr>
      </w:pPr>
      <w:r>
        <w:rPr>
          <w:rFonts w:ascii="Arial" w:cs="Arial" w:eastAsia="Arial" w:hAnsi="Arial"/>
          <w:sz w:val="18"/>
          <w:szCs w:val="18"/>
          <w:color w:val="auto"/>
        </w:rPr>
        <w:t>General and administrative expense increased $4.1 million, or 74%, from $5.5 million for the six months ended June 30, 2020 to $9.6 million for the six months ended June 30, 2021, primarily as a result of an increase in compensation-related expenses, including stock based compensation, additional legal, accounting and financial headcount and third party expenses in preparation of become a public company, as well as additional overhead expenses to support the growth of our business operations. As a percent of total revenue, general and administrative expenses increased to 10% for the six months ended June 30, 2021 from 9% for the six months ended June 30, 2020.</w:t>
      </w:r>
    </w:p>
    <w:p>
      <w:pPr>
        <w:spacing w:after="0" w:line="83" w:lineRule="exact"/>
        <w:rPr>
          <w:sz w:val="20"/>
          <w:szCs w:val="20"/>
          <w:color w:val="auto"/>
        </w:rPr>
      </w:pPr>
    </w:p>
    <w:p>
      <w:pPr>
        <w:ind w:firstLine="636"/>
        <w:spacing w:after="0" w:line="293" w:lineRule="auto"/>
        <w:rPr>
          <w:sz w:val="20"/>
          <w:szCs w:val="20"/>
          <w:color w:val="auto"/>
        </w:rPr>
      </w:pPr>
      <w:r>
        <w:rPr>
          <w:rFonts w:ascii="Arial" w:cs="Arial" w:eastAsia="Arial" w:hAnsi="Arial"/>
          <w:sz w:val="18"/>
          <w:szCs w:val="18"/>
          <w:color w:val="auto"/>
        </w:rPr>
        <w:t>For the six months ended June 30, 2021 and 2020, stock based compensation expense recorded in general and administrative was $0.9 million and $0.1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1" w:lineRule="exact"/>
        <w:rPr>
          <w:sz w:val="20"/>
          <w:szCs w:val="20"/>
          <w:color w:val="auto"/>
        </w:rPr>
      </w:pPr>
    </w:p>
    <w:p>
      <w:pPr>
        <w:ind w:right="460" w:firstLine="636"/>
        <w:spacing w:after="0" w:line="359" w:lineRule="auto"/>
        <w:rPr>
          <w:sz w:val="20"/>
          <w:szCs w:val="20"/>
          <w:color w:val="auto"/>
        </w:rPr>
      </w:pPr>
      <w:r>
        <w:rPr>
          <w:rFonts w:ascii="Arial" w:cs="Arial" w:eastAsia="Arial" w:hAnsi="Arial"/>
          <w:sz w:val="16"/>
          <w:szCs w:val="16"/>
          <w:color w:val="auto"/>
        </w:rPr>
        <w:t>Interest expense, net increased by $0.3 million, or 63%, from $0.4 million for the six months ended June 30, 2020 to $0.7 million for the six months ended June 30, 2021, as a result of additional borrowings under our term loan facility and higher interest rates on our existing borrowings.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31" w:lineRule="exact"/>
        <w:rPr>
          <w:sz w:val="20"/>
          <w:szCs w:val="20"/>
          <w:color w:val="auto"/>
        </w:rPr>
      </w:pPr>
    </w:p>
    <w:p>
      <w:pPr>
        <w:ind w:right="120" w:firstLine="636"/>
        <w:spacing w:after="0" w:line="279" w:lineRule="auto"/>
        <w:rPr>
          <w:sz w:val="20"/>
          <w:szCs w:val="20"/>
          <w:color w:val="auto"/>
        </w:rPr>
      </w:pPr>
      <w:r>
        <w:rPr>
          <w:rFonts w:ascii="Arial" w:cs="Arial" w:eastAsia="Arial" w:hAnsi="Arial"/>
          <w:sz w:val="18"/>
          <w:szCs w:val="18"/>
          <w:color w:val="auto"/>
        </w:rPr>
        <w:t>Total segment loss from our U.S. operating segment for the six months ended June 30, 2021 and 2020, was $17.6 million and $12.0 million, respectively. Total segment loss from our Europe operating segment for the six months ended June 30, 2021 and 2020, was $5.2 million and $2.7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June 30, 2021, our cash and cash equivalents totaled $37.4 million, compared with $59.9 million as of December 31, 2020. We believe our existing cash and cash equivalents will be sufficient to support our working capital and capital expenditure requirements for at least the next twelve months.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83" w:lineRule="exact"/>
        <w:rPr>
          <w:sz w:val="20"/>
          <w:szCs w:val="20"/>
          <w:color w:val="auto"/>
        </w:rPr>
      </w:pPr>
    </w:p>
    <w:p>
      <w:pPr>
        <w:ind w:right="20" w:firstLine="644"/>
        <w:spacing w:after="0" w:line="279" w:lineRule="auto"/>
        <w:rPr>
          <w:sz w:val="20"/>
          <w:szCs w:val="20"/>
          <w:color w:val="auto"/>
        </w:rPr>
      </w:pPr>
      <w:r>
        <w:rPr>
          <w:rFonts w:ascii="Arial" w:cs="Arial" w:eastAsia="Arial" w:hAnsi="Arial"/>
          <w:sz w:val="18"/>
          <w:szCs w:val="18"/>
          <w:color w:val="auto"/>
        </w:rPr>
        <w:t>On July 2, 2021, we closed our planned initial public offering ("IPO"), in which we issued and sold 7,906,250 shares of our Class A common stock. The initial offering price was $44.00 per share. We received net proceeds of approximately $325.3 million from the IPO after deducting underwriting discounts and commissions of $22.6 million.</w:t>
      </w:r>
    </w:p>
    <w:p>
      <w:pPr>
        <w:spacing w:after="0" w:line="75" w:lineRule="exact"/>
        <w:rPr>
          <w:sz w:val="20"/>
          <w:szCs w:val="20"/>
          <w:color w:val="auto"/>
        </w:rPr>
      </w:pPr>
    </w:p>
    <w:p>
      <w:pPr>
        <w:ind w:right="20" w:firstLine="644"/>
        <w:spacing w:after="0" w:line="293"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31" w:lineRule="exact"/>
        <w:rPr>
          <w:sz w:val="20"/>
          <w:szCs w:val="20"/>
          <w:color w:val="auto"/>
        </w:rPr>
      </w:pPr>
    </w:p>
    <w:p>
      <w:pPr>
        <w:ind w:right="40" w:firstLine="644"/>
        <w:spacing w:after="0" w:line="299" w:lineRule="auto"/>
        <w:rPr>
          <w:sz w:val="20"/>
          <w:szCs w:val="20"/>
          <w:color w:val="auto"/>
        </w:rPr>
      </w:pPr>
      <w:r>
        <w:rPr>
          <w:rFonts w:ascii="Arial" w:cs="Arial" w:eastAsia="Arial" w:hAnsi="Arial"/>
          <w:sz w:val="16"/>
          <w:szCs w:val="16"/>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could borrow up to $15.0 million under a term loan, all of which became available to us immediately on the agreement date. We had borrowings under the term loan of $15.0 million as of June 30, 2021 and December 31, 2020. As of June 30, 2021 and December 31, 2020, the loan accrued interest at the greater of (i) 8.7% per annum or (ii)</w:t>
      </w:r>
    </w:p>
    <w:p>
      <w:pPr>
        <w:spacing w:after="0" w:line="2"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8.7% per annum plus the prime rate minus 4.75% per annum. The term loan agreement required a maximum $1.2 million end of term fee due and payable on the maturity date of May 1, 2022, however, if the term loan was repaid prior to November 1, 2021, the amount owed would be $0.9 million. As of June 30, 2021 and December 31, 2020, we owed $15.9 million and $15.8 million, respectively on this term loan, including principal borrowings and accrued end of term fee.</w:t>
      </w:r>
    </w:p>
    <w:p>
      <w:pPr>
        <w:spacing w:after="0" w:line="80" w:lineRule="exact"/>
        <w:rPr>
          <w:sz w:val="20"/>
          <w:szCs w:val="20"/>
          <w:color w:val="auto"/>
        </w:rPr>
      </w:pPr>
    </w:p>
    <w:p>
      <w:pPr>
        <w:ind w:right="460" w:firstLine="644"/>
        <w:spacing w:after="0" w:line="324" w:lineRule="auto"/>
        <w:rPr>
          <w:sz w:val="20"/>
          <w:szCs w:val="20"/>
          <w:color w:val="auto"/>
        </w:rPr>
      </w:pPr>
      <w:r>
        <w:rPr>
          <w:rFonts w:ascii="Arial" w:cs="Arial" w:eastAsia="Arial" w:hAnsi="Arial"/>
          <w:sz w:val="17"/>
          <w:szCs w:val="17"/>
          <w:color w:val="auto"/>
        </w:rPr>
        <w:t>On July 9, 2021, the Company repaid the full amount of its term loan with Hercules with proceeds from the IPO. In connection with the debt extinguishment, the Company paid Hercules $16.2 million. We will record a loss on debt extinguishment of approximately $0.3 million.</w:t>
      </w:r>
    </w:p>
    <w:p>
      <w:pPr>
        <w:spacing w:after="0" w:line="39" w:lineRule="exact"/>
        <w:rPr>
          <w:sz w:val="20"/>
          <w:szCs w:val="20"/>
          <w:color w:val="auto"/>
        </w:rPr>
      </w:pPr>
    </w:p>
    <w:p>
      <w:pPr>
        <w:ind w:right="220" w:firstLine="644"/>
        <w:spacing w:after="0" w:line="279" w:lineRule="auto"/>
        <w:rPr>
          <w:sz w:val="20"/>
          <w:szCs w:val="20"/>
          <w:color w:val="auto"/>
        </w:rPr>
      </w:pPr>
      <w:r>
        <w:rPr>
          <w:rFonts w:ascii="Arial" w:cs="Arial" w:eastAsia="Arial" w:hAnsi="Arial"/>
          <w:sz w:val="18"/>
          <w:szCs w:val="18"/>
          <w:color w:val="auto"/>
        </w:rPr>
        <w:t>As part of the initial term loan agreement with Hercules, we issued a warrant to purchase 87,784 shares of our Series B preferred stock with an exercise price of $5.13 per share that expires in May 2025. Upon closing of the IPO on July 2, 2021, the warrant held by Hercules may only be exercised for shares of Class A common stock.</w:t>
      </w:r>
    </w:p>
    <w:p>
      <w:pPr>
        <w:spacing w:after="0" w:line="75" w:lineRule="exact"/>
        <w:rPr>
          <w:sz w:val="20"/>
          <w:szCs w:val="20"/>
          <w:color w:val="auto"/>
        </w:rPr>
      </w:pPr>
    </w:p>
    <w:p>
      <w:pPr>
        <w:ind w:right="80" w:firstLine="644"/>
        <w:spacing w:after="0" w:line="272" w:lineRule="auto"/>
        <w:rPr>
          <w:sz w:val="20"/>
          <w:szCs w:val="20"/>
          <w:color w:val="auto"/>
        </w:rPr>
      </w:pPr>
      <w:r>
        <w:rPr>
          <w:rFonts w:ascii="Arial" w:cs="Arial" w:eastAsia="Arial" w:hAnsi="Arial"/>
          <w:sz w:val="18"/>
          <w:szCs w:val="18"/>
          <w:color w:val="auto"/>
        </w:rPr>
        <w:t>The term loan facility contained customary affirmative and negative covenants, including covenants that required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were in compliance with covenants at the time the term loan was repaid, and we were in compliance with these covenants as of June 30, 2021 and December 31,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right="160" w:firstLine="636"/>
        <w:spacing w:after="0" w:line="293"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six months ended June 30, 2021 and 2020.</w:t>
      </w:r>
    </w:p>
    <w:p>
      <w:pPr>
        <w:spacing w:after="0" w:line="22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602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(20,560 )   $</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(11,650 )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(2,748 )</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w:t>
            </w:r>
          </w:p>
        </w:tc>
        <w:tc>
          <w:tcPr>
            <w:tcW w:w="100" w:type="dxa"/>
            <w:vAlign w:val="bottom"/>
            <w:shd w:val="clear" w:color="auto" w:fill="CFF0FC"/>
          </w:tcPr>
          <w:p>
            <w:pPr>
              <w:spacing w:after="0"/>
              <w:rPr>
                <w:sz w:val="22"/>
                <w:szCs w:val="2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20" w:firstLine="644"/>
        <w:spacing w:after="0" w:line="279" w:lineRule="auto"/>
        <w:rPr>
          <w:sz w:val="20"/>
          <w:szCs w:val="20"/>
          <w:color w:val="auto"/>
        </w:rPr>
      </w:pPr>
      <w:r>
        <w:rPr>
          <w:rFonts w:ascii="Arial" w:cs="Arial" w:eastAsia="Arial" w:hAnsi="Arial"/>
          <w:sz w:val="18"/>
          <w:szCs w:val="18"/>
          <w:color w:val="auto"/>
        </w:rPr>
        <w:t>For the six months ended June 30, 2021, net cash used in operating activities was $20.6 million, primarily due to a net loss of $22.8 million adjusted for non-cash charges of $4.6 million and a net decrease in our operating assets and liabilities of $(2.4) million. The non-cash adjustments primarily relate to stock-based compensation of $2.5 million and depreciation and amortization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ind w:right="260"/>
        <w:spacing w:after="0" w:line="279" w:lineRule="auto"/>
        <w:rPr>
          <w:sz w:val="20"/>
          <w:szCs w:val="20"/>
          <w:color w:val="auto"/>
        </w:rPr>
      </w:pPr>
      <w:r>
        <w:rPr>
          <w:rFonts w:ascii="Arial" w:cs="Arial" w:eastAsia="Arial" w:hAnsi="Arial"/>
          <w:sz w:val="18"/>
          <w:szCs w:val="18"/>
          <w:color w:val="auto"/>
        </w:rPr>
        <w:t>$1.5 million. The net decrease in operating assets and liabilities is primarily driven by an increase in accounts receivable of $6.9 million and prepaid expenses of $5.3 million. These increases are partially offset by increases in accounts payable of $7.5 million, primarily related to public company costs and $1.9 million of contract liabilities, primarily due to the growth of our business.</w:t>
      </w:r>
    </w:p>
    <w:p>
      <w:pPr>
        <w:spacing w:after="0" w:line="75" w:lineRule="exact"/>
        <w:rPr>
          <w:sz w:val="20"/>
          <w:szCs w:val="20"/>
          <w:color w:val="auto"/>
        </w:rPr>
      </w:pPr>
    </w:p>
    <w:p>
      <w:pPr>
        <w:ind w:firstLine="644"/>
        <w:spacing w:after="0" w:line="292" w:lineRule="auto"/>
        <w:rPr>
          <w:sz w:val="20"/>
          <w:szCs w:val="20"/>
          <w:color w:val="auto"/>
        </w:rPr>
      </w:pPr>
      <w:r>
        <w:rPr>
          <w:rFonts w:ascii="Arial" w:cs="Arial" w:eastAsia="Arial" w:hAnsi="Arial"/>
          <w:sz w:val="17"/>
          <w:szCs w:val="17"/>
          <w:color w:val="auto"/>
        </w:rPr>
        <w:t>For the six months ended June 30, 2020, net cash used in operating activities was $11.7 million, primarily due to a net loss of $14.7 million adjusted for non-cash charges of $2.4 million and a net increase in our operating assets and liabilities of $0.6 million. The non-cash adjustments primarily relate to stock-based compensation of $0.4 million, $0.5 million reduction of our right of use lease assets and depreciation and amortization of $1.4 million. The net increase in operating assets and liabilities is primarily driven by a $2.1 million increase in accrued expenses. This increase is partially offset by a $0.8 million increase in accounts receivable and a $0.8 million increase in inventory.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520" w:firstLine="644"/>
        <w:spacing w:after="0" w:line="293" w:lineRule="auto"/>
        <w:rPr>
          <w:sz w:val="20"/>
          <w:szCs w:val="20"/>
          <w:color w:val="auto"/>
        </w:rPr>
      </w:pPr>
      <w:r>
        <w:rPr>
          <w:rFonts w:ascii="Arial" w:cs="Arial" w:eastAsia="Arial" w:hAnsi="Arial"/>
          <w:sz w:val="18"/>
          <w:szCs w:val="18"/>
          <w:color w:val="auto"/>
        </w:rPr>
        <w:t>Cash used by investing activities was $2.7 million during the six months ended June 30, 2021, primarily due to investments in property and equipment (which includes internal-use software development costs).</w:t>
      </w:r>
    </w:p>
    <w:p>
      <w:pPr>
        <w:spacing w:after="0" w:line="62" w:lineRule="exact"/>
        <w:rPr>
          <w:sz w:val="20"/>
          <w:szCs w:val="20"/>
          <w:color w:val="auto"/>
        </w:rPr>
      </w:pPr>
    </w:p>
    <w:p>
      <w:pPr>
        <w:ind w:right="160" w:firstLine="644"/>
        <w:spacing w:after="0" w:line="279" w:lineRule="auto"/>
        <w:rPr>
          <w:sz w:val="20"/>
          <w:szCs w:val="20"/>
          <w:color w:val="auto"/>
        </w:rPr>
      </w:pPr>
      <w:r>
        <w:rPr>
          <w:rFonts w:ascii="Arial" w:cs="Arial" w:eastAsia="Arial" w:hAnsi="Arial"/>
          <w:sz w:val="18"/>
          <w:szCs w:val="18"/>
          <w:color w:val="auto"/>
        </w:rPr>
        <w:t>Cash provided by investing activities was $8.9 million during the six months ended June 30, 2020, primarily due to the redemption of its short terms investments which resulted in cash proceeds, net of approximately $10.9 million, offset by $2.0 million for the purchase of property and equipment (which includes internal-use software development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260" w:firstLine="636"/>
        <w:spacing w:after="0" w:line="293" w:lineRule="auto"/>
        <w:rPr>
          <w:sz w:val="20"/>
          <w:szCs w:val="20"/>
          <w:color w:val="auto"/>
        </w:rPr>
      </w:pPr>
      <w:r>
        <w:rPr>
          <w:rFonts w:ascii="Arial" w:cs="Arial" w:eastAsia="Arial" w:hAnsi="Arial"/>
          <w:sz w:val="18"/>
          <w:szCs w:val="18"/>
          <w:color w:val="auto"/>
        </w:rPr>
        <w:t>Cash provided by financing activities was $0.8 million during the six months ended June 30, 2021, reflecting $1.3 million of proceeds from the exercise of stock options, offset by $0.5 million of costs incurred in connection with our IPO.</w:t>
      </w:r>
    </w:p>
    <w:p>
      <w:pPr>
        <w:spacing w:after="0" w:line="62" w:lineRule="exact"/>
        <w:rPr>
          <w:sz w:val="20"/>
          <w:szCs w:val="20"/>
          <w:color w:val="auto"/>
        </w:rPr>
      </w:pPr>
    </w:p>
    <w:p>
      <w:pPr>
        <w:ind w:right="400" w:firstLine="636"/>
        <w:spacing w:after="0" w:line="279" w:lineRule="auto"/>
        <w:rPr>
          <w:sz w:val="20"/>
          <w:szCs w:val="20"/>
          <w:color w:val="auto"/>
        </w:rPr>
      </w:pPr>
      <w:r>
        <w:rPr>
          <w:rFonts w:ascii="Arial" w:cs="Arial" w:eastAsia="Arial" w:hAnsi="Arial"/>
          <w:sz w:val="18"/>
          <w:szCs w:val="18"/>
          <w:color w:val="auto"/>
        </w:rPr>
        <w:t>Cash provided by financing activities was $8.9 million during the six months ended June 30, 2020, reflecting $4.0 million of additional borrowings on our term loan and $4.8 million of other borrowings under the Paycheck Protection Program (“PPP”). The Company paid back the loan principal with interest on July 8, 2020.</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right="240" w:firstLine="644"/>
        <w:spacing w:after="0" w:line="329"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right="20" w:firstLine="644"/>
        <w:spacing w:after="0" w:line="287"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final Prospectus on Form 424(b)(4) as well as Note 2 – Basis of Presentation and Summary of Significant Accounting Policies in the notes to the condensed consolidated financial statements included in Part I, Item 1, of this Quarterly Report on Form 10-Q.</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JOBS Act Accounting Election</w:t>
      </w:r>
    </w:p>
    <w:p>
      <w:pPr>
        <w:spacing w:after="0" w:line="135"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20" w:firstLine="644"/>
        <w:spacing w:after="0" w:line="275"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right="160" w:firstLine="636"/>
        <w:spacing w:after="0" w:line="279"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ind w:right="100" w:firstLine="636"/>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80" w:firstLine="636"/>
        <w:spacing w:after="0" w:line="269"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240" w:firstLine="636"/>
        <w:spacing w:after="0" w:line="293"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2021 that have materially affected, or are reasonably likely to materially affect, our internal control over financial reporting.</w:t>
      </w:r>
    </w:p>
    <w:p>
      <w:pPr>
        <w:spacing w:after="0" w:line="62" w:lineRule="exact"/>
        <w:rPr>
          <w:sz w:val="20"/>
          <w:szCs w:val="20"/>
          <w:color w:val="auto"/>
        </w:rPr>
      </w:pPr>
    </w:p>
    <w:p>
      <w:pPr>
        <w:ind w:right="40" w:firstLine="636"/>
        <w:spacing w:after="0" w:line="314"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firstLine="644"/>
        <w:spacing w:after="0" w:line="296" w:lineRule="auto"/>
        <w:rPr>
          <w:sz w:val="20"/>
          <w:szCs w:val="20"/>
          <w:color w:val="auto"/>
        </w:rPr>
      </w:pPr>
      <w:r>
        <w:rPr>
          <w:rFonts w:ascii="Arial" w:cs="Arial" w:eastAsia="Arial" w:hAnsi="Arial"/>
          <w:sz w:val="17"/>
          <w:szCs w:val="17"/>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4"/>
        <w:spacing w:after="0" w:line="308"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Part 1, Item 1 of this Quarterly Report on Form 10-Q,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all or part of your original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Factor Summary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is subject to numerous risks and uncertainties, including those outside our control, that could cause our actual results to be harmed.</w:t>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have incurred net losses in the past, expect to incur net losses in the future and may never achieve or maintain profitability.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continue to grow on pace with historical rates.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If we are unable to manage the anticipated growth of our business, our future revenue and operating results may be adversely affected.</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growth depends on our ability to attract and retain a large community of buyers and sellers.</w:t>
      </w:r>
    </w:p>
    <w:p>
      <w:pPr>
        <w:spacing w:after="0" w:line="131"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Our success depends on our ability to deliver products and manufacturing processes that meet the demand of buyers transacting on our marketplace and our ability to adapt to technological changes and improvements.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If we fail to maintain and improve the quality of our platform, customer support and ancillary services available through our platform, we may not be able to attract and retain buyers and sellers.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provide quality assurance to buyers.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business model involves our agreeing to pricing with a buyer in advance of sourcing the opportunity to a seller.</w:t>
      </w:r>
    </w:p>
    <w:p>
      <w:pPr>
        <w:spacing w:after="0" w:line="131"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or our third-party partners or service providers may experience a security breach, including unauthorized parties obtaining access to buyers’ confidential information.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to deal effectively with bad actors engaging on our marketplace or platform could harm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disputes between sellers and suppliers on our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rely on a third-party payment processor to process payments made by buyers and payments made to sellers and suppliers.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rely on third parties to fulfill buyer orders.</w:t>
      </w:r>
    </w:p>
    <w:p>
      <w:pPr>
        <w:spacing w:after="0" w:line="131"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We face significant competition and expect to face increasing competition in many aspects of our business, which could cause our operating results to suffer.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effectively expand into markets outside the United States.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5" w:name="page36"/>
    <w:bookmarkEnd w:id="35"/>
    <w:p>
      <w:pPr>
        <w:ind w:left="960" w:right="500"/>
        <w:spacing w:after="0" w:line="293" w:lineRule="auto"/>
        <w:rPr>
          <w:sz w:val="20"/>
          <w:szCs w:val="20"/>
          <w:color w:val="auto"/>
        </w:rPr>
      </w:pPr>
      <w:r>
        <w:rPr>
          <w:rFonts w:ascii="Arial" w:cs="Arial" w:eastAsia="Arial" w:hAnsi="Arial"/>
          <w:sz w:val="18"/>
          <w:szCs w:val="18"/>
          <w:color w:val="auto"/>
        </w:rPr>
        <w:t>The ongoing COVID-19 pandemic and measures intended to prevent its spread have had a material effect on our business and results of operations.</w:t>
      </w:r>
    </w:p>
    <w:p>
      <w:pPr>
        <w:spacing w:after="0" w:line="62" w:lineRule="exact"/>
        <w:rPr>
          <w:sz w:val="20"/>
          <w:szCs w:val="20"/>
          <w:color w:val="auto"/>
        </w:rPr>
      </w:pPr>
    </w:p>
    <w:p>
      <w:pPr>
        <w:ind w:left="960" w:right="740"/>
        <w:spacing w:after="0" w:line="324" w:lineRule="auto"/>
        <w:rPr>
          <w:sz w:val="20"/>
          <w:szCs w:val="20"/>
          <w:color w:val="auto"/>
        </w:rPr>
      </w:pPr>
      <w:r>
        <w:rPr>
          <w:rFonts w:ascii="Arial" w:cs="Arial" w:eastAsia="Arial" w:hAnsi="Arial"/>
          <w:sz w:val="17"/>
          <w:szCs w:val="17"/>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are subject to stringent and evolving laws and regulations relating to consumer data privacy and data protection.</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Our intellectual property and proprietary rights are valuable, and any inability to obtain, maintain, protect or enforce them could substantially harm our business, products, services, and brand.</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could incur substantial costs and other harms as a result of any claim of infringement, misappropriation or other violation of another party’s intellectual property or proprietary rights.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We rely on Amazon Web Services to operate our platform, and any disruption of service from Amazon Web Services or material change to our arrangement with Amazon Web Services could adversely affect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98" w:lineRule="exact"/>
        <w:rPr>
          <w:sz w:val="20"/>
          <w:szCs w:val="20"/>
          <w:color w:val="auto"/>
        </w:rPr>
      </w:pPr>
    </w:p>
    <w:p>
      <w:pPr>
        <w:ind w:firstLine="644"/>
        <w:spacing w:after="0" w:line="288" w:lineRule="auto"/>
        <w:rPr>
          <w:sz w:val="20"/>
          <w:szCs w:val="20"/>
          <w:color w:val="auto"/>
        </w:rPr>
      </w:pPr>
      <w:r>
        <w:rPr>
          <w:rFonts w:ascii="Arial" w:cs="Arial" w:eastAsia="Arial" w:hAnsi="Arial"/>
          <w:sz w:val="17"/>
          <w:szCs w:val="17"/>
          <w:color w:val="auto"/>
        </w:rPr>
        <w:t>We have incurred net losses since our inception in 2013. We incurred a net loss of $31.1 million in 2020 and a net loss of $12.3 million and $22.8 million for the three and six months ended June 30, 2021, and we expect to incur net losses for the foreseeable future. As a result of these losses, as of June 30, 2021, we had an accumulated deficit of $134.7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212" w:lineRule="exact"/>
        <w:rPr>
          <w:sz w:val="20"/>
          <w:szCs w:val="20"/>
          <w:color w:val="auto"/>
        </w:rPr>
      </w:pPr>
    </w:p>
    <w:p>
      <w:pPr>
        <w:ind w:firstLine="644"/>
        <w:spacing w:after="0" w:line="299" w:lineRule="auto"/>
        <w:rPr>
          <w:sz w:val="20"/>
          <w:szCs w:val="20"/>
          <w:color w:val="auto"/>
        </w:rPr>
      </w:pPr>
      <w:r>
        <w:rPr>
          <w:rFonts w:ascii="Arial" w:cs="Arial" w:eastAsia="Arial" w:hAnsi="Arial"/>
          <w:sz w:val="16"/>
          <w:szCs w:val="16"/>
          <w:color w:val="auto"/>
        </w:rPr>
        <w:t>We have grown rapidly over the last several years, but our recent revenue growth rate and financial performance should not be considered indicative of our future performance. During the three months ended June 30, 2021 and 2020, our revenue was $50.6 million and $34.8 million, respectively, representing a growth rate of 45%. During the six months ended June 30, 2021 and 2020, our revenue was $94.5 million and $61.5 million, respectively, representing a growth rate of 54%. In addition, in 2020, unlike in many other industries, the COVID-19 pandemic contributed to an increase in our revenue, particularly in the third quarter of 2020. The circumstances that have accelerated the growth of our business stemming from the effects of</w:t>
      </w:r>
    </w:p>
    <w:p>
      <w:pPr>
        <w:spacing w:after="0" w:line="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the anticipated growth of our business, our future revenue and operating results may be adversely affected.</w:t>
      </w:r>
    </w:p>
    <w:p>
      <w:pPr>
        <w:spacing w:after="0" w:line="264" w:lineRule="exact"/>
        <w:rPr>
          <w:sz w:val="20"/>
          <w:szCs w:val="20"/>
          <w:color w:val="auto"/>
        </w:rPr>
      </w:pPr>
    </w:p>
    <w:p>
      <w:pPr>
        <w:ind w:right="80" w:firstLine="644"/>
        <w:spacing w:after="0" w:line="308" w:lineRule="auto"/>
        <w:rPr>
          <w:sz w:val="20"/>
          <w:szCs w:val="20"/>
          <w:color w:val="auto"/>
        </w:rPr>
      </w:pPr>
      <w:r>
        <w:rPr>
          <w:rFonts w:ascii="Arial" w:cs="Arial" w:eastAsia="Arial" w:hAnsi="Arial"/>
          <w:sz w:val="16"/>
          <w:szCs w:val="16"/>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jc w:val="both"/>
        <w:ind w:right="120"/>
        <w:spacing w:after="0" w:line="279" w:lineRule="auto"/>
        <w:rPr>
          <w:sz w:val="20"/>
          <w:szCs w:val="20"/>
          <w:color w:val="auto"/>
        </w:rPr>
      </w:pPr>
      <w:r>
        <w:rPr>
          <w:rFonts w:ascii="Arial" w:cs="Arial" w:eastAsia="Arial" w:hAnsi="Arial"/>
          <w:sz w:val="18"/>
          <w:szCs w:val="18"/>
          <w:color w:val="auto"/>
        </w:rPr>
        <w:t>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252" w:lineRule="exact"/>
        <w:rPr>
          <w:sz w:val="20"/>
          <w:szCs w:val="20"/>
          <w:color w:val="auto"/>
        </w:rPr>
      </w:pPr>
    </w:p>
    <w:p>
      <w:pPr>
        <w:jc w:val="both"/>
        <w:ind w:firstLine="644"/>
        <w:spacing w:after="0" w:line="279"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and grow our community of buyers and sellers;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demand for and types of manufacturing processes, capabilities and materials that are sourced on our marketplace to sellers;</w:t>
      </w:r>
    </w:p>
    <w:p>
      <w:pPr>
        <w:spacing w:after="0" w:line="131"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timing of large orders on our marketplace;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holidays on purchase activity;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prices charged to buyers transacting on our marketplace;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our pricing model;</w:t>
      </w:r>
    </w:p>
    <w:p>
      <w:pPr>
        <w:spacing w:after="0" w:line="131"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outages of our platform and associated reputational harm;</w:t>
      </w:r>
    </w:p>
    <w:p>
      <w:pPr>
        <w:spacing w:after="0" w:line="131"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increases in, and timing of, operating expenses that we may incur to grow and expand our business and to remain competitive;</w:t>
      </w:r>
    </w:p>
    <w:p>
      <w:pPr>
        <w:spacing w:after="0" w:line="131"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62" w:lineRule="exact"/>
        <w:rPr>
          <w:sz w:val="20"/>
          <w:szCs w:val="20"/>
          <w:color w:val="auto"/>
        </w:rPr>
      </w:pPr>
    </w:p>
    <w:p>
      <w:pPr>
        <w:ind w:left="960" w:right="2180"/>
        <w:spacing w:after="0" w:line="391" w:lineRule="auto"/>
        <w:rPr>
          <w:sz w:val="20"/>
          <w:szCs w:val="20"/>
          <w:color w:val="auto"/>
        </w:rPr>
      </w:pPr>
      <w:r>
        <w:rPr>
          <w:rFonts w:ascii="Arial" w:cs="Arial" w:eastAsia="Arial" w:hAnsi="Arial"/>
          <w:sz w:val="18"/>
          <w:szCs w:val="18"/>
          <w:color w:val="auto"/>
        </w:rPr>
        <w:t>actual or perceived breaches of, or failures relating to security or data privacy and associated remediation costs; litigation, adverse judgments, settlements, or other litigation-related costs;</w:t>
      </w:r>
    </w:p>
    <w:p>
      <w:pPr>
        <w:spacing w:after="0" w:line="1"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62" w:lineRule="exact"/>
        <w:rPr>
          <w:sz w:val="20"/>
          <w:szCs w:val="20"/>
          <w:color w:val="auto"/>
        </w:rPr>
      </w:pPr>
    </w:p>
    <w:p>
      <w:pPr>
        <w:ind w:left="960" w:right="80"/>
        <w:spacing w:after="0" w:line="329" w:lineRule="auto"/>
        <w:rPr>
          <w:sz w:val="20"/>
          <w:szCs w:val="20"/>
          <w:color w:val="auto"/>
        </w:rPr>
      </w:pPr>
      <w:r>
        <w:rPr>
          <w:rFonts w:ascii="Arial" w:cs="Arial" w:eastAsia="Arial" w:hAnsi="Arial"/>
          <w:sz w:val="16"/>
          <w:szCs w:val="16"/>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currency exchange rates;</w:t>
      </w:r>
    </w:p>
    <w:p>
      <w:pPr>
        <w:spacing w:after="0" w:line="131"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impact of one or more of the foregoing and other factors may cause our operating results to vary significantly. As such, we believe</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7" w:name="page38"/>
    <w:bookmarkEnd w:id="37"/>
    <w:p>
      <w:pPr>
        <w:ind w:right="340"/>
        <w:spacing w:after="0" w:line="359" w:lineRule="auto"/>
        <w:rPr>
          <w:sz w:val="20"/>
          <w:szCs w:val="20"/>
          <w:color w:val="auto"/>
        </w:rPr>
      </w:pPr>
      <w:r>
        <w:rPr>
          <w:rFonts w:ascii="Arial" w:cs="Arial" w:eastAsia="Arial" w:hAnsi="Arial"/>
          <w:sz w:val="16"/>
          <w:szCs w:val="16"/>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138" w:lineRule="exact"/>
        <w:rPr>
          <w:sz w:val="20"/>
          <w:szCs w:val="20"/>
          <w:color w:val="auto"/>
        </w:rPr>
      </w:pPr>
    </w:p>
    <w:p>
      <w:pPr>
        <w:ind w:firstLine="644"/>
        <w:spacing w:after="0" w:line="304" w:lineRule="auto"/>
        <w:rPr>
          <w:sz w:val="20"/>
          <w:szCs w:val="20"/>
          <w:color w:val="auto"/>
        </w:rPr>
      </w:pPr>
      <w:r>
        <w:rPr>
          <w:rFonts w:ascii="Arial" w:cs="Arial" w:eastAsia="Arial" w:hAnsi="Arial"/>
          <w:sz w:val="16"/>
          <w:szCs w:val="16"/>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83" w:lineRule="exact"/>
        <w:rPr>
          <w:sz w:val="20"/>
          <w:szCs w:val="20"/>
          <w:color w:val="auto"/>
        </w:rPr>
      </w:pPr>
    </w:p>
    <w:p>
      <w:pPr>
        <w:ind w:right="40" w:firstLine="644"/>
        <w:spacing w:after="0" w:line="269" w:lineRule="auto"/>
        <w:rPr>
          <w:sz w:val="20"/>
          <w:szCs w:val="20"/>
          <w:color w:val="auto"/>
        </w:rPr>
      </w:pPr>
      <w:r>
        <w:rPr>
          <w:rFonts w:ascii="Arial" w:cs="Arial" w:eastAsia="Arial" w:hAnsi="Arial"/>
          <w:sz w:val="18"/>
          <w:szCs w:val="18"/>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210" w:lineRule="exact"/>
        <w:rPr>
          <w:sz w:val="20"/>
          <w:szCs w:val="20"/>
          <w:color w:val="auto"/>
        </w:rPr>
      </w:pPr>
    </w:p>
    <w:p>
      <w:pPr>
        <w:ind w:right="100" w:firstLine="644"/>
        <w:spacing w:after="0" w:line="288" w:lineRule="auto"/>
        <w:rPr>
          <w:sz w:val="20"/>
          <w:szCs w:val="20"/>
          <w:color w:val="auto"/>
        </w:rPr>
      </w:pPr>
      <w:r>
        <w:rPr>
          <w:rFonts w:ascii="Arial" w:cs="Arial" w:eastAsia="Arial" w:hAnsi="Arial"/>
          <w:sz w:val="17"/>
          <w:szCs w:val="17"/>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19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183" w:lineRule="exact"/>
        <w:rPr>
          <w:sz w:val="20"/>
          <w:szCs w:val="20"/>
          <w:color w:val="auto"/>
        </w:rPr>
      </w:pPr>
    </w:p>
    <w:p>
      <w:pPr>
        <w:ind w:right="40" w:firstLine="644"/>
        <w:spacing w:after="0" w:line="309" w:lineRule="auto"/>
        <w:rPr>
          <w:sz w:val="20"/>
          <w:szCs w:val="20"/>
          <w:color w:val="auto"/>
        </w:rPr>
      </w:pPr>
      <w:r>
        <w:rPr>
          <w:rFonts w:ascii="Arial" w:cs="Arial" w:eastAsia="Arial" w:hAnsi="Arial"/>
          <w:sz w:val="16"/>
          <w:szCs w:val="16"/>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78" w:lineRule="exact"/>
        <w:rPr>
          <w:sz w:val="20"/>
          <w:szCs w:val="20"/>
          <w:color w:val="auto"/>
        </w:rPr>
      </w:pPr>
    </w:p>
    <w:p>
      <w:pPr>
        <w:ind w:right="40" w:firstLine="644"/>
        <w:spacing w:after="0" w:line="287" w:lineRule="auto"/>
        <w:rPr>
          <w:sz w:val="20"/>
          <w:szCs w:val="20"/>
          <w:color w:val="auto"/>
        </w:rPr>
      </w:pPr>
      <w:r>
        <w:rPr>
          <w:rFonts w:ascii="Arial" w:cs="Arial" w:eastAsia="Arial" w:hAnsi="Arial"/>
          <w:sz w:val="17"/>
          <w:szCs w:val="17"/>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ind w:right="240" w:firstLine="644"/>
        <w:spacing w:after="0" w:line="324" w:lineRule="auto"/>
        <w:rPr>
          <w:sz w:val="20"/>
          <w:szCs w:val="20"/>
          <w:color w:val="auto"/>
        </w:rPr>
      </w:pPr>
      <w:r>
        <w:rPr>
          <w:rFonts w:ascii="Arial" w:cs="Arial" w:eastAsia="Arial" w:hAnsi="Arial"/>
          <w:sz w:val="17"/>
          <w:szCs w:val="17"/>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16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183" w:lineRule="exact"/>
        <w:rPr>
          <w:sz w:val="20"/>
          <w:szCs w:val="20"/>
          <w:color w:val="auto"/>
        </w:rPr>
      </w:pPr>
    </w:p>
    <w:p>
      <w:pPr>
        <w:ind w:right="20" w:firstLine="644"/>
        <w:spacing w:after="0" w:line="285" w:lineRule="auto"/>
        <w:rPr>
          <w:sz w:val="20"/>
          <w:szCs w:val="20"/>
          <w:color w:val="auto"/>
        </w:rPr>
      </w:pPr>
      <w:r>
        <w:rPr>
          <w:rFonts w:ascii="Arial" w:cs="Arial" w:eastAsia="Arial" w:hAnsi="Arial"/>
          <w:sz w:val="17"/>
          <w:szCs w:val="17"/>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198" w:lineRule="exact"/>
        <w:rPr>
          <w:sz w:val="20"/>
          <w:szCs w:val="20"/>
          <w:color w:val="auto"/>
        </w:rPr>
      </w:pPr>
    </w:p>
    <w:p>
      <w:pPr>
        <w:ind w:right="180" w:firstLine="644"/>
        <w:spacing w:after="0" w:line="308" w:lineRule="auto"/>
        <w:rPr>
          <w:sz w:val="20"/>
          <w:szCs w:val="20"/>
          <w:color w:val="auto"/>
        </w:rPr>
      </w:pPr>
      <w:r>
        <w:rPr>
          <w:rFonts w:ascii="Arial" w:cs="Arial" w:eastAsia="Arial" w:hAnsi="Arial"/>
          <w:sz w:val="16"/>
          <w:szCs w:val="16"/>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77" w:lineRule="exact"/>
        <w:rPr>
          <w:sz w:val="20"/>
          <w:szCs w:val="20"/>
          <w:color w:val="auto"/>
        </w:rPr>
      </w:pPr>
    </w:p>
    <w:p>
      <w:pPr>
        <w:ind w:firstLine="644"/>
        <w:spacing w:after="0" w:line="272" w:lineRule="auto"/>
        <w:rPr>
          <w:sz w:val="20"/>
          <w:szCs w:val="20"/>
          <w:color w:val="auto"/>
        </w:rPr>
      </w:pPr>
      <w:r>
        <w:rPr>
          <w:rFonts w:ascii="Arial" w:cs="Arial" w:eastAsia="Arial" w:hAnsi="Arial"/>
          <w:sz w:val="18"/>
          <w:szCs w:val="18"/>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204" w:lineRule="exact"/>
        <w:rPr>
          <w:sz w:val="20"/>
          <w:szCs w:val="20"/>
          <w:color w:val="auto"/>
        </w:rPr>
      </w:pPr>
    </w:p>
    <w:p>
      <w:pPr>
        <w:ind w:right="140" w:firstLine="644"/>
        <w:spacing w:after="0" w:line="359" w:lineRule="auto"/>
        <w:rPr>
          <w:sz w:val="20"/>
          <w:szCs w:val="20"/>
          <w:color w:val="auto"/>
        </w:rPr>
      </w:pPr>
      <w:r>
        <w:rPr>
          <w:rFonts w:ascii="Arial" w:cs="Arial" w:eastAsia="Arial" w:hAnsi="Arial"/>
          <w:sz w:val="16"/>
          <w:szCs w:val="16"/>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252"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39" w:name="page40"/>
    <w:bookmarkEnd w:id="39"/>
    <w:p>
      <w:pPr>
        <w:ind w:right="400"/>
        <w:spacing w:after="0" w:line="293"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183" w:lineRule="exact"/>
        <w:rPr>
          <w:sz w:val="20"/>
          <w:szCs w:val="20"/>
          <w:color w:val="auto"/>
        </w:rPr>
      </w:pPr>
    </w:p>
    <w:p>
      <w:pPr>
        <w:ind w:right="20" w:firstLine="644"/>
        <w:spacing w:after="0" w:line="314" w:lineRule="auto"/>
        <w:rPr>
          <w:sz w:val="20"/>
          <w:szCs w:val="20"/>
          <w:color w:val="auto"/>
        </w:rPr>
      </w:pPr>
      <w:r>
        <w:rPr>
          <w:rFonts w:ascii="Arial" w:cs="Arial" w:eastAsia="Arial" w:hAnsi="Arial"/>
          <w:sz w:val="16"/>
          <w:szCs w:val="16"/>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173"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196" w:lineRule="exact"/>
        <w:rPr>
          <w:sz w:val="20"/>
          <w:szCs w:val="20"/>
          <w:color w:val="auto"/>
        </w:rPr>
      </w:pPr>
    </w:p>
    <w:p>
      <w:pPr>
        <w:ind w:firstLine="644"/>
        <w:spacing w:after="0" w:line="309" w:lineRule="auto"/>
        <w:rPr>
          <w:sz w:val="20"/>
          <w:szCs w:val="20"/>
          <w:color w:val="auto"/>
        </w:rPr>
      </w:pPr>
      <w:r>
        <w:rPr>
          <w:rFonts w:ascii="Arial" w:cs="Arial" w:eastAsia="Arial" w:hAnsi="Arial"/>
          <w:sz w:val="16"/>
          <w:szCs w:val="16"/>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178" w:lineRule="exact"/>
        <w:rPr>
          <w:sz w:val="20"/>
          <w:szCs w:val="20"/>
          <w:color w:val="auto"/>
        </w:rPr>
      </w:pPr>
    </w:p>
    <w:p>
      <w:pPr>
        <w:ind w:right="20" w:firstLine="644"/>
        <w:spacing w:after="0" w:line="270" w:lineRule="auto"/>
        <w:rPr>
          <w:sz w:val="20"/>
          <w:szCs w:val="20"/>
          <w:color w:val="auto"/>
        </w:rPr>
      </w:pPr>
      <w:r>
        <w:rPr>
          <w:rFonts w:ascii="Arial" w:cs="Arial" w:eastAsia="Arial" w:hAnsi="Arial"/>
          <w:sz w:val="18"/>
          <w:szCs w:val="18"/>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206" w:lineRule="exact"/>
        <w:rPr>
          <w:sz w:val="20"/>
          <w:szCs w:val="20"/>
          <w:color w:val="auto"/>
        </w:rPr>
      </w:pPr>
    </w:p>
    <w:p>
      <w:pPr>
        <w:ind w:right="20" w:firstLine="644"/>
        <w:spacing w:after="0" w:line="285" w:lineRule="auto"/>
        <w:rPr>
          <w:sz w:val="20"/>
          <w:szCs w:val="20"/>
          <w:color w:val="auto"/>
        </w:rPr>
      </w:pPr>
      <w:r>
        <w:rPr>
          <w:rFonts w:ascii="Arial" w:cs="Arial" w:eastAsia="Arial" w:hAnsi="Arial"/>
          <w:sz w:val="17"/>
          <w:szCs w:val="17"/>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195" w:lineRule="exact"/>
        <w:rPr>
          <w:sz w:val="20"/>
          <w:szCs w:val="20"/>
          <w:color w:val="auto"/>
        </w:rPr>
      </w:pPr>
    </w:p>
    <w:p>
      <w:pPr>
        <w:ind w:right="40" w:firstLine="644"/>
        <w:spacing w:after="0" w:line="286" w:lineRule="auto"/>
        <w:rPr>
          <w:sz w:val="20"/>
          <w:szCs w:val="20"/>
          <w:color w:val="auto"/>
        </w:rPr>
      </w:pPr>
      <w:r>
        <w:rPr>
          <w:rFonts w:ascii="Arial" w:cs="Arial" w:eastAsia="Arial" w:hAnsi="Arial"/>
          <w:sz w:val="17"/>
          <w:szCs w:val="17"/>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252"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4"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 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199" w:lineRule="exact"/>
        <w:rPr>
          <w:sz w:val="20"/>
          <w:szCs w:val="20"/>
          <w:color w:val="auto"/>
        </w:rPr>
      </w:pPr>
    </w:p>
    <w:p>
      <w:pPr>
        <w:ind w:right="180" w:firstLine="644"/>
        <w:spacing w:after="0" w:line="359" w:lineRule="auto"/>
        <w:rPr>
          <w:sz w:val="20"/>
          <w:szCs w:val="20"/>
          <w:color w:val="auto"/>
        </w:rPr>
      </w:pPr>
      <w:r>
        <w:rPr>
          <w:rFonts w:ascii="Arial" w:cs="Arial" w:eastAsia="Arial" w:hAnsi="Arial"/>
          <w:sz w:val="16"/>
          <w:szCs w:val="16"/>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252" w:lineRule="exact"/>
        <w:rPr>
          <w:sz w:val="20"/>
          <w:szCs w:val="20"/>
          <w:color w:val="auto"/>
        </w:rPr>
      </w:pPr>
    </w:p>
    <w:p>
      <w:pPr>
        <w:ind w:firstLine="644"/>
        <w:spacing w:after="0" w:line="287" w:lineRule="auto"/>
        <w:rPr>
          <w:sz w:val="20"/>
          <w:szCs w:val="20"/>
          <w:color w:val="auto"/>
        </w:rPr>
      </w:pPr>
      <w:r>
        <w:rPr>
          <w:rFonts w:ascii="Arial" w:cs="Arial" w:eastAsia="Arial" w:hAnsi="Arial"/>
          <w:sz w:val="17"/>
          <w:szCs w:val="17"/>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95"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196" w:lineRule="exact"/>
        <w:rPr>
          <w:sz w:val="20"/>
          <w:szCs w:val="20"/>
          <w:color w:val="auto"/>
        </w:rPr>
      </w:pPr>
    </w:p>
    <w:p>
      <w:pPr>
        <w:ind w:firstLine="644"/>
        <w:spacing w:after="0" w:line="306" w:lineRule="auto"/>
        <w:rPr>
          <w:sz w:val="20"/>
          <w:szCs w:val="20"/>
          <w:color w:val="auto"/>
        </w:rPr>
      </w:pPr>
      <w:r>
        <w:rPr>
          <w:rFonts w:ascii="Arial" w:cs="Arial" w:eastAsia="Arial" w:hAnsi="Arial"/>
          <w:sz w:val="16"/>
          <w:szCs w:val="16"/>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184" w:lineRule="exact"/>
        <w:rPr>
          <w:sz w:val="20"/>
          <w:szCs w:val="20"/>
          <w:color w:val="auto"/>
        </w:rPr>
      </w:pPr>
    </w:p>
    <w:p>
      <w:pPr>
        <w:ind w:firstLine="644"/>
        <w:spacing w:after="0" w:line="287" w:lineRule="auto"/>
        <w:rPr>
          <w:sz w:val="20"/>
          <w:szCs w:val="20"/>
          <w:color w:val="auto"/>
        </w:rPr>
      </w:pPr>
      <w:r>
        <w:rPr>
          <w:rFonts w:ascii="Arial" w:cs="Arial" w:eastAsia="Arial" w:hAnsi="Arial"/>
          <w:sz w:val="17"/>
          <w:szCs w:val="17"/>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1" w:name="page42"/>
    <w:bookmarkEnd w:id="41"/>
    <w:p>
      <w:pPr>
        <w:ind w:right="40" w:firstLine="644"/>
        <w:spacing w:after="0" w:line="287" w:lineRule="auto"/>
        <w:rPr>
          <w:sz w:val="20"/>
          <w:szCs w:val="20"/>
          <w:color w:val="auto"/>
        </w:rPr>
      </w:pPr>
      <w:r>
        <w:rPr>
          <w:rFonts w:ascii="Arial" w:cs="Arial" w:eastAsia="Arial" w:hAnsi="Arial"/>
          <w:sz w:val="17"/>
          <w:szCs w:val="17"/>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91" w:lineRule="exact"/>
        <w:rPr>
          <w:sz w:val="20"/>
          <w:szCs w:val="20"/>
          <w:color w:val="auto"/>
        </w:rPr>
      </w:pPr>
    </w:p>
    <w:p>
      <w:pPr>
        <w:ind w:firstLine="644"/>
        <w:spacing w:after="0" w:line="288" w:lineRule="auto"/>
        <w:rPr>
          <w:sz w:val="20"/>
          <w:szCs w:val="20"/>
          <w:color w:val="auto"/>
        </w:rPr>
      </w:pPr>
      <w:r>
        <w:rPr>
          <w:rFonts w:ascii="Arial" w:cs="Arial" w:eastAsia="Arial" w:hAnsi="Arial"/>
          <w:sz w:val="17"/>
          <w:szCs w:val="17"/>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252" w:lineRule="exact"/>
        <w:rPr>
          <w:sz w:val="20"/>
          <w:szCs w:val="20"/>
          <w:color w:val="auto"/>
        </w:rPr>
      </w:pPr>
    </w:p>
    <w:p>
      <w:pPr>
        <w:ind w:right="60" w:firstLine="644"/>
        <w:spacing w:after="0" w:line="285" w:lineRule="auto"/>
        <w:rPr>
          <w:sz w:val="20"/>
          <w:szCs w:val="20"/>
          <w:color w:val="auto"/>
        </w:rPr>
      </w:pPr>
      <w:r>
        <w:rPr>
          <w:rFonts w:ascii="Arial" w:cs="Arial" w:eastAsia="Arial" w:hAnsi="Arial"/>
          <w:sz w:val="17"/>
          <w:szCs w:val="17"/>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93" w:lineRule="exact"/>
        <w:rPr>
          <w:sz w:val="20"/>
          <w:szCs w:val="20"/>
          <w:color w:val="auto"/>
        </w:rPr>
      </w:pPr>
    </w:p>
    <w:p>
      <w:pPr>
        <w:ind w:right="40" w:firstLine="644"/>
        <w:spacing w:after="0" w:line="269"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252" w:lineRule="exact"/>
        <w:rPr>
          <w:sz w:val="20"/>
          <w:szCs w:val="20"/>
          <w:color w:val="auto"/>
        </w:rPr>
      </w:pPr>
    </w:p>
    <w:p>
      <w:pPr>
        <w:ind w:right="60" w:firstLine="644"/>
        <w:spacing w:after="0" w:line="272"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ind w:right="120"/>
        <w:spacing w:after="0" w:line="293"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83" w:lineRule="exact"/>
        <w:rPr>
          <w:sz w:val="20"/>
          <w:szCs w:val="20"/>
          <w:color w:val="auto"/>
        </w:rPr>
      </w:pPr>
    </w:p>
    <w:p>
      <w:pPr>
        <w:ind w:right="120" w:firstLine="644"/>
        <w:spacing w:after="0" w:line="305" w:lineRule="auto"/>
        <w:rPr>
          <w:sz w:val="20"/>
          <w:szCs w:val="20"/>
          <w:color w:val="auto"/>
        </w:rPr>
      </w:pPr>
      <w:r>
        <w:rPr>
          <w:rFonts w:ascii="Arial" w:cs="Arial" w:eastAsia="Arial" w:hAnsi="Arial"/>
          <w:sz w:val="16"/>
          <w:szCs w:val="16"/>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82" w:lineRule="exact"/>
        <w:rPr>
          <w:sz w:val="20"/>
          <w:szCs w:val="20"/>
          <w:color w:val="auto"/>
        </w:rPr>
      </w:pPr>
    </w:p>
    <w:p>
      <w:pPr>
        <w:ind w:right="140" w:firstLine="644"/>
        <w:spacing w:after="0" w:line="303" w:lineRule="auto"/>
        <w:rPr>
          <w:sz w:val="20"/>
          <w:szCs w:val="20"/>
          <w:color w:val="auto"/>
        </w:rPr>
      </w:pPr>
      <w:r>
        <w:rPr>
          <w:rFonts w:ascii="Arial" w:cs="Arial" w:eastAsia="Arial" w:hAnsi="Arial"/>
          <w:sz w:val="17"/>
          <w:szCs w:val="17"/>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24" w:lineRule="exact"/>
        <w:rPr>
          <w:sz w:val="20"/>
          <w:szCs w:val="20"/>
          <w:color w:val="auto"/>
        </w:rPr>
      </w:pPr>
    </w:p>
    <w:p>
      <w:pPr>
        <w:ind w:right="100" w:firstLine="644"/>
        <w:spacing w:after="0" w:line="272" w:lineRule="auto"/>
        <w:rPr>
          <w:sz w:val="20"/>
          <w:szCs w:val="20"/>
          <w:color w:val="auto"/>
        </w:rPr>
      </w:pPr>
      <w:r>
        <w:rPr>
          <w:rFonts w:ascii="Arial" w:cs="Arial" w:eastAsia="Arial" w:hAnsi="Arial"/>
          <w:sz w:val="18"/>
          <w:szCs w:val="18"/>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04"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161" w:lineRule="exact"/>
        <w:rPr>
          <w:sz w:val="20"/>
          <w:szCs w:val="20"/>
          <w:color w:val="auto"/>
        </w:rPr>
      </w:pPr>
    </w:p>
    <w:p>
      <w:pPr>
        <w:ind w:firstLine="644"/>
        <w:spacing w:after="0" w:line="288" w:lineRule="auto"/>
        <w:rPr>
          <w:sz w:val="20"/>
          <w:szCs w:val="20"/>
          <w:color w:val="auto"/>
        </w:rPr>
      </w:pPr>
      <w:r>
        <w:rPr>
          <w:rFonts w:ascii="Arial" w:cs="Arial" w:eastAsia="Arial" w:hAnsi="Arial"/>
          <w:sz w:val="17"/>
          <w:szCs w:val="17"/>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94"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62"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operating in jurisdictions that do not protect intellectual property rights or other proprietary rights to the same extent as does the United States;</w:t>
      </w:r>
    </w:p>
    <w:p>
      <w:pPr>
        <w:spacing w:after="0" w:line="154" w:lineRule="exact"/>
        <w:rPr>
          <w:sz w:val="20"/>
          <w:szCs w:val="20"/>
          <w:color w:val="auto"/>
        </w:rPr>
      </w:pPr>
    </w:p>
    <w:p>
      <w:pPr>
        <w:ind w:left="960" w:right="100"/>
        <w:spacing w:after="0" w:line="359" w:lineRule="auto"/>
        <w:rPr>
          <w:sz w:val="20"/>
          <w:szCs w:val="20"/>
          <w:color w:val="auto"/>
        </w:rPr>
      </w:pPr>
      <w:r>
        <w:rPr>
          <w:rFonts w:ascii="Arial" w:cs="Arial" w:eastAsia="Arial" w:hAnsi="Arial"/>
          <w:sz w:val="16"/>
          <w:szCs w:val="16"/>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political and economic instability;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3" w:name="page44"/>
    <w:bookmarkEnd w:id="43"/>
    <w:p>
      <w:pPr>
        <w:ind w:left="960"/>
        <w:spacing w:after="0"/>
        <w:rPr>
          <w:sz w:val="20"/>
          <w:szCs w:val="20"/>
          <w:color w:val="auto"/>
        </w:rPr>
      </w:pPr>
      <w:r>
        <w:rPr>
          <w:rFonts w:ascii="Arial" w:cs="Arial" w:eastAsia="Arial" w:hAnsi="Arial"/>
          <w:sz w:val="18"/>
          <w:szCs w:val="18"/>
          <w:color w:val="auto"/>
        </w:rPr>
        <w:t>fluctuations in currency exchange rates;</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62" w:lineRule="exact"/>
        <w:rPr>
          <w:sz w:val="20"/>
          <w:szCs w:val="20"/>
          <w:color w:val="auto"/>
        </w:rPr>
      </w:pPr>
    </w:p>
    <w:p>
      <w:pPr>
        <w:ind w:left="960" w:right="380"/>
        <w:spacing w:after="0" w:line="293" w:lineRule="auto"/>
        <w:rPr>
          <w:sz w:val="20"/>
          <w:szCs w:val="20"/>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183"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04"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196"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204" w:lineRule="exact"/>
        <w:rPr>
          <w:sz w:val="20"/>
          <w:szCs w:val="20"/>
          <w:color w:val="auto"/>
        </w:rPr>
      </w:pPr>
    </w:p>
    <w:p>
      <w:pPr>
        <w:ind w:right="120" w:firstLine="644"/>
        <w:spacing w:after="0" w:line="290" w:lineRule="auto"/>
        <w:rPr>
          <w:sz w:val="20"/>
          <w:szCs w:val="20"/>
          <w:color w:val="auto"/>
        </w:rPr>
      </w:pPr>
      <w:r>
        <w:rPr>
          <w:rFonts w:ascii="Arial" w:cs="Arial" w:eastAsia="Arial" w:hAnsi="Arial"/>
          <w:sz w:val="17"/>
          <w:szCs w:val="17"/>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189"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189"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252" w:lineRule="exact"/>
        <w:rPr>
          <w:sz w:val="20"/>
          <w:szCs w:val="20"/>
          <w:color w:val="auto"/>
        </w:rPr>
      </w:pPr>
    </w:p>
    <w:p>
      <w:pPr>
        <w:jc w:val="both"/>
        <w:ind w:right="20" w:firstLine="644"/>
        <w:spacing w:after="0" w:line="299" w:lineRule="auto"/>
        <w:rPr>
          <w:sz w:val="20"/>
          <w:szCs w:val="20"/>
          <w:color w:val="auto"/>
        </w:rPr>
      </w:pPr>
      <w:r>
        <w:rPr>
          <w:rFonts w:ascii="Arial" w:cs="Arial" w:eastAsia="Arial" w:hAnsi="Arial"/>
          <w:sz w:val="16"/>
          <w:szCs w:val="16"/>
          <w:color w:val="auto"/>
        </w:rPr>
        <w:t>Our business depends on users’ access to our platform via a personal computer or mobile device and the Internet. We have started to enable sellers to access our platform via a mobile browser, which we believe is important to the growth of our business by adding sellers to our marketplace and enabling faster seller response times to orders. We may operate in jurisdictions that provide limited Internet connectivity, particularly as we expand internationally.</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4" w:name="page45"/>
    <w:bookmarkEnd w:id="44"/>
    <w:p>
      <w:pPr>
        <w:ind w:right="120"/>
        <w:spacing w:after="0" w:line="293"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183" w:lineRule="exact"/>
        <w:rPr>
          <w:sz w:val="20"/>
          <w:szCs w:val="20"/>
          <w:color w:val="auto"/>
        </w:rPr>
      </w:pPr>
    </w:p>
    <w:p>
      <w:pPr>
        <w:ind w:right="120" w:firstLine="644"/>
        <w:spacing w:after="0" w:line="272"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4" w:lineRule="exact"/>
        <w:rPr>
          <w:sz w:val="20"/>
          <w:szCs w:val="20"/>
          <w:color w:val="auto"/>
        </w:rPr>
      </w:pPr>
    </w:p>
    <w:p>
      <w:pPr>
        <w:ind w:firstLine="644"/>
        <w:spacing w:after="0" w:line="286" w:lineRule="auto"/>
        <w:rPr>
          <w:sz w:val="20"/>
          <w:szCs w:val="20"/>
          <w:color w:val="auto"/>
        </w:rPr>
      </w:pPr>
      <w:r>
        <w:rPr>
          <w:rFonts w:ascii="Arial" w:cs="Arial" w:eastAsia="Arial" w:hAnsi="Arial"/>
          <w:sz w:val="17"/>
          <w:szCs w:val="17"/>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92" w:lineRule="exact"/>
        <w:rPr>
          <w:sz w:val="20"/>
          <w:szCs w:val="20"/>
          <w:color w:val="auto"/>
        </w:rPr>
      </w:pPr>
    </w:p>
    <w:p>
      <w:pPr>
        <w:jc w:val="both"/>
        <w:ind w:right="60" w:firstLine="644"/>
        <w:spacing w:after="0" w:line="329" w:lineRule="auto"/>
        <w:rPr>
          <w:sz w:val="20"/>
          <w:szCs w:val="20"/>
          <w:color w:val="auto"/>
        </w:rPr>
      </w:pPr>
      <w:r>
        <w:rPr>
          <w:rFonts w:ascii="Arial" w:cs="Arial" w:eastAsia="Arial" w:hAnsi="Arial"/>
          <w:sz w:val="16"/>
          <w:szCs w:val="16"/>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61" w:lineRule="exact"/>
        <w:rPr>
          <w:sz w:val="20"/>
          <w:szCs w:val="20"/>
          <w:color w:val="auto"/>
        </w:rPr>
      </w:pPr>
    </w:p>
    <w:p>
      <w:pPr>
        <w:ind w:right="540"/>
        <w:spacing w:after="0" w:line="359" w:lineRule="auto"/>
        <w:rPr>
          <w:sz w:val="20"/>
          <w:szCs w:val="20"/>
          <w:color w:val="auto"/>
        </w:rPr>
      </w:pPr>
      <w:r>
        <w:rPr>
          <w:rFonts w:ascii="Arial" w:cs="Arial" w:eastAsia="Arial" w:hAnsi="Arial"/>
          <w:sz w:val="16"/>
          <w:szCs w:val="16"/>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138" w:lineRule="exact"/>
        <w:rPr>
          <w:sz w:val="20"/>
          <w:szCs w:val="20"/>
          <w:color w:val="auto"/>
        </w:rPr>
      </w:pPr>
    </w:p>
    <w:p>
      <w:pPr>
        <w:ind w:firstLine="644"/>
        <w:spacing w:after="0" w:line="292" w:lineRule="auto"/>
        <w:rPr>
          <w:sz w:val="20"/>
          <w:szCs w:val="20"/>
          <w:color w:val="auto"/>
        </w:rPr>
      </w:pPr>
      <w:r>
        <w:rPr>
          <w:rFonts w:ascii="Arial" w:cs="Arial" w:eastAsia="Arial" w:hAnsi="Arial"/>
          <w:sz w:val="17"/>
          <w:szCs w:val="17"/>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 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188" w:lineRule="exact"/>
        <w:rPr>
          <w:sz w:val="20"/>
          <w:szCs w:val="20"/>
          <w:color w:val="auto"/>
        </w:rPr>
      </w:pPr>
    </w:p>
    <w:p>
      <w:pPr>
        <w:ind w:firstLine="644"/>
        <w:spacing w:after="0" w:line="285"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8" w:lineRule="exact"/>
        <w:rPr>
          <w:sz w:val="20"/>
          <w:szCs w:val="20"/>
          <w:color w:val="auto"/>
        </w:rPr>
      </w:pPr>
    </w:p>
    <w:p>
      <w:pPr>
        <w:ind w:right="100" w:firstLine="644"/>
        <w:spacing w:after="0" w:line="27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ind w:right="180"/>
        <w:spacing w:after="0" w:line="293" w:lineRule="auto"/>
        <w:rPr>
          <w:sz w:val="20"/>
          <w:szCs w:val="20"/>
          <w:color w:val="auto"/>
        </w:rPr>
      </w:pPr>
      <w:r>
        <w:rPr>
          <w:rFonts w:ascii="Arial" w:cs="Arial" w:eastAsia="Arial" w:hAnsi="Arial"/>
          <w:sz w:val="18"/>
          <w:szCs w:val="18"/>
          <w:color w:val="auto"/>
        </w:rPr>
        <w:t>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183" w:lineRule="exact"/>
        <w:rPr>
          <w:sz w:val="20"/>
          <w:szCs w:val="20"/>
          <w:color w:val="auto"/>
        </w:rPr>
      </w:pPr>
    </w:p>
    <w:p>
      <w:pPr>
        <w:ind w:firstLine="644"/>
        <w:spacing w:after="0" w:line="285" w:lineRule="auto"/>
        <w:rPr>
          <w:sz w:val="20"/>
          <w:szCs w:val="20"/>
          <w:color w:val="auto"/>
        </w:rPr>
      </w:pPr>
      <w:r>
        <w:rPr>
          <w:rFonts w:ascii="Arial" w:cs="Arial" w:eastAsia="Arial" w:hAnsi="Arial"/>
          <w:sz w:val="17"/>
          <w:szCs w:val="17"/>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95" w:lineRule="exact"/>
        <w:rPr>
          <w:sz w:val="20"/>
          <w:szCs w:val="20"/>
          <w:color w:val="auto"/>
        </w:rPr>
      </w:pPr>
    </w:p>
    <w:p>
      <w:pPr>
        <w:ind w:right="60" w:firstLine="644"/>
        <w:spacing w:after="0" w:line="286" w:lineRule="auto"/>
        <w:rPr>
          <w:sz w:val="20"/>
          <w:szCs w:val="20"/>
          <w:color w:val="auto"/>
        </w:rPr>
      </w:pPr>
      <w:r>
        <w:rPr>
          <w:rFonts w:ascii="Arial" w:cs="Arial" w:eastAsia="Arial" w:hAnsi="Arial"/>
          <w:sz w:val="17"/>
          <w:szCs w:val="17"/>
          <w:color w:val="auto"/>
        </w:rPr>
        <w:t>Further, the exit of the United Kingdom, or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192" w:lineRule="exact"/>
        <w:rPr>
          <w:sz w:val="20"/>
          <w:szCs w:val="20"/>
          <w:color w:val="auto"/>
        </w:rPr>
      </w:pPr>
    </w:p>
    <w:p>
      <w:pPr>
        <w:ind w:right="20" w:firstLine="644"/>
        <w:spacing w:after="0" w:line="302" w:lineRule="auto"/>
        <w:rPr>
          <w:sz w:val="20"/>
          <w:szCs w:val="20"/>
          <w:color w:val="auto"/>
        </w:rPr>
      </w:pPr>
      <w:r>
        <w:rPr>
          <w:rFonts w:ascii="Arial" w:cs="Arial" w:eastAsia="Arial" w:hAnsi="Arial"/>
          <w:sz w:val="16"/>
          <w:szCs w:val="16"/>
          <w:color w:val="auto"/>
        </w:rPr>
        <w:t>Additionally, California passed the California Consumer Privacy Act, or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89" w:lineRule="exact"/>
        <w:rPr>
          <w:sz w:val="20"/>
          <w:szCs w:val="20"/>
          <w:color w:val="auto"/>
        </w:rPr>
      </w:pPr>
    </w:p>
    <w:p>
      <w:pPr>
        <w:jc w:val="both"/>
        <w:ind w:right="80" w:firstLine="644"/>
        <w:spacing w:after="0" w:line="279"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ind w:right="40"/>
        <w:spacing w:after="0" w:line="286" w:lineRule="auto"/>
        <w:rPr>
          <w:sz w:val="20"/>
          <w:szCs w:val="20"/>
          <w:color w:val="auto"/>
        </w:rPr>
      </w:pPr>
      <w:r>
        <w:rPr>
          <w:rFonts w:ascii="Arial" w:cs="Arial" w:eastAsia="Arial" w:hAnsi="Arial"/>
          <w:sz w:val="17"/>
          <w:szCs w:val="17"/>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5" w:lineRule="exact"/>
        <w:rPr>
          <w:sz w:val="20"/>
          <w:szCs w:val="20"/>
          <w:color w:val="auto"/>
        </w:rPr>
      </w:pPr>
    </w:p>
    <w:p>
      <w:pPr>
        <w:ind w:right="40" w:firstLine="644"/>
        <w:spacing w:after="0" w:line="271"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4" w:lineRule="exact"/>
        <w:rPr>
          <w:sz w:val="20"/>
          <w:szCs w:val="20"/>
          <w:color w:val="auto"/>
        </w:rPr>
      </w:pPr>
    </w:p>
    <w:p>
      <w:pPr>
        <w:ind w:right="80" w:firstLine="644"/>
        <w:spacing w:after="0" w:line="275"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183" w:lineRule="exact"/>
        <w:rPr>
          <w:sz w:val="20"/>
          <w:szCs w:val="20"/>
          <w:color w:val="auto"/>
        </w:rPr>
      </w:pPr>
    </w:p>
    <w:p>
      <w:pPr>
        <w:ind w:firstLine="644"/>
        <w:spacing w:after="0" w:line="299" w:lineRule="auto"/>
        <w:rPr>
          <w:sz w:val="20"/>
          <w:szCs w:val="20"/>
          <w:color w:val="auto"/>
        </w:rPr>
      </w:pPr>
      <w:r>
        <w:rPr>
          <w:rFonts w:ascii="Arial" w:cs="Arial" w:eastAsia="Arial" w:hAnsi="Arial"/>
          <w:sz w:val="16"/>
          <w:szCs w:val="16"/>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w:t>
      </w:r>
    </w:p>
    <w:p>
      <w:pPr>
        <w:spacing w:after="0" w:line="3"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14"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161" w:lineRule="exact"/>
        <w:rPr>
          <w:sz w:val="20"/>
          <w:szCs w:val="20"/>
          <w:color w:val="auto"/>
        </w:rPr>
      </w:pPr>
    </w:p>
    <w:p>
      <w:pPr>
        <w:ind w:right="20" w:firstLine="644"/>
        <w:spacing w:after="0" w:line="269"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05" w:lineRule="exact"/>
        <w:rPr>
          <w:sz w:val="20"/>
          <w:szCs w:val="20"/>
          <w:color w:val="auto"/>
        </w:rPr>
      </w:pPr>
    </w:p>
    <w:p>
      <w:pPr>
        <w:ind w:right="300" w:firstLine="644"/>
        <w:spacing w:after="0" w:line="293"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Negative perception of our platform, marketplace or company may harm our reputation, brand, and network effects, including as a result of:</w:t>
      </w:r>
    </w:p>
    <w:p>
      <w:pPr>
        <w:spacing w:after="0" w:line="131"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price quote, production, lead time or shipping delays;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real or perceived manufacturing or quality control inadequacies;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fraud;</w:t>
      </w:r>
    </w:p>
    <w:p>
      <w:pPr>
        <w:spacing w:after="0" w:line="131" w:lineRule="exact"/>
        <w:rPr>
          <w:sz w:val="20"/>
          <w:szCs w:val="20"/>
          <w:color w:val="auto"/>
        </w:rPr>
      </w:pPr>
    </w:p>
    <w:p>
      <w:pPr>
        <w:ind w:left="960" w:right="3240"/>
        <w:spacing w:after="0" w:line="391" w:lineRule="auto"/>
        <w:rPr>
          <w:sz w:val="20"/>
          <w:szCs w:val="20"/>
          <w:color w:val="auto"/>
        </w:rPr>
      </w:pPr>
      <w:r>
        <w:rPr>
          <w:rFonts w:ascii="Arial" w:cs="Arial" w:eastAsia="Arial" w:hAnsi="Arial"/>
          <w:sz w:val="18"/>
          <w:szCs w:val="18"/>
          <w:color w:val="auto"/>
        </w:rPr>
        <w:t>illegal, negligent, reckless, or otherwise inappropriate behavior by buyers, sellers or third parties; a pandemic or an outbreak of disease linked to us;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failure to provide sellers with a sufficient level of orders or repeat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failure to offer buyers or sellers competitive pricing and lead times;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failure to provide a range of manufacturing processes sought by buyers;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failure to provide manufacturing processes that limit environmental harm;</w:t>
      </w:r>
    </w:p>
    <w:p>
      <w:pPr>
        <w:spacing w:after="0" w:line="131" w:lineRule="exact"/>
        <w:rPr>
          <w:sz w:val="20"/>
          <w:szCs w:val="20"/>
          <w:color w:val="auto"/>
        </w:rPr>
      </w:pPr>
    </w:p>
    <w:p>
      <w:pPr>
        <w:ind w:left="960" w:right="100"/>
        <w:spacing w:after="0" w:line="279" w:lineRule="auto"/>
        <w:rPr>
          <w:sz w:val="20"/>
          <w:szCs w:val="20"/>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75" w:lineRule="exact"/>
        <w:rPr>
          <w:sz w:val="20"/>
          <w:szCs w:val="20"/>
          <w:color w:val="auto"/>
        </w:rPr>
      </w:pPr>
    </w:p>
    <w:p>
      <w:pPr>
        <w:ind w:left="960" w:right="2960"/>
        <w:spacing w:after="0" w:line="391" w:lineRule="auto"/>
        <w:rPr>
          <w:sz w:val="20"/>
          <w:szCs w:val="20"/>
          <w:color w:val="auto"/>
        </w:rPr>
      </w:pPr>
      <w:r>
        <w:rPr>
          <w:rFonts w:ascii="Arial" w:cs="Arial" w:eastAsia="Arial" w:hAnsi="Arial"/>
          <w:sz w:val="18"/>
          <w:szCs w:val="18"/>
          <w:color w:val="auto"/>
        </w:rPr>
        <w:t>litigation over, or investigations by regulators into, our company or the industry in which we operate; buyers’ or sellers’ lack of awareness of, or compliance with, our policies;</w:t>
      </w:r>
    </w:p>
    <w:p>
      <w:pPr>
        <w:spacing w:after="0" w:line="1"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62" w:lineRule="exact"/>
        <w:rPr>
          <w:sz w:val="20"/>
          <w:szCs w:val="20"/>
          <w:color w:val="auto"/>
        </w:rPr>
      </w:pPr>
    </w:p>
    <w:p>
      <w:pPr>
        <w:ind w:left="960" w:right="1740"/>
        <w:spacing w:after="0" w:line="414" w:lineRule="auto"/>
        <w:rPr>
          <w:sz w:val="20"/>
          <w:szCs w:val="20"/>
          <w:color w:val="auto"/>
        </w:rPr>
      </w:pPr>
      <w:r>
        <w:rPr>
          <w:rFonts w:ascii="Arial" w:cs="Arial" w:eastAsia="Arial" w:hAnsi="Arial"/>
          <w:sz w:val="17"/>
          <w:szCs w:val="17"/>
          <w:color w:val="auto"/>
        </w:rPr>
        <w:t>a failure to comply with legal, tax, and regulatory requirements, as discussed elsewhere in this “Risk Factors” section; a failure to enforce our policies in a manner that users perceive as effective, fair, and transparent;</w:t>
      </w:r>
    </w:p>
    <w:p>
      <w:pPr>
        <w:spacing w:after="0" w:line="1" w:lineRule="exact"/>
        <w:rPr>
          <w:sz w:val="20"/>
          <w:szCs w:val="20"/>
          <w:color w:val="auto"/>
        </w:rPr>
      </w:pPr>
    </w:p>
    <w:p>
      <w:pPr>
        <w:ind w:left="960" w:right="3940"/>
        <w:spacing w:after="0" w:line="391" w:lineRule="auto"/>
        <w:rPr>
          <w:sz w:val="20"/>
          <w:szCs w:val="20"/>
          <w:color w:val="auto"/>
        </w:rPr>
      </w:pPr>
      <w:r>
        <w:rPr>
          <w:rFonts w:ascii="Arial" w:cs="Arial" w:eastAsia="Arial" w:hAnsi="Arial"/>
          <w:sz w:val="18"/>
          <w:szCs w:val="18"/>
          <w:color w:val="auto"/>
        </w:rPr>
        <w:t>a failure to operate our business in a way that is consistent with our values and mission; inadequate or unsatisfactory support experiences;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illegal or otherwise inappropriate behavior by our management team or other employees or contractors;</w:t>
      </w:r>
    </w:p>
    <w:p>
      <w:pPr>
        <w:spacing w:after="0" w:line="131" w:lineRule="exact"/>
        <w:rPr>
          <w:sz w:val="20"/>
          <w:szCs w:val="20"/>
          <w:color w:val="auto"/>
        </w:rPr>
      </w:pPr>
    </w:p>
    <w:p>
      <w:pPr>
        <w:ind w:left="960" w:right="2080"/>
        <w:spacing w:after="0" w:line="440" w:lineRule="auto"/>
        <w:rPr>
          <w:sz w:val="20"/>
          <w:szCs w:val="20"/>
          <w:color w:val="auto"/>
        </w:rPr>
      </w:pPr>
      <w:r>
        <w:rPr>
          <w:rFonts w:ascii="Arial" w:cs="Arial" w:eastAsia="Arial" w:hAnsi="Arial"/>
          <w:sz w:val="16"/>
          <w:szCs w:val="16"/>
          <w:color w:val="auto"/>
        </w:rPr>
        <w:t>negative responses by buyers or sellers to new services or manufacturing processes available on our marketplace; a failure to register or to prevent infringement, misappropriation or other violation of our trademarks;</w:t>
      </w:r>
    </w:p>
    <w:p>
      <w:pPr>
        <w:ind w:left="960"/>
        <w:spacing w:after="0" w:line="293" w:lineRule="auto"/>
        <w:rPr>
          <w:sz w:val="20"/>
          <w:szCs w:val="20"/>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6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183"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183" w:lineRule="exact"/>
        <w:rPr>
          <w:sz w:val="20"/>
          <w:szCs w:val="20"/>
          <w:color w:val="auto"/>
        </w:rPr>
      </w:pPr>
    </w:p>
    <w:p>
      <w:pPr>
        <w:ind w:right="320" w:firstLine="644"/>
        <w:spacing w:after="0" w:line="293"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62"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sz w:val="20"/>
          <w:szCs w:val="20"/>
          <w:color w:val="auto"/>
        </w:rPr>
      </w:pPr>
    </w:p>
    <w:p>
      <w:pPr>
        <w:ind w:left="960" w:right="3680"/>
        <w:spacing w:after="0" w:line="391" w:lineRule="auto"/>
        <w:rPr>
          <w:sz w:val="20"/>
          <w:szCs w:val="20"/>
          <w:color w:val="auto"/>
        </w:rPr>
      </w:pPr>
      <w:r>
        <w:rPr>
          <w:rFonts w:ascii="Arial" w:cs="Arial" w:eastAsia="Arial" w:hAnsi="Arial"/>
          <w:sz w:val="18"/>
          <w:szCs w:val="18"/>
          <w:color w:val="auto"/>
        </w:rPr>
        <w:t>failure to further our diversity efforts with respect to our leadership team and our offerings; the increasing size and geographic diversity of our workforce;</w:t>
      </w:r>
    </w:p>
    <w:p>
      <w:pPr>
        <w:spacing w:after="0" w:line="1" w:lineRule="exact"/>
        <w:rPr>
          <w:sz w:val="20"/>
          <w:szCs w:val="20"/>
          <w:color w:val="auto"/>
        </w:rPr>
      </w:pPr>
    </w:p>
    <w:p>
      <w:pPr>
        <w:ind w:left="5540" w:right="3060" w:hanging="4575"/>
        <w:spacing w:after="0" w:line="418" w:lineRule="auto"/>
        <w:rPr>
          <w:sz w:val="20"/>
          <w:szCs w:val="20"/>
          <w:color w:val="auto"/>
        </w:rPr>
      </w:pPr>
      <w:r>
        <w:rPr>
          <w:rFonts w:ascii="Arial" w:cs="Arial" w:eastAsia="Arial" w:hAnsi="Arial"/>
          <w:sz w:val="18"/>
          <w:szCs w:val="18"/>
          <w:color w:val="auto"/>
        </w:rPr>
        <w:t>competitive pressures to move in directions that may divert us from our mission, vision, and values;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8" w:name="page49"/>
    <w:bookmarkEnd w:id="48"/>
    <w:p>
      <w:pPr>
        <w:ind w:left="960"/>
        <w:spacing w:after="0"/>
        <w:rPr>
          <w:sz w:val="20"/>
          <w:szCs w:val="20"/>
          <w:color w:val="auto"/>
        </w:rPr>
      </w:pPr>
      <w:r>
        <w:rPr>
          <w:rFonts w:ascii="Arial" w:cs="Arial" w:eastAsia="Arial" w:hAnsi="Arial"/>
          <w:sz w:val="18"/>
          <w:szCs w:val="18"/>
          <w:color w:val="auto"/>
        </w:rPr>
        <w:t>the continued challenges of a rapidly evolving industry;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integration of new personnel and businesses from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are not able to maintain and evolve our culture, our business, financial condition, and results of operations could be adversely affected.</w:t>
      </w:r>
    </w:p>
    <w:p>
      <w:pPr>
        <w:spacing w:after="0" w:line="264"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183" w:lineRule="exact"/>
        <w:rPr>
          <w:sz w:val="20"/>
          <w:szCs w:val="20"/>
          <w:color w:val="auto"/>
        </w:rPr>
      </w:pPr>
    </w:p>
    <w:p>
      <w:pPr>
        <w:ind w:right="40" w:firstLine="644"/>
        <w:spacing w:after="0" w:line="306" w:lineRule="auto"/>
        <w:rPr>
          <w:sz w:val="20"/>
          <w:szCs w:val="20"/>
          <w:color w:val="auto"/>
        </w:rPr>
      </w:pPr>
      <w:r>
        <w:rPr>
          <w:rFonts w:ascii="Arial" w:cs="Arial" w:eastAsia="Arial" w:hAnsi="Arial"/>
          <w:sz w:val="16"/>
          <w:szCs w:val="16"/>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 variety of laws and regulations, both in the United States and internationally, many of which are evolving.</w:t>
      </w:r>
    </w:p>
    <w:p>
      <w:pPr>
        <w:spacing w:after="0" w:line="264" w:lineRule="exact"/>
        <w:rPr>
          <w:sz w:val="20"/>
          <w:szCs w:val="20"/>
          <w:color w:val="auto"/>
        </w:rPr>
      </w:pPr>
    </w:p>
    <w:p>
      <w:pPr>
        <w:ind w:firstLine="644"/>
        <w:spacing w:after="0" w:line="286" w:lineRule="auto"/>
        <w:rPr>
          <w:sz w:val="20"/>
          <w:szCs w:val="20"/>
          <w:color w:val="auto"/>
        </w:rPr>
      </w:pPr>
      <w:r>
        <w:rPr>
          <w:rFonts w:ascii="Arial" w:cs="Arial" w:eastAsia="Arial" w:hAnsi="Arial"/>
          <w:sz w:val="17"/>
          <w:szCs w:val="17"/>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192" w:lineRule="exact"/>
        <w:rPr>
          <w:sz w:val="20"/>
          <w:szCs w:val="20"/>
          <w:color w:val="auto"/>
        </w:rPr>
      </w:pPr>
    </w:p>
    <w:p>
      <w:pPr>
        <w:ind w:right="20" w:firstLine="644"/>
        <w:spacing w:after="0" w:line="290" w:lineRule="auto"/>
        <w:rPr>
          <w:sz w:val="20"/>
          <w:szCs w:val="20"/>
          <w:color w:val="auto"/>
        </w:rPr>
      </w:pPr>
      <w:r>
        <w:rPr>
          <w:rFonts w:ascii="Arial" w:cs="Arial" w:eastAsia="Arial" w:hAnsi="Arial"/>
          <w:sz w:val="17"/>
          <w:szCs w:val="17"/>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business worldwide, which requires us to comply with the laws and regulations of the U.S. government and various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251" w:lineRule="exact"/>
        <w:rPr>
          <w:sz w:val="20"/>
          <w:szCs w:val="20"/>
          <w:color w:val="auto"/>
        </w:rPr>
      </w:pPr>
    </w:p>
    <w:p>
      <w:pPr>
        <w:ind w:right="40" w:firstLine="644"/>
        <w:spacing w:after="0" w:line="272" w:lineRule="auto"/>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 Foreign Corrupt Practices Act, or FCPA, export controls and economic sanctions programs, including those administered by the 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right="60" w:firstLine="644"/>
        <w:spacing w:after="0" w:line="271"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4" w:lineRule="exact"/>
        <w:rPr>
          <w:sz w:val="20"/>
          <w:szCs w:val="20"/>
          <w:color w:val="auto"/>
        </w:rPr>
      </w:pPr>
    </w:p>
    <w:p>
      <w:pPr>
        <w:ind w:right="20" w:firstLine="644"/>
        <w:spacing w:after="0" w:line="288" w:lineRule="auto"/>
        <w:rPr>
          <w:sz w:val="20"/>
          <w:szCs w:val="20"/>
          <w:color w:val="auto"/>
        </w:rPr>
      </w:pPr>
      <w:r>
        <w:rPr>
          <w:rFonts w:ascii="Arial" w:cs="Arial" w:eastAsia="Arial" w:hAnsi="Arial"/>
          <w:sz w:val="17"/>
          <w:szCs w:val="17"/>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252"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0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183" w:lineRule="exact"/>
        <w:rPr>
          <w:sz w:val="20"/>
          <w:szCs w:val="20"/>
          <w:color w:val="auto"/>
        </w:rPr>
      </w:pPr>
    </w:p>
    <w:p>
      <w:pPr>
        <w:ind w:right="60" w:firstLine="644"/>
        <w:spacing w:after="0" w:line="269"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207" w:lineRule="exact"/>
        <w:rPr>
          <w:sz w:val="20"/>
          <w:szCs w:val="20"/>
          <w:color w:val="auto"/>
        </w:rPr>
      </w:pPr>
    </w:p>
    <w:p>
      <w:pPr>
        <w:ind w:right="80" w:firstLine="644"/>
        <w:spacing w:after="0" w:line="275"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99" w:lineRule="exact"/>
        <w:rPr>
          <w:sz w:val="20"/>
          <w:szCs w:val="20"/>
          <w:color w:val="auto"/>
        </w:rPr>
      </w:pPr>
    </w:p>
    <w:p>
      <w:pPr>
        <w:ind w:right="40" w:firstLine="644"/>
        <w:spacing w:after="0" w:line="305" w:lineRule="auto"/>
        <w:rPr>
          <w:sz w:val="20"/>
          <w:szCs w:val="20"/>
          <w:color w:val="auto"/>
        </w:rPr>
      </w:pPr>
      <w:r>
        <w:rPr>
          <w:rFonts w:ascii="Arial" w:cs="Arial" w:eastAsia="Arial" w:hAnsi="Arial"/>
          <w:sz w:val="16"/>
          <w:szCs w:val="16"/>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ind w:firstLine="644"/>
        <w:spacing w:after="0" w:line="270"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6" w:lineRule="exact"/>
        <w:rPr>
          <w:sz w:val="20"/>
          <w:szCs w:val="20"/>
          <w:color w:val="auto"/>
        </w:rPr>
      </w:pPr>
    </w:p>
    <w:p>
      <w:pPr>
        <w:ind w:right="160" w:firstLine="644"/>
        <w:spacing w:after="0" w:line="309" w:lineRule="auto"/>
        <w:rPr>
          <w:sz w:val="20"/>
          <w:szCs w:val="20"/>
          <w:color w:val="auto"/>
        </w:rPr>
      </w:pPr>
      <w:r>
        <w:rPr>
          <w:rFonts w:ascii="Arial" w:cs="Arial" w:eastAsia="Arial" w:hAnsi="Arial"/>
          <w:sz w:val="16"/>
          <w:szCs w:val="16"/>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78" w:lineRule="exact"/>
        <w:rPr>
          <w:sz w:val="20"/>
          <w:szCs w:val="20"/>
          <w:color w:val="auto"/>
        </w:rPr>
      </w:pPr>
    </w:p>
    <w:p>
      <w:pPr>
        <w:ind w:firstLine="644"/>
        <w:spacing w:after="0" w:line="284" w:lineRule="auto"/>
        <w:rPr>
          <w:sz w:val="20"/>
          <w:szCs w:val="20"/>
          <w:color w:val="auto"/>
        </w:rPr>
      </w:pPr>
      <w:r>
        <w:rPr>
          <w:rFonts w:ascii="Arial" w:cs="Arial" w:eastAsia="Arial" w:hAnsi="Arial"/>
          <w:sz w:val="17"/>
          <w:szCs w:val="17"/>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99" w:lineRule="exact"/>
        <w:rPr>
          <w:sz w:val="20"/>
          <w:szCs w:val="20"/>
          <w:color w:val="auto"/>
        </w:rPr>
      </w:pPr>
    </w:p>
    <w:p>
      <w:pPr>
        <w:ind w:right="20" w:firstLine="644"/>
        <w:spacing w:after="0" w:line="304" w:lineRule="auto"/>
        <w:rPr>
          <w:sz w:val="20"/>
          <w:szCs w:val="20"/>
          <w:color w:val="auto"/>
        </w:rPr>
      </w:pPr>
      <w:r>
        <w:rPr>
          <w:rFonts w:ascii="Arial" w:cs="Arial" w:eastAsia="Arial" w:hAnsi="Arial"/>
          <w:sz w:val="16"/>
          <w:szCs w:val="16"/>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83" w:lineRule="exact"/>
        <w:rPr>
          <w:sz w:val="20"/>
          <w:szCs w:val="20"/>
          <w:color w:val="auto"/>
        </w:rPr>
      </w:pPr>
    </w:p>
    <w:p>
      <w:pPr>
        <w:ind w:right="40" w:firstLine="644"/>
        <w:spacing w:after="0" w:line="272"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ind w:right="60"/>
        <w:spacing w:after="0" w:line="272" w:lineRule="auto"/>
        <w:rPr>
          <w:sz w:val="20"/>
          <w:szCs w:val="20"/>
          <w:color w:val="auto"/>
        </w:rPr>
      </w:pPr>
      <w:r>
        <w:rPr>
          <w:rFonts w:ascii="Arial" w:cs="Arial" w:eastAsia="Arial" w:hAnsi="Arial"/>
          <w:sz w:val="18"/>
          <w:szCs w:val="18"/>
          <w:color w:val="auto"/>
        </w:rPr>
        <w:t>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204" w:lineRule="exact"/>
        <w:rPr>
          <w:sz w:val="20"/>
          <w:szCs w:val="20"/>
          <w:color w:val="auto"/>
        </w:rPr>
      </w:pPr>
    </w:p>
    <w:p>
      <w:pPr>
        <w:ind w:firstLine="644"/>
        <w:spacing w:after="0" w:line="275"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99" w:lineRule="exact"/>
        <w:rPr>
          <w:sz w:val="20"/>
          <w:szCs w:val="20"/>
          <w:color w:val="auto"/>
        </w:rPr>
      </w:pPr>
    </w:p>
    <w:p>
      <w:pPr>
        <w:ind w:right="20" w:firstLine="644"/>
        <w:spacing w:after="0" w:line="308" w:lineRule="auto"/>
        <w:rPr>
          <w:sz w:val="20"/>
          <w:szCs w:val="20"/>
          <w:color w:val="auto"/>
        </w:rPr>
      </w:pPr>
      <w:r>
        <w:rPr>
          <w:rFonts w:ascii="Arial" w:cs="Arial" w:eastAsia="Arial" w:hAnsi="Arial"/>
          <w:sz w:val="16"/>
          <w:szCs w:val="16"/>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77"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183" w:lineRule="exact"/>
        <w:rPr>
          <w:sz w:val="20"/>
          <w:szCs w:val="20"/>
          <w:color w:val="auto"/>
        </w:rPr>
      </w:pPr>
    </w:p>
    <w:p>
      <w:pPr>
        <w:ind w:right="20" w:firstLine="644"/>
        <w:spacing w:after="0" w:line="309" w:lineRule="auto"/>
        <w:rPr>
          <w:sz w:val="20"/>
          <w:szCs w:val="20"/>
          <w:color w:val="auto"/>
        </w:rPr>
      </w:pPr>
      <w:r>
        <w:rPr>
          <w:rFonts w:ascii="Arial" w:cs="Arial" w:eastAsia="Arial" w:hAnsi="Arial"/>
          <w:sz w:val="16"/>
          <w:szCs w:val="16"/>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78" w:lineRule="exact"/>
        <w:rPr>
          <w:sz w:val="20"/>
          <w:szCs w:val="20"/>
          <w:color w:val="auto"/>
        </w:rPr>
      </w:pPr>
    </w:p>
    <w:p>
      <w:pPr>
        <w:ind w:right="20" w:firstLine="644"/>
        <w:spacing w:after="0" w:line="303" w:lineRule="auto"/>
        <w:rPr>
          <w:sz w:val="20"/>
          <w:szCs w:val="20"/>
          <w:color w:val="auto"/>
        </w:rPr>
      </w:pPr>
      <w:r>
        <w:rPr>
          <w:rFonts w:ascii="Arial" w:cs="Arial" w:eastAsia="Arial" w:hAnsi="Arial"/>
          <w:sz w:val="16"/>
          <w:szCs w:val="16"/>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85" w:lineRule="exact"/>
        <w:rPr>
          <w:sz w:val="20"/>
          <w:szCs w:val="20"/>
          <w:color w:val="auto"/>
        </w:rPr>
      </w:pPr>
    </w:p>
    <w:p>
      <w:pPr>
        <w:ind w:right="160" w:firstLine="644"/>
        <w:spacing w:after="0" w:line="27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2" w:name="page53"/>
    <w:bookmarkEnd w:id="52"/>
    <w:p>
      <w:pPr>
        <w:spacing w:after="0" w:line="275" w:lineRule="auto"/>
        <w:rPr>
          <w:sz w:val="20"/>
          <w:szCs w:val="20"/>
          <w:color w:val="auto"/>
        </w:rPr>
      </w:pPr>
      <w:r>
        <w:rPr>
          <w:rFonts w:ascii="Arial" w:cs="Arial" w:eastAsia="Arial" w:hAnsi="Arial"/>
          <w:sz w:val="18"/>
          <w:szCs w:val="18"/>
          <w:color w:val="auto"/>
        </w:rPr>
        <w:t>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99" w:lineRule="exact"/>
        <w:rPr>
          <w:sz w:val="20"/>
          <w:szCs w:val="20"/>
          <w:color w:val="auto"/>
        </w:rPr>
      </w:pPr>
    </w:p>
    <w:p>
      <w:pPr>
        <w:ind w:right="100" w:firstLine="644"/>
        <w:spacing w:after="0" w:line="293"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62" w:lineRule="exact"/>
        <w:rPr>
          <w:sz w:val="20"/>
          <w:szCs w:val="20"/>
          <w:color w:val="auto"/>
        </w:rPr>
      </w:pPr>
    </w:p>
    <w:p>
      <w:pPr>
        <w:ind w:left="960" w:right="660"/>
        <w:spacing w:after="0" w:line="293" w:lineRule="auto"/>
        <w:rPr>
          <w:sz w:val="20"/>
          <w:szCs w:val="20"/>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62" w:lineRule="exact"/>
        <w:rPr>
          <w:sz w:val="20"/>
          <w:szCs w:val="20"/>
          <w:color w:val="auto"/>
        </w:rPr>
      </w:pPr>
    </w:p>
    <w:p>
      <w:pPr>
        <w:ind w:left="960" w:right="160"/>
        <w:spacing w:after="0" w:line="279" w:lineRule="auto"/>
        <w:rPr>
          <w:sz w:val="20"/>
          <w:szCs w:val="20"/>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75"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252" w:lineRule="exact"/>
        <w:rPr>
          <w:sz w:val="20"/>
          <w:szCs w:val="20"/>
          <w:color w:val="auto"/>
        </w:rPr>
      </w:pPr>
    </w:p>
    <w:p>
      <w:pPr>
        <w:ind w:right="180" w:firstLine="644"/>
        <w:spacing w:after="0" w:line="319" w:lineRule="auto"/>
        <w:rPr>
          <w:sz w:val="20"/>
          <w:szCs w:val="20"/>
          <w:color w:val="auto"/>
        </w:rPr>
      </w:pPr>
      <w:r>
        <w:rPr>
          <w:rFonts w:ascii="Arial" w:cs="Arial" w:eastAsia="Arial" w:hAnsi="Arial"/>
          <w:sz w:val="16"/>
          <w:szCs w:val="16"/>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69" w:lineRule="exact"/>
        <w:rPr>
          <w:sz w:val="20"/>
          <w:szCs w:val="20"/>
          <w:color w:val="auto"/>
        </w:rPr>
      </w:pPr>
    </w:p>
    <w:p>
      <w:pPr>
        <w:ind w:right="40" w:firstLine="644"/>
        <w:spacing w:after="0" w:line="285" w:lineRule="auto"/>
        <w:rPr>
          <w:sz w:val="20"/>
          <w:szCs w:val="20"/>
          <w:color w:val="auto"/>
        </w:rPr>
      </w:pPr>
      <w:r>
        <w:rPr>
          <w:rFonts w:ascii="Arial" w:cs="Arial" w:eastAsia="Arial" w:hAnsi="Arial"/>
          <w:sz w:val="17"/>
          <w:szCs w:val="17"/>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98" w:lineRule="exact"/>
        <w:rPr>
          <w:sz w:val="20"/>
          <w:szCs w:val="20"/>
          <w:color w:val="auto"/>
        </w:rPr>
      </w:pPr>
    </w:p>
    <w:p>
      <w:pPr>
        <w:jc w:val="both"/>
        <w:ind w:right="20" w:firstLine="644"/>
        <w:spacing w:after="0" w:line="314" w:lineRule="auto"/>
        <w:rPr>
          <w:sz w:val="20"/>
          <w:szCs w:val="20"/>
          <w:color w:val="auto"/>
        </w:rPr>
      </w:pPr>
      <w:r>
        <w:rPr>
          <w:rFonts w:ascii="Arial" w:cs="Arial" w:eastAsia="Arial" w:hAnsi="Arial"/>
          <w:sz w:val="16"/>
          <w:szCs w:val="16"/>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73" w:lineRule="exact"/>
        <w:rPr>
          <w:sz w:val="20"/>
          <w:szCs w:val="20"/>
          <w:color w:val="auto"/>
        </w:rPr>
      </w:pPr>
    </w:p>
    <w:p>
      <w:pPr>
        <w:ind w:right="80" w:firstLine="644"/>
        <w:spacing w:after="0" w:line="279"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3" w:name="page54"/>
    <w:bookmarkEnd w:id="53"/>
    <w:p>
      <w:pPr>
        <w:ind w:right="640"/>
        <w:spacing w:after="0" w:line="293"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183" w:lineRule="exact"/>
        <w:rPr>
          <w:sz w:val="20"/>
          <w:szCs w:val="20"/>
          <w:color w:val="auto"/>
        </w:rPr>
      </w:pPr>
    </w:p>
    <w:p>
      <w:pPr>
        <w:ind w:right="160" w:firstLine="644"/>
        <w:spacing w:after="0" w:line="303" w:lineRule="auto"/>
        <w:rPr>
          <w:sz w:val="20"/>
          <w:szCs w:val="20"/>
          <w:color w:val="auto"/>
        </w:rPr>
      </w:pPr>
      <w:r>
        <w:rPr>
          <w:rFonts w:ascii="Arial" w:cs="Arial" w:eastAsia="Arial" w:hAnsi="Arial"/>
          <w:sz w:val="17"/>
          <w:szCs w:val="17"/>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unable to meet the shipping deadlines of our buyers;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experience disruptions in our ability to process orders, manufacture and ship orders;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forced to rely on third-party manufacturers or otherwise fail to fulfill orders of our buyers;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unable to source materials required for orders.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31"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need to expend significant capital and other resources to address any damage caused by the disaster.</w:t>
      </w:r>
    </w:p>
    <w:p>
      <w:pPr>
        <w:spacing w:after="0" w:line="252" w:lineRule="exact"/>
        <w:rPr>
          <w:sz w:val="20"/>
          <w:szCs w:val="20"/>
          <w:color w:val="auto"/>
        </w:rPr>
      </w:pPr>
    </w:p>
    <w:p>
      <w:pPr>
        <w:ind w:right="360" w:firstLine="644"/>
        <w:spacing w:after="0" w:line="293"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183" w:lineRule="exact"/>
        <w:rPr>
          <w:sz w:val="20"/>
          <w:szCs w:val="20"/>
          <w:color w:val="auto"/>
        </w:rPr>
      </w:pPr>
    </w:p>
    <w:p>
      <w:pPr>
        <w:jc w:val="both"/>
        <w:ind w:firstLine="644"/>
        <w:spacing w:after="0" w:line="279"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196"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183" w:lineRule="exact"/>
        <w:rPr>
          <w:sz w:val="20"/>
          <w:szCs w:val="20"/>
          <w:color w:val="auto"/>
        </w:rPr>
      </w:pPr>
    </w:p>
    <w:p>
      <w:pPr>
        <w:ind w:right="240" w:firstLine="686"/>
        <w:spacing w:after="0" w:line="275"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199" w:lineRule="exact"/>
        <w:rPr>
          <w:sz w:val="20"/>
          <w:szCs w:val="20"/>
          <w:color w:val="auto"/>
        </w:rPr>
      </w:pPr>
    </w:p>
    <w:p>
      <w:pPr>
        <w:ind w:right="80" w:firstLine="644"/>
        <w:spacing w:after="0" w:line="306" w:lineRule="auto"/>
        <w:rPr>
          <w:sz w:val="20"/>
          <w:szCs w:val="20"/>
          <w:color w:val="auto"/>
        </w:rPr>
      </w:pPr>
      <w:r>
        <w:rPr>
          <w:rFonts w:ascii="Arial" w:cs="Arial" w:eastAsia="Arial" w:hAnsi="Arial"/>
          <w:sz w:val="16"/>
          <w:szCs w:val="16"/>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52" w:lineRule="exact"/>
        <w:rPr>
          <w:sz w:val="20"/>
          <w:szCs w:val="20"/>
          <w:color w:val="auto"/>
        </w:rPr>
      </w:pPr>
    </w:p>
    <w:p>
      <w:pPr>
        <w:ind w:right="100" w:firstLine="644"/>
        <w:spacing w:after="0" w:line="272"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 attention from our senior management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ind w:right="420"/>
        <w:spacing w:after="0" w:line="293" w:lineRule="auto"/>
        <w:rPr>
          <w:sz w:val="20"/>
          <w:szCs w:val="20"/>
          <w:color w:val="auto"/>
        </w:rPr>
      </w:pPr>
      <w:r>
        <w:rPr>
          <w:rFonts w:ascii="Arial" w:cs="Arial" w:eastAsia="Arial" w:hAnsi="Arial"/>
          <w:sz w:val="18"/>
          <w:szCs w:val="18"/>
          <w:color w:val="auto"/>
        </w:rPr>
        <w:t>and could divert their attention away from the day-to-day management of our business, which could adversely affect our business, prospects,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252" w:lineRule="exact"/>
        <w:rPr>
          <w:sz w:val="20"/>
          <w:szCs w:val="20"/>
          <w:color w:val="auto"/>
        </w:rPr>
      </w:pPr>
    </w:p>
    <w:p>
      <w:pPr>
        <w:ind w:right="140" w:firstLine="644"/>
        <w:spacing w:after="0" w:line="292" w:lineRule="auto"/>
        <w:rPr>
          <w:sz w:val="20"/>
          <w:szCs w:val="20"/>
          <w:color w:val="auto"/>
        </w:rPr>
      </w:pPr>
      <w:r>
        <w:rPr>
          <w:rFonts w:ascii="Arial" w:cs="Arial" w:eastAsia="Arial" w:hAnsi="Arial"/>
          <w:sz w:val="17"/>
          <w:szCs w:val="17"/>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88" w:lineRule="exact"/>
        <w:rPr>
          <w:sz w:val="20"/>
          <w:szCs w:val="20"/>
          <w:color w:val="auto"/>
        </w:rPr>
      </w:pPr>
    </w:p>
    <w:p>
      <w:pPr>
        <w:ind w:right="120" w:firstLine="644"/>
        <w:spacing w:after="0" w:line="279" w:lineRule="auto"/>
        <w:rPr>
          <w:sz w:val="20"/>
          <w:szCs w:val="20"/>
          <w:color w:val="auto"/>
        </w:rPr>
      </w:pPr>
      <w:r>
        <w:rPr>
          <w:rFonts w:ascii="Arial" w:cs="Arial" w:eastAsia="Arial" w:hAnsi="Arial"/>
          <w:sz w:val="18"/>
          <w:szCs w:val="18"/>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12" w:lineRule="exact"/>
        <w:rPr>
          <w:sz w:val="20"/>
          <w:szCs w:val="20"/>
          <w:color w:val="auto"/>
        </w:rPr>
      </w:pPr>
    </w:p>
    <w:p>
      <w:pPr>
        <w:ind w:right="20" w:firstLine="644"/>
        <w:spacing w:after="0" w:line="269" w:lineRule="auto"/>
        <w:rPr>
          <w:sz w:val="20"/>
          <w:szCs w:val="20"/>
          <w:color w:val="auto"/>
        </w:rPr>
      </w:pPr>
      <w:r>
        <w:rPr>
          <w:rFonts w:ascii="Arial" w:cs="Arial" w:eastAsia="Arial" w:hAnsi="Arial"/>
          <w:sz w:val="18"/>
          <w:szCs w:val="18"/>
          <w:color w:val="auto"/>
        </w:rPr>
        <w:t>As of December 31, 2020, we have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w:t>
      </w:r>
    </w:p>
    <w:p>
      <w:pPr>
        <w:spacing w:after="0" w:line="156" w:lineRule="exact"/>
        <w:rPr>
          <w:sz w:val="20"/>
          <w:szCs w:val="20"/>
          <w:color w:val="auto"/>
        </w:rPr>
      </w:pPr>
    </w:p>
    <w:p>
      <w:pPr>
        <w:ind w:right="20" w:firstLine="644"/>
        <w:spacing w:after="0" w:line="299" w:lineRule="auto"/>
        <w:rPr>
          <w:sz w:val="20"/>
          <w:szCs w:val="20"/>
          <w:color w:val="auto"/>
        </w:rPr>
      </w:pPr>
      <w:r>
        <w:rPr>
          <w:rFonts w:ascii="Arial" w:cs="Arial" w:eastAsia="Arial" w:hAnsi="Arial"/>
          <w:sz w:val="16"/>
          <w:szCs w:val="16"/>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w:t>
      </w:r>
    </w:p>
    <w:p>
      <w:pPr>
        <w:spacing w:after="0" w:line="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7" w:lineRule="exact"/>
        <w:rPr>
          <w:sz w:val="20"/>
          <w:szCs w:val="20"/>
          <w:color w:val="auto"/>
        </w:rPr>
      </w:pPr>
    </w:p>
    <w:p>
      <w:pPr>
        <w:ind w:firstLine="686"/>
        <w:spacing w:after="0" w:line="272"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98" w:lineRule="exact"/>
        <w:rPr>
          <w:sz w:val="20"/>
          <w:szCs w:val="20"/>
          <w:color w:val="auto"/>
        </w:rPr>
      </w:pPr>
    </w:p>
    <w:p>
      <w:pPr>
        <w:ind w:right="180" w:firstLine="644"/>
        <w:spacing w:after="0" w:line="308" w:lineRule="auto"/>
        <w:rPr>
          <w:sz w:val="20"/>
          <w:szCs w:val="20"/>
          <w:color w:val="auto"/>
        </w:rPr>
      </w:pPr>
      <w:r>
        <w:rPr>
          <w:rFonts w:ascii="Arial" w:cs="Arial" w:eastAsia="Arial" w:hAnsi="Arial"/>
          <w:sz w:val="16"/>
          <w:szCs w:val="16"/>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software, that our programmers have not incorporated open source software into our proprietary software, or that they will not do so in the</w:t>
      </w:r>
    </w:p>
    <w:p>
      <w:pPr>
        <w:spacing w:after="0" w:line="23" w:lineRule="exact"/>
        <w:rPr>
          <w:sz w:val="20"/>
          <w:szCs w:val="20"/>
          <w:color w:val="auto"/>
        </w:rPr>
      </w:pPr>
    </w:p>
    <w:p>
      <w:pPr>
        <w:jc w:val="both"/>
        <w:ind w:right="40"/>
        <w:spacing w:after="0" w:line="274" w:lineRule="auto"/>
        <w:rPr>
          <w:sz w:val="20"/>
          <w:szCs w:val="20"/>
          <w:color w:val="auto"/>
        </w:rPr>
      </w:pPr>
      <w:r>
        <w:rPr>
          <w:rFonts w:ascii="Arial" w:cs="Arial" w:eastAsia="Arial" w:hAnsi="Arial"/>
          <w:sz w:val="18"/>
          <w:szCs w:val="18"/>
          <w:color w:val="auto"/>
        </w:rPr>
        <w:t>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61" w:lineRule="exact"/>
        <w:rPr>
          <w:sz w:val="20"/>
          <w:szCs w:val="20"/>
          <w:color w:val="auto"/>
        </w:rPr>
      </w:pPr>
    </w:p>
    <w:p>
      <w:pPr>
        <w:ind w:right="20" w:firstLine="644"/>
        <w:spacing w:after="0" w:line="303" w:lineRule="auto"/>
        <w:rPr>
          <w:sz w:val="20"/>
          <w:szCs w:val="20"/>
          <w:color w:val="auto"/>
        </w:rPr>
      </w:pPr>
      <w:r>
        <w:rPr>
          <w:rFonts w:ascii="Arial" w:cs="Arial" w:eastAsia="Arial" w:hAnsi="Arial"/>
          <w:sz w:val="16"/>
          <w:szCs w:val="16"/>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31"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129" w:lineRule="exact"/>
        <w:rPr>
          <w:sz w:val="20"/>
          <w:szCs w:val="20"/>
          <w:color w:val="auto"/>
        </w:rPr>
      </w:pPr>
    </w:p>
    <w:p>
      <w:pPr>
        <w:ind w:right="80" w:firstLine="644"/>
        <w:spacing w:after="0" w:line="299" w:lineRule="auto"/>
        <w:rPr>
          <w:sz w:val="20"/>
          <w:szCs w:val="20"/>
          <w:color w:val="auto"/>
        </w:rPr>
      </w:pPr>
      <w:r>
        <w:rPr>
          <w:rFonts w:ascii="Arial" w:cs="Arial" w:eastAsia="Arial" w:hAnsi="Arial"/>
          <w:sz w:val="16"/>
          <w:szCs w:val="16"/>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98"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45"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143" w:lineRule="exact"/>
        <w:rPr>
          <w:sz w:val="20"/>
          <w:szCs w:val="20"/>
          <w:color w:val="auto"/>
        </w:rPr>
      </w:pPr>
    </w:p>
    <w:p>
      <w:pPr>
        <w:ind w:firstLine="644"/>
        <w:spacing w:after="0" w:line="279"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right="380"/>
        <w:spacing w:after="0" w:line="319" w:lineRule="auto"/>
        <w:rPr>
          <w:sz w:val="20"/>
          <w:szCs w:val="20"/>
          <w:color w:val="auto"/>
        </w:rPr>
      </w:pPr>
      <w:r>
        <w:rPr>
          <w:rFonts w:ascii="Arial" w:cs="Arial" w:eastAsia="Arial" w:hAnsi="Arial"/>
          <w:sz w:val="16"/>
          <w:szCs w:val="16"/>
          <w:color w:val="auto"/>
        </w:rPr>
        <w:t>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 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12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129" w:lineRule="exact"/>
        <w:rPr>
          <w:sz w:val="20"/>
          <w:szCs w:val="20"/>
          <w:color w:val="auto"/>
        </w:rPr>
      </w:pPr>
    </w:p>
    <w:p>
      <w:pPr>
        <w:ind w:right="160" w:firstLine="644"/>
        <w:spacing w:after="0" w:line="272" w:lineRule="auto"/>
        <w:rPr>
          <w:sz w:val="20"/>
          <w:szCs w:val="20"/>
          <w:color w:val="auto"/>
        </w:rPr>
      </w:pPr>
      <w:r>
        <w:rPr>
          <w:rFonts w:ascii="Arial" w:cs="Arial" w:eastAsia="Arial" w:hAnsi="Arial"/>
          <w:sz w:val="18"/>
          <w:szCs w:val="18"/>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212"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condensed consolidated financial statements, we changed our method of accounting for leases as of January 1, 2019 due to the adoption of Accounting Standards Update 2016-02, Leases (Topic 842), as amended. It is difficult to predict the impact of future changes to accounting principles or our accounting policies, any of which could negatively affect our reported results of operations.</w:t>
      </w:r>
    </w:p>
    <w:p>
      <w:pPr>
        <w:spacing w:after="0" w:line="15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129" w:lineRule="exact"/>
        <w:rPr>
          <w:sz w:val="20"/>
          <w:szCs w:val="20"/>
          <w:color w:val="auto"/>
        </w:rPr>
      </w:pPr>
    </w:p>
    <w:p>
      <w:pPr>
        <w:ind w:firstLine="644"/>
        <w:spacing w:after="0" w:line="306" w:lineRule="auto"/>
        <w:rPr>
          <w:sz w:val="20"/>
          <w:szCs w:val="20"/>
          <w:color w:val="auto"/>
        </w:rPr>
      </w:pPr>
      <w:r>
        <w:rPr>
          <w:rFonts w:ascii="Arial" w:cs="Arial" w:eastAsia="Arial" w:hAnsi="Arial"/>
          <w:sz w:val="16"/>
          <w:szCs w:val="16"/>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98" w:lineRule="exact"/>
        <w:rPr>
          <w:sz w:val="20"/>
          <w:szCs w:val="20"/>
          <w:color w:val="auto"/>
        </w:rPr>
      </w:pPr>
    </w:p>
    <w:p>
      <w:pPr>
        <w:ind w:right="80" w:firstLine="644"/>
        <w:spacing w:after="0" w:line="287" w:lineRule="auto"/>
        <w:rPr>
          <w:sz w:val="20"/>
          <w:szCs w:val="20"/>
          <w:color w:val="auto"/>
        </w:rPr>
      </w:pPr>
      <w:r>
        <w:rPr>
          <w:rFonts w:ascii="Arial" w:cs="Arial" w:eastAsia="Arial" w:hAnsi="Arial"/>
          <w:sz w:val="17"/>
          <w:szCs w:val="17"/>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13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98" w:lineRule="exact"/>
        <w:rPr>
          <w:sz w:val="20"/>
          <w:szCs w:val="20"/>
          <w:color w:val="auto"/>
        </w:rPr>
      </w:pPr>
    </w:p>
    <w:p>
      <w:pPr>
        <w:ind w:right="40" w:firstLine="644"/>
        <w:spacing w:after="0" w:line="29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fluctuations in our operating results or financial condition;</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ind w:left="960"/>
        <w:spacing w:after="0"/>
        <w:rPr>
          <w:sz w:val="20"/>
          <w:szCs w:val="20"/>
          <w:color w:val="auto"/>
        </w:rPr>
      </w:pPr>
      <w:r>
        <w:rPr>
          <w:rFonts w:ascii="Arial" w:cs="Arial" w:eastAsia="Arial" w:hAnsi="Arial"/>
          <w:sz w:val="18"/>
          <w:szCs w:val="18"/>
          <w:color w:val="auto"/>
        </w:rPr>
        <w:t>variance in our financial performance from expectations of securities analysts;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our pricing model;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our projected operating and financial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laws or regulations applicable to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involvement in any litigation;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31"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senior management or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trading volume of our Class A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anticipated future size and growth rate of our market;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and market conditions.</w:t>
      </w:r>
    </w:p>
    <w:p>
      <w:pPr>
        <w:spacing w:after="0" w:line="198"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4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29" w:lineRule="exact"/>
        <w:rPr>
          <w:sz w:val="20"/>
          <w:szCs w:val="20"/>
          <w:color w:val="auto"/>
        </w:rPr>
      </w:pPr>
    </w:p>
    <w:p>
      <w:pPr>
        <w:ind w:right="80" w:firstLine="644"/>
        <w:spacing w:after="0" w:line="272"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50"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143" w:lineRule="exact"/>
        <w:rPr>
          <w:sz w:val="20"/>
          <w:szCs w:val="20"/>
          <w:color w:val="auto"/>
        </w:rPr>
      </w:pPr>
    </w:p>
    <w:p>
      <w:pPr>
        <w:ind w:firstLine="644"/>
        <w:spacing w:after="0" w:line="309" w:lineRule="auto"/>
        <w:rPr>
          <w:sz w:val="20"/>
          <w:szCs w:val="20"/>
          <w:color w:val="auto"/>
        </w:rPr>
      </w:pPr>
      <w:r>
        <w:rPr>
          <w:rFonts w:ascii="Arial" w:cs="Arial" w:eastAsia="Arial" w:hAnsi="Arial"/>
          <w:sz w:val="16"/>
          <w:szCs w:val="16"/>
          <w:color w:val="auto"/>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24" w:lineRule="exact"/>
        <w:rPr>
          <w:sz w:val="20"/>
          <w:szCs w:val="20"/>
          <w:color w:val="auto"/>
        </w:rPr>
      </w:pPr>
    </w:p>
    <w:p>
      <w:pPr>
        <w:ind w:right="20" w:firstLine="36"/>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29" w:lineRule="exact"/>
        <w:rPr>
          <w:sz w:val="20"/>
          <w:szCs w:val="20"/>
          <w:color w:val="auto"/>
        </w:rPr>
      </w:pPr>
    </w:p>
    <w:p>
      <w:pPr>
        <w:ind w:right="100" w:firstLine="644"/>
        <w:spacing w:after="0" w:line="272"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right="180"/>
        <w:spacing w:after="0" w:line="293" w:lineRule="auto"/>
        <w:rPr>
          <w:sz w:val="20"/>
          <w:szCs w:val="20"/>
          <w:color w:val="auto"/>
        </w:rPr>
      </w:pPr>
      <w:r>
        <w:rPr>
          <w:rFonts w:ascii="Arial" w:cs="Arial" w:eastAsia="Arial" w:hAnsi="Arial"/>
          <w:sz w:val="18"/>
          <w:szCs w:val="18"/>
          <w:color w:val="auto"/>
        </w:rPr>
        <w:t>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43"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29" w:lineRule="exact"/>
        <w:rPr>
          <w:sz w:val="20"/>
          <w:szCs w:val="20"/>
          <w:color w:val="auto"/>
        </w:rPr>
      </w:pPr>
    </w:p>
    <w:p>
      <w:pPr>
        <w:ind w:right="100" w:firstLine="644"/>
        <w:spacing w:after="0" w:line="272"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35" w:lineRule="exact"/>
        <w:rPr>
          <w:sz w:val="20"/>
          <w:szCs w:val="20"/>
          <w:color w:val="auto"/>
        </w:rPr>
      </w:pPr>
    </w:p>
    <w:p>
      <w:pPr>
        <w:ind w:right="100" w:firstLine="644"/>
        <w:spacing w:after="0" w:line="287" w:lineRule="auto"/>
        <w:rPr>
          <w:sz w:val="20"/>
          <w:szCs w:val="20"/>
          <w:color w:val="auto"/>
        </w:rPr>
      </w:pPr>
      <w:r>
        <w:rPr>
          <w:rFonts w:ascii="Arial" w:cs="Arial" w:eastAsia="Arial" w:hAnsi="Arial"/>
          <w:sz w:val="17"/>
          <w:szCs w:val="17"/>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41" w:lineRule="exact"/>
        <w:rPr>
          <w:sz w:val="20"/>
          <w:szCs w:val="20"/>
          <w:color w:val="auto"/>
        </w:rPr>
      </w:pPr>
    </w:p>
    <w:p>
      <w:pPr>
        <w:ind w:right="120" w:firstLine="644"/>
        <w:spacing w:after="0" w:line="319" w:lineRule="auto"/>
        <w:rPr>
          <w:sz w:val="20"/>
          <w:szCs w:val="20"/>
          <w:color w:val="auto"/>
        </w:rPr>
      </w:pPr>
      <w:r>
        <w:rPr>
          <w:rFonts w:ascii="Arial" w:cs="Arial" w:eastAsia="Arial" w:hAnsi="Arial"/>
          <w:sz w:val="16"/>
          <w:szCs w:val="16"/>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15" w:lineRule="exact"/>
        <w:rPr>
          <w:sz w:val="20"/>
          <w:szCs w:val="20"/>
          <w:color w:val="auto"/>
        </w:rPr>
      </w:pPr>
    </w:p>
    <w:p>
      <w:pPr>
        <w:ind w:right="100" w:firstLine="644"/>
        <w:spacing w:after="0" w:line="290" w:lineRule="auto"/>
        <w:rPr>
          <w:sz w:val="20"/>
          <w:szCs w:val="20"/>
          <w:color w:val="auto"/>
        </w:rPr>
      </w:pPr>
      <w:r>
        <w:rPr>
          <w:rFonts w:ascii="Arial" w:cs="Arial" w:eastAsia="Arial" w:hAnsi="Arial"/>
          <w:sz w:val="17"/>
          <w:szCs w:val="17"/>
          <w:color w:val="auto"/>
        </w:rPr>
        <w:t>As of June 30, 2021, we had $37.4 million in cash and cash equivalents. While we believe the net proceeds from our initial public offering, together with our existing cash and cash equivalents,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9"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107" w:lineRule="exact"/>
        <w:rPr>
          <w:sz w:val="20"/>
          <w:szCs w:val="20"/>
          <w:color w:val="auto"/>
        </w:rPr>
      </w:pPr>
    </w:p>
    <w:p>
      <w:pPr>
        <w:ind w:right="160" w:firstLine="644"/>
        <w:spacing w:after="0" w:line="279" w:lineRule="auto"/>
        <w:rPr>
          <w:sz w:val="20"/>
          <w:szCs w:val="20"/>
          <w:color w:val="auto"/>
        </w:rPr>
      </w:pPr>
      <w:r>
        <w:rPr>
          <w:rFonts w:ascii="Arial" w:cs="Arial" w:eastAsia="Arial" w:hAnsi="Arial"/>
          <w:sz w:val="18"/>
          <w:szCs w:val="18"/>
          <w:color w:val="auto"/>
        </w:rPr>
        <w:t>Our Class B common stock has twenty votes per share, whereas our Class A common stock has one vote per share. Our co-founders collectively own shares representing approximately 56.2% of the voting power of our outstanding capital stock, based on the number of shares outstanding as of the closing of our initial public offering.</w:t>
      </w:r>
    </w:p>
    <w:p>
      <w:pPr>
        <w:spacing w:after="0" w:line="142" w:lineRule="exact"/>
        <w:rPr>
          <w:sz w:val="20"/>
          <w:szCs w:val="20"/>
          <w:color w:val="auto"/>
        </w:rPr>
      </w:pPr>
    </w:p>
    <w:p>
      <w:pPr>
        <w:ind w:firstLine="644"/>
        <w:spacing w:after="0" w:line="311" w:lineRule="auto"/>
        <w:rPr>
          <w:sz w:val="20"/>
          <w:szCs w:val="20"/>
          <w:color w:val="auto"/>
        </w:rPr>
      </w:pPr>
      <w:r>
        <w:rPr>
          <w:rFonts w:ascii="Arial" w:cs="Arial" w:eastAsia="Arial" w:hAnsi="Arial"/>
          <w:sz w:val="16"/>
          <w:szCs w:val="16"/>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36" w:lineRule="exact"/>
        <w:rPr>
          <w:sz w:val="20"/>
          <w:szCs w:val="20"/>
          <w:color w:val="auto"/>
        </w:rPr>
      </w:pPr>
    </w:p>
    <w:p>
      <w:pPr>
        <w:ind w:right="100" w:firstLine="644"/>
        <w:spacing w:after="0" w:line="299" w:lineRule="auto"/>
        <w:rPr>
          <w:sz w:val="20"/>
          <w:szCs w:val="20"/>
          <w:color w:val="auto"/>
        </w:rPr>
      </w:pPr>
      <w:r>
        <w:rPr>
          <w:rFonts w:ascii="Arial" w:cs="Arial" w:eastAsia="Arial" w:hAnsi="Arial"/>
          <w:sz w:val="16"/>
          <w:szCs w:val="16"/>
          <w:color w:val="auto"/>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2" w:lineRule="exact"/>
        <w:rPr>
          <w:sz w:val="20"/>
          <w:szCs w:val="20"/>
          <w:color w:val="auto"/>
        </w:rPr>
      </w:pPr>
    </w:p>
    <w:p>
      <w:pPr>
        <w:ind w:right="360" w:firstLine="8"/>
        <w:spacing w:after="0" w:line="292"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death or incapacity of the Class B common stockholder; (3) such holder’s departure from our board of directors; and (4) on the final conversion date, defined as the earlier of (a) the seventh</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anniversary of our initial public offering; or (b) the date specified by vote of the holders of a majority of the outstanding shares of Class B common stock.</w:t>
      </w:r>
    </w:p>
    <w:p>
      <w:pPr>
        <w:spacing w:after="0" w:line="235" w:lineRule="exact"/>
        <w:rPr>
          <w:sz w:val="20"/>
          <w:szCs w:val="20"/>
          <w:color w:val="auto"/>
        </w:rPr>
      </w:pPr>
    </w:p>
    <w:p>
      <w:pPr>
        <w:ind w:right="20" w:firstLine="644"/>
        <w:spacing w:after="0" w:line="275"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98" w:lineRule="exact"/>
        <w:rPr>
          <w:sz w:val="20"/>
          <w:szCs w:val="20"/>
          <w:color w:val="auto"/>
        </w:rPr>
      </w:pPr>
    </w:p>
    <w:p>
      <w:pPr>
        <w:ind w:firstLine="644"/>
        <w:spacing w:after="0" w:line="269" w:lineRule="auto"/>
        <w:rPr>
          <w:sz w:val="20"/>
          <w:szCs w:val="20"/>
          <w:color w:val="auto"/>
        </w:rPr>
      </w:pPr>
      <w:r>
        <w:rPr>
          <w:rFonts w:ascii="Arial" w:cs="Arial" w:eastAsia="Arial" w:hAnsi="Arial"/>
          <w:sz w:val="18"/>
          <w:szCs w:val="18"/>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169"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29" w:lineRule="exact"/>
        <w:rPr>
          <w:sz w:val="20"/>
          <w:szCs w:val="20"/>
          <w:color w:val="auto"/>
        </w:rPr>
      </w:pPr>
    </w:p>
    <w:p>
      <w:pPr>
        <w:ind w:firstLine="644"/>
        <w:spacing w:after="0" w:line="31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22" w:lineRule="exact"/>
        <w:rPr>
          <w:sz w:val="20"/>
          <w:szCs w:val="20"/>
          <w:color w:val="auto"/>
        </w:rPr>
      </w:pPr>
    </w:p>
    <w:p>
      <w:pPr>
        <w:ind w:right="120" w:firstLine="644"/>
        <w:spacing w:after="0" w:line="285"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filing,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55" w:lineRule="exact"/>
        <w:rPr>
          <w:sz w:val="20"/>
          <w:szCs w:val="20"/>
          <w:color w:val="auto"/>
        </w:rPr>
      </w:pPr>
    </w:p>
    <w:p>
      <w:pPr>
        <w:ind w:firstLine="686"/>
        <w:spacing w:after="0" w:line="275"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145" w:lineRule="exact"/>
        <w:rPr>
          <w:sz w:val="20"/>
          <w:szCs w:val="20"/>
          <w:color w:val="auto"/>
        </w:rPr>
      </w:pPr>
    </w:p>
    <w:p>
      <w:pPr>
        <w:ind w:right="220" w:firstLine="644"/>
        <w:spacing w:after="0" w:line="293"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40"/>
        <w:spacing w:after="0" w:line="324"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20" w:lineRule="exact"/>
        <w:rPr>
          <w:sz w:val="20"/>
          <w:szCs w:val="20"/>
          <w:color w:val="auto"/>
        </w:rPr>
      </w:pPr>
    </w:p>
    <w:p>
      <w:pPr>
        <w:ind w:right="40" w:firstLine="644"/>
        <w:spacing w:after="0" w:line="279"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will include provisions that:</w:t>
      </w:r>
    </w:p>
    <w:p>
      <w:pPr>
        <w:spacing w:after="0" w:line="75"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4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sz w:val="20"/>
          <w:szCs w:val="20"/>
          <w:color w:val="auto"/>
        </w:rPr>
      </w:pPr>
    </w:p>
    <w:p>
      <w:pPr>
        <w:ind w:left="960" w:right="1940"/>
        <w:spacing w:after="0" w:line="391" w:lineRule="auto"/>
        <w:rPr>
          <w:sz w:val="20"/>
          <w:szCs w:val="20"/>
          <w:color w:val="auto"/>
        </w:rPr>
      </w:pPr>
      <w:r>
        <w:rPr>
          <w:rFonts w:ascii="Arial" w:cs="Arial" w:eastAsia="Arial" w:hAnsi="Arial"/>
          <w:sz w:val="18"/>
          <w:szCs w:val="18"/>
          <w:color w:val="auto"/>
        </w:rPr>
        <w:t>establish that our board of directors is divided into three classes, with each class serving three-year staggered terms; prohibit cumulative voting in the election of directors;</w:t>
      </w:r>
    </w:p>
    <w:p>
      <w:pPr>
        <w:spacing w:after="0" w:line="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62"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29" w:lineRule="exact"/>
        <w:rPr>
          <w:sz w:val="20"/>
          <w:szCs w:val="20"/>
          <w:color w:val="auto"/>
        </w:rPr>
      </w:pPr>
    </w:p>
    <w:p>
      <w:pPr>
        <w:ind w:right="60" w:firstLine="644"/>
        <w:spacing w:after="0" w:line="30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24" w:lineRule="exact"/>
        <w:rPr>
          <w:sz w:val="20"/>
          <w:szCs w:val="20"/>
          <w:color w:val="auto"/>
        </w:rPr>
      </w:pPr>
    </w:p>
    <w:p>
      <w:pPr>
        <w:jc w:val="both"/>
        <w:ind w:right="60"/>
        <w:spacing w:after="0" w:line="329"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121" w:lineRule="exact"/>
        <w:rPr>
          <w:sz w:val="20"/>
          <w:szCs w:val="20"/>
          <w:color w:val="auto"/>
        </w:rPr>
      </w:pPr>
    </w:p>
    <w:p>
      <w:pPr>
        <w:ind w:firstLine="644"/>
        <w:spacing w:after="0" w:line="299"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w:t>
      </w:r>
    </w:p>
    <w:p>
      <w:pPr>
        <w:spacing w:after="0" w:line="2" w:lineRule="exact"/>
        <w:rPr>
          <w:sz w:val="20"/>
          <w:szCs w:val="20"/>
          <w:color w:val="auto"/>
        </w:rPr>
      </w:pPr>
    </w:p>
    <w:p>
      <w:pPr>
        <w:ind w:right="200" w:firstLine="8"/>
        <w:spacing w:after="0" w:line="272"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149" w:lineRule="exact"/>
        <w:rPr>
          <w:sz w:val="20"/>
          <w:szCs w:val="20"/>
          <w:color w:val="auto"/>
        </w:rPr>
      </w:pPr>
    </w:p>
    <w:p>
      <w:pPr>
        <w:ind w:right="180" w:firstLine="644"/>
        <w:spacing w:after="0" w:line="292" w:lineRule="auto"/>
        <w:rPr>
          <w:sz w:val="20"/>
          <w:szCs w:val="20"/>
          <w:color w:val="auto"/>
        </w:rPr>
      </w:pPr>
      <w:r>
        <w:rPr>
          <w:rFonts w:ascii="Arial" w:cs="Arial" w:eastAsia="Arial" w:hAnsi="Arial"/>
          <w:sz w:val="17"/>
          <w:szCs w:val="17"/>
          <w:color w:val="auto"/>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right="40" w:firstLine="644"/>
        <w:spacing w:after="0" w:line="306"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personnel, our business and future growth prospects would be harmed.</w:t>
      </w:r>
    </w:p>
    <w:p>
      <w:pPr>
        <w:spacing w:after="0" w:line="233" w:lineRule="exact"/>
        <w:rPr>
          <w:sz w:val="20"/>
          <w:szCs w:val="20"/>
          <w:color w:val="auto"/>
        </w:rPr>
      </w:pPr>
    </w:p>
    <w:p>
      <w:pPr>
        <w:ind w:right="60" w:firstLine="644"/>
        <w:spacing w:after="0" w:line="272"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98" w:lineRule="exact"/>
        <w:rPr>
          <w:sz w:val="20"/>
          <w:szCs w:val="20"/>
          <w:color w:val="auto"/>
        </w:rPr>
      </w:pPr>
    </w:p>
    <w:p>
      <w:pPr>
        <w:ind w:firstLine="644"/>
        <w:spacing w:after="0" w:line="272"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150" w:lineRule="exact"/>
        <w:rPr>
          <w:sz w:val="20"/>
          <w:szCs w:val="20"/>
          <w:color w:val="auto"/>
        </w:rPr>
      </w:pPr>
    </w:p>
    <w:p>
      <w:pPr>
        <w:ind w:right="20" w:firstLine="644"/>
        <w:spacing w:after="0" w:line="272"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64" w:lineRule="exact"/>
        <w:rPr>
          <w:sz w:val="20"/>
          <w:szCs w:val="20"/>
          <w:color w:val="auto"/>
        </w:rPr>
      </w:pPr>
    </w:p>
    <w:p>
      <w:pPr>
        <w:ind w:right="180" w:firstLine="644"/>
        <w:spacing w:after="0" w:line="329"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98" w:lineRule="exact"/>
        <w:rPr>
          <w:sz w:val="20"/>
          <w:szCs w:val="20"/>
          <w:color w:val="auto"/>
        </w:rPr>
      </w:pPr>
    </w:p>
    <w:p>
      <w:pPr>
        <w:ind w:right="80" w:firstLine="644"/>
        <w:spacing w:after="0" w:line="31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2" w:name="page63"/>
    <w:bookmarkEnd w:id="62"/>
    <w:p>
      <w:pPr>
        <w:spacing w:after="0" w:line="279" w:lineRule="auto"/>
        <w:rPr>
          <w:sz w:val="20"/>
          <w:szCs w:val="20"/>
          <w:color w:val="auto"/>
        </w:rPr>
      </w:pPr>
      <w:r>
        <w:rPr>
          <w:rFonts w:ascii="Arial" w:cs="Arial" w:eastAsia="Arial" w:hAnsi="Arial"/>
          <w:sz w:val="18"/>
          <w:szCs w:val="18"/>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56" w:lineRule="exact"/>
        <w:rPr>
          <w:sz w:val="20"/>
          <w:szCs w:val="20"/>
          <w:color w:val="auto"/>
        </w:rPr>
      </w:pPr>
    </w:p>
    <w:p>
      <w:pPr>
        <w:ind w:right="40" w:firstLine="644"/>
        <w:spacing w:after="0" w:line="285"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9" w:lineRule="exact"/>
        <w:rPr>
          <w:sz w:val="20"/>
          <w:szCs w:val="20"/>
          <w:color w:val="auto"/>
        </w:rPr>
      </w:pPr>
    </w:p>
    <w:p>
      <w:pPr>
        <w:jc w:val="both"/>
        <w:ind w:right="340" w:firstLine="644"/>
        <w:spacing w:after="0" w:line="29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14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3" w:lineRule="exact"/>
        <w:rPr>
          <w:sz w:val="20"/>
          <w:szCs w:val="20"/>
          <w:color w:val="auto"/>
        </w:rPr>
      </w:pPr>
    </w:p>
    <w:p>
      <w:pPr>
        <w:ind w:firstLine="644"/>
        <w:spacing w:after="0" w:line="319"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15" w:lineRule="exact"/>
        <w:rPr>
          <w:sz w:val="20"/>
          <w:szCs w:val="20"/>
          <w:color w:val="auto"/>
        </w:rPr>
      </w:pPr>
    </w:p>
    <w:p>
      <w:pPr>
        <w:ind w:right="80" w:firstLine="644"/>
        <w:spacing w:after="0" w:line="290"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35" w:lineRule="exact"/>
        <w:rPr>
          <w:sz w:val="20"/>
          <w:szCs w:val="20"/>
          <w:color w:val="auto"/>
        </w:rPr>
      </w:pPr>
    </w:p>
    <w:p>
      <w:pPr>
        <w:jc w:val="both"/>
        <w:ind w:firstLine="689"/>
        <w:spacing w:after="0" w:line="303" w:lineRule="auto"/>
        <w:rPr>
          <w:sz w:val="20"/>
          <w:szCs w:val="20"/>
          <w:color w:val="auto"/>
        </w:rPr>
      </w:pPr>
      <w:r>
        <w:rPr>
          <w:rFonts w:ascii="Arial" w:cs="Arial" w:eastAsia="Arial" w:hAnsi="Arial"/>
          <w:sz w:val="17"/>
          <w:szCs w:val="17"/>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137" w:lineRule="exact"/>
        <w:rPr>
          <w:sz w:val="20"/>
          <w:szCs w:val="20"/>
          <w:color w:val="auto"/>
        </w:rPr>
      </w:pPr>
    </w:p>
    <w:p>
      <w:pPr>
        <w:ind w:right="180" w:firstLine="644"/>
        <w:spacing w:after="0" w:line="270"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ind w:right="20"/>
        <w:spacing w:after="0" w:line="270" w:lineRule="auto"/>
        <w:rPr>
          <w:sz w:val="20"/>
          <w:szCs w:val="20"/>
          <w:color w:val="auto"/>
        </w:rPr>
      </w:pPr>
      <w:r>
        <w:rPr>
          <w:rFonts w:ascii="Arial" w:cs="Arial" w:eastAsia="Arial" w:hAnsi="Arial"/>
          <w:sz w:val="18"/>
          <w:szCs w:val="18"/>
          <w:color w:val="auto"/>
        </w:rPr>
        <w:t>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5" w:lineRule="exact"/>
        <w:rPr>
          <w:sz w:val="20"/>
          <w:szCs w:val="20"/>
          <w:color w:val="auto"/>
        </w:rPr>
      </w:pPr>
    </w:p>
    <w:p>
      <w:pPr>
        <w:ind w:right="20" w:firstLine="644"/>
        <w:spacing w:after="0" w:line="292"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98" w:lineRule="exact"/>
        <w:rPr>
          <w:sz w:val="20"/>
          <w:szCs w:val="20"/>
          <w:color w:val="auto"/>
        </w:rPr>
      </w:pPr>
    </w:p>
    <w:p>
      <w:pPr>
        <w:ind w:right="60" w:firstLine="644"/>
        <w:spacing w:after="0" w:line="275" w:lineRule="auto"/>
        <w:rPr>
          <w:sz w:val="20"/>
          <w:szCs w:val="20"/>
          <w:color w:val="auto"/>
        </w:rPr>
      </w:pPr>
      <w:r>
        <w:rPr>
          <w:rFonts w:ascii="Arial" w:cs="Arial" w:eastAsia="Arial" w:hAnsi="Arial"/>
          <w:sz w:val="18"/>
          <w:szCs w:val="18"/>
          <w:color w:val="auto"/>
        </w:rPr>
        <w:t>From April 1, 2021 through June 30, 2021 we granted under our 2016 Equity Incentive Plan options to purchase an aggregate of 1,308,381 shares of our common stock to a total of 380 employees, consultants and directors, having an exercise price of $12.32 per share. From April 1, 2021 to June 30, 2021, 426,303 of options granted under the 2014 and 2016 Equity Incentive Plans have been exercised at a weighted-average exercise price of approximately $2.07 per share.</w:t>
      </w:r>
    </w:p>
    <w:p>
      <w:pPr>
        <w:spacing w:after="0" w:line="158" w:lineRule="exact"/>
        <w:rPr>
          <w:sz w:val="20"/>
          <w:szCs w:val="20"/>
          <w:color w:val="auto"/>
        </w:rPr>
      </w:pPr>
    </w:p>
    <w:p>
      <w:pPr>
        <w:ind w:right="40" w:firstLine="644"/>
        <w:spacing w:after="0" w:line="309"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98" w:lineRule="exact"/>
        <w:rPr>
          <w:sz w:val="20"/>
          <w:szCs w:val="20"/>
          <w:color w:val="auto"/>
        </w:rPr>
      </w:pPr>
    </w:p>
    <w:p>
      <w:pPr>
        <w:ind w:firstLine="644"/>
        <w:spacing w:after="0" w:line="306" w:lineRule="auto"/>
        <w:rPr>
          <w:sz w:val="20"/>
          <w:szCs w:val="20"/>
          <w:color w:val="auto"/>
        </w:rPr>
      </w:pPr>
      <w:r>
        <w:rPr>
          <w:rFonts w:ascii="Arial" w:cs="Arial" w:eastAsia="Arial" w:hAnsi="Arial"/>
          <w:sz w:val="16"/>
          <w:szCs w:val="16"/>
          <w:color w:val="auto"/>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 We intend to use the net proceeds we received from our IPO for general corporate purposes, including working capital, operating expenses and capital expenditures. We used a portion of the net proceeds to repay our outstanding indebtedness under our Amended Loan and Security Agreement, which would have matured on May 1, 2022 and under which $15.0 million was outstanding at an annual interest rate of 8.7% as of the time it was repaid. The representatives of the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(a)Not applicable.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right="540" w:firstLine="644"/>
        <w:spacing w:after="0" w:line="324" w:lineRule="auto"/>
        <w:rPr>
          <w:sz w:val="20"/>
          <w:szCs w:val="20"/>
          <w:color w:val="auto"/>
        </w:rPr>
      </w:pPr>
      <w:r>
        <w:rPr>
          <w:rFonts w:ascii="Arial" w:cs="Arial" w:eastAsia="Arial" w:hAnsi="Arial"/>
          <w:sz w:val="17"/>
          <w:szCs w:val="17"/>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ectPr>
          <w:pgSz w:w="11900" w:h="16838" w:orient="portrait"/>
          <w:cols w:equalWidth="0" w:num="1">
            <w:col w:w="11200"/>
          </w:cols>
          <w:pgMar w:left="320" w:top="688" w:right="379" w:bottom="1440" w:gutter="0" w:footer="0" w:header="0"/>
        </w:sectPr>
      </w:pP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172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right="466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29845</wp:posOffset>
            </wp:positionV>
            <wp:extent cx="64122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120" w:space="720"/>
            <w:col w:w="5360"/>
          </w:cols>
          <w:pgMar w:left="320" w:top="688" w:right="37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5"/>
          </w:tcPr>
          <w:p>
            <w:pPr>
              <w:spacing w:after="0"/>
              <w:rPr>
                <w:rFonts w:ascii="Arial" w:cs="Arial" w:eastAsia="Arial" w:hAnsi="Arial"/>
                <w:sz w:val="18"/>
                <w:szCs w:val="18"/>
                <w:color w:val="0000FF"/>
                <w:w w:val="94"/>
              </w:rPr>
            </w:pPr>
            <w:hyperlink w:anchor="page67">
              <w:r>
                <w:rPr>
                  <w:rFonts w:ascii="Arial" w:cs="Arial" w:eastAsia="Arial" w:hAnsi="Arial"/>
                  <w:sz w:val="18"/>
                  <w:szCs w:val="18"/>
                  <w:color w:val="0000FF"/>
                  <w:w w:val="94"/>
                </w:rPr>
                <w:t>Certification of Principal Executive Officer Pursuant to Rules 13a-14(a) and 15d-14(a) under the Securities Exchange Act of 1934, as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2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Adopted Pursuant to Section 302 of the Sarbanes-Oxley Act of 2002.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5"/>
          </w:tcPr>
          <w:p>
            <w:pPr>
              <w:spacing w:after="0"/>
              <w:rPr>
                <w:rFonts w:ascii="Arial" w:cs="Arial" w:eastAsia="Arial" w:hAnsi="Arial"/>
                <w:sz w:val="18"/>
                <w:szCs w:val="18"/>
                <w:color w:val="0000FF"/>
                <w:w w:val="95"/>
              </w:rPr>
            </w:pPr>
            <w:hyperlink w:anchor="page68">
              <w:r>
                <w:rPr>
                  <w:rFonts w:ascii="Arial" w:cs="Arial" w:eastAsia="Arial" w:hAnsi="Arial"/>
                  <w:sz w:val="18"/>
                  <w:szCs w:val="18"/>
                  <w:color w:val="0000FF"/>
                  <w:w w:val="95"/>
                </w:rPr>
                <w:t>Certification of Principal Financial Officer Pursuant to Rules 13a-14(a) and 15d-14(a) under the Securities Exchange Act of 1934, as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20" w:type="dxa"/>
            <w:vAlign w:val="bottom"/>
            <w:gridSpan w:val="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Adopted Pursuant to Section 302 of the Sarbanes-Oxley Act of 2002.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gridSpan w:val="5"/>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20" w:type="dxa"/>
            <w:vAlign w:val="bottom"/>
            <w:gridSpan w:val="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Act of 2002.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gridSpan w:val="5"/>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9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20" w:type="dxa"/>
            <w:vAlign w:val="bottom"/>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Act of 2002.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4"/>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160" w:type="dxa"/>
            <w:vAlign w:val="bottom"/>
          </w:tcPr>
          <w:p>
            <w:pPr>
              <w:spacing w:after="0"/>
              <w:rPr>
                <w:sz w:val="20"/>
                <w:szCs w:val="20"/>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right="4260" w:firstLine="21"/>
        <w:spacing w:after="0" w:line="493" w:lineRule="auto"/>
        <w:tabs>
          <w:tab w:leader="none" w:pos="1148"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9512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65" w:name="page66"/>
    <w:bookmarkEnd w:id="65"/>
    <w:p>
      <w:pPr>
        <w:ind w:left="50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539"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XOMETRY, INC.</w:t>
      </w:r>
    </w:p>
    <w:p>
      <w:pPr>
        <w:spacing w:after="0" w:line="212"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06"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Randolph Altschuler, certify that:</w:t>
      </w:r>
    </w:p>
    <w:p>
      <w:pPr>
        <w:spacing w:after="0" w:line="239"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Rallo, certify that:</w:t>
      </w:r>
    </w:p>
    <w:p>
      <w:pPr>
        <w:spacing w:after="0" w:line="239"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7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40" w:firstLine="509"/>
        <w:spacing w:after="0" w:line="279"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Randolph Altschuler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40" w:firstLine="509"/>
        <w:spacing w:after="0" w:line="279"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James Rallo</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2021-08-13T10:06:30Z</dcterms:created>
  <dcterms:modified xsi:type="dcterms:W3CDTF">2021-08-13T10:06:30Z</dcterms:modified>
</cp:coreProperties>
</file>