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6390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39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1.68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139,168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3.65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140,210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12.32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141,252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834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834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1,042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04/27/2030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21,875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12.32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1,042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03/27/2031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34,375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-3087370</wp:posOffset>
            </wp:positionV>
            <wp:extent cx="29210" cy="309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9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quarter (1/4) of the shares vested on January 1, 2020, and thereafter, the remainder of the shares vest in 36 monthly installments, subject to Reporting Person's continuous service.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quarter (1/4) of the shares vested on January 1, 2021, and thereafter, the remainder of the shares vest in 36 monthly installments, subject to the Reporting Person's continuous service.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quarter (1/4) of the shares vested on January 1, 2022, and thereafter, the remainder of the shares vest in 36 monthly installments, subject to the Reporting Person's continuous service.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Kristie Scott,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2022-04-06T15:18:57Z</dcterms:created>
  <dcterms:modified xsi:type="dcterms:W3CDTF">2022-04-06T15:18:57Z</dcterms:modified>
</cp:coreProperties>
</file>