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02/27/2025</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88"/>
              </w:rPr>
              <w:t>26,876</w:t>
            </w:r>
            <w:r>
              <w:rPr>
                <w:rFonts w:ascii="Times New Roman" w:cs="Times New Roman" w:eastAsia="Times New Roman" w:hAnsi="Times New Roman"/>
                <w:sz w:val="22"/>
                <w:szCs w:val="22"/>
                <w:color w:val="008000"/>
                <w:w w:val="88"/>
                <w:vertAlign w:val="superscript"/>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188,869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error in the number of RSUs and the Amount of Securities Beneficially Owned Following Reported Transaction(s) previously reported.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011"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2025-03-13T15:45:23Z</dcterms:created>
  <dcterms:modified xsi:type="dcterms:W3CDTF">2025-03-13T15:45:23Z</dcterms:modified>
</cp:coreProperties>
</file>