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99"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Zuriff Laurence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99"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Chief Strategy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99"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3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Pr>
          <w:p>
            <w:pPr>
              <w:jc w:val="center"/>
              <w:ind w:left="1422"/>
              <w:spacing w:after="0"/>
              <w:rPr>
                <w:sz w:val="20"/>
                <w:szCs w:val="20"/>
                <w:color w:val="auto"/>
              </w:rPr>
            </w:pPr>
            <w:r>
              <w:rPr>
                <w:rFonts w:ascii="Arial" w:cs="Arial" w:eastAsia="Arial" w:hAnsi="Arial"/>
                <w:sz w:val="20"/>
                <w:szCs w:val="20"/>
                <w:color w:val="0000FF"/>
                <w:w w:val="87"/>
              </w:rPr>
              <w:t>2,147,916</w:t>
            </w:r>
          </w:p>
        </w:tc>
        <w:tc>
          <w:tcPr>
            <w:tcW w:w="1020" w:type="dxa"/>
            <w:vAlign w:val="bottom"/>
          </w:tcPr>
          <w:p>
            <w:pPr>
              <w:jc w:val="center"/>
              <w:ind w:left="182"/>
              <w:spacing w:after="0"/>
              <w:rPr>
                <w:sz w:val="20"/>
                <w:szCs w:val="20"/>
                <w:color w:val="auto"/>
              </w:rPr>
            </w:pPr>
            <w:r>
              <w:rPr>
                <w:rFonts w:ascii="Arial" w:cs="Arial" w:eastAsia="Arial" w:hAnsi="Arial"/>
                <w:sz w:val="20"/>
                <w:szCs w:val="20"/>
                <w:color w:val="0000FF"/>
                <w:w w:val="96"/>
              </w:rPr>
              <w:t>D</w:t>
            </w:r>
          </w:p>
        </w:tc>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300,000</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300,000</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300,000</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60" w:type="dxa"/>
            <w:vAlign w:val="bottom"/>
            <w:tcBorders>
              <w:top w:val="single" w:sz="8" w:color="808080"/>
            </w:tcBorders>
            <w:shd w:val="clear" w:color="auto" w:fill="2C2C2C"/>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right"/>
              <w:ind w:right="35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01/29/2028</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14"/>
              <w:spacing w:after="0"/>
              <w:rPr>
                <w:sz w:val="20"/>
                <w:szCs w:val="20"/>
                <w:color w:val="auto"/>
              </w:rPr>
            </w:pPr>
            <w:r>
              <w:rPr>
                <w:rFonts w:ascii="Arial" w:cs="Arial" w:eastAsia="Arial" w:hAnsi="Arial"/>
                <w:sz w:val="20"/>
                <w:szCs w:val="20"/>
                <w:color w:val="0000FF"/>
                <w:w w:val="88"/>
              </w:rPr>
              <w:t>14,584</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1.65</w:t>
            </w:r>
          </w:p>
        </w:tc>
        <w:tc>
          <w:tcPr>
            <w:tcW w:w="94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right"/>
              <w:ind w:right="35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08/07/2029</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34"/>
              <w:spacing w:after="0"/>
              <w:rPr>
                <w:sz w:val="20"/>
                <w:szCs w:val="20"/>
                <w:color w:val="auto"/>
              </w:rPr>
            </w:pPr>
            <w:r>
              <w:rPr>
                <w:rFonts w:ascii="Arial" w:cs="Arial" w:eastAsia="Arial" w:hAnsi="Arial"/>
                <w:sz w:val="20"/>
                <w:szCs w:val="20"/>
                <w:color w:val="0000FF"/>
                <w:w w:val="88"/>
              </w:rPr>
              <w:t>129,360</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3.65</w:t>
            </w:r>
          </w:p>
        </w:tc>
        <w:tc>
          <w:tcPr>
            <w:tcW w:w="94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Seed-1 Preferred Stock</w:t>
            </w:r>
          </w:p>
        </w:tc>
        <w:tc>
          <w:tcPr>
            <w:tcW w:w="98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8"/>
              </w:rPr>
              <w:t>128,102</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Seed-2 Preferred Stock</w:t>
            </w:r>
          </w:p>
        </w:tc>
        <w:tc>
          <w:tcPr>
            <w:tcW w:w="98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43,796</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A-1 Preferred Stock</w:t>
            </w:r>
          </w:p>
        </w:tc>
        <w:tc>
          <w:tcPr>
            <w:tcW w:w="98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29,278</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the Jason Eric Zuriff Trust, over which the Reporting Person may be deemed to exercise voting control.</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the Sophie Anna Zuriff 2020 Trust, over which the Reporting Person may be deemed to exercise voting control.</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the Zuriff Family 2020 Trust, over which the Reporting Person may be deemed to exercise voting control.</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2019,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40" w:right="5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May 2, 2020,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Seed-1 Preferred Stock, Series Seed-2 Preferred Stock, and Series A-1 Preferred Stock is convertible at any time at the option of the holder, without payment of additional consideration, into Common Stock, on a one-for-one basis, has no expiration date and is expected to automatically convert into shares of Class A Common Stock immediately prior to the closing of the Issuer's initial public offering.</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ZFI Capital,LP. The Reporting Person is the General Partner of ZFI Capital, LP.</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7"/>
              </w:rPr>
              <w:t>07/01/2021</w:t>
            </w:r>
          </w:p>
        </w:tc>
        <w:tc>
          <w:tcPr>
            <w:tcW w:w="0" w:type="dxa"/>
            <w:vAlign w:val="bottom"/>
          </w:tcPr>
          <w:p>
            <w:pPr>
              <w:spacing w:after="0"/>
              <w:rPr>
                <w:sz w:val="1"/>
                <w:szCs w:val="1"/>
                <w:color w:val="auto"/>
              </w:rPr>
            </w:pPr>
          </w:p>
        </w:tc>
      </w:tr>
      <w:tr>
        <w:trPr>
          <w:trHeight w:val="105"/>
        </w:trPr>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sectPr>
          <w:pgSz w:w="11900" w:h="16899" w:orient="portrait"/>
          <w:cols w:equalWidth="0" w:num="1">
            <w:col w:w="10940"/>
          </w:cols>
          <w:pgMar w:left="480" w:top="236" w:right="479" w:bottom="0" w:gutter="0" w:footer="0" w:header="0"/>
          <w:type w:val="continuous"/>
        </w:sectPr>
      </w:pPr>
    </w:p>
    <w:p>
      <w:pPr>
        <w:ind w:left="6580"/>
        <w:spacing w:after="0"/>
        <w:tabs>
          <w:tab w:leader="none" w:pos="874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99" w:orient="portrait"/>
          <w:cols w:equalWidth="0" w:num="1">
            <w:col w:w="10940"/>
          </w:cols>
          <w:pgMar w:left="480" w:top="236"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233" w:lineRule="exact"/>
        <w:rPr>
          <w:sz w:val="20"/>
          <w:szCs w:val="20"/>
          <w:color w:val="auto"/>
        </w:rPr>
      </w:pPr>
    </w:p>
    <w:p>
      <w:pPr>
        <w:ind w:right="1899" w:firstLine="702"/>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 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 in the undersigned's capacity as an officer, director or beneficial owner of more than 10% of a registered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class of securities of the Company;</w:t>
      </w:r>
    </w:p>
    <w:p>
      <w:pPr>
        <w:spacing w:after="0" w:line="230" w:lineRule="exact"/>
        <w:rPr>
          <w:rFonts w:ascii="Courier New" w:cs="Courier New" w:eastAsia="Courier New" w:hAnsi="Courier New"/>
          <w:sz w:val="18"/>
          <w:szCs w:val="18"/>
          <w:color w:val="auto"/>
        </w:rPr>
      </w:pPr>
    </w:p>
    <w:p>
      <w:pPr>
        <w:ind w:right="2019" w:firstLine="702"/>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 -in-fact, may be of benefit to, in the best interest of, or legally required of the undersigned, it being understood that the documents executed by the attorney-in-fact on behalf</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the attorney -in-fact may approve in the attorney-in-fact's discretion.</w:t>
      </w:r>
    </w:p>
    <w:p>
      <w:pPr>
        <w:spacing w:after="0" w:line="231" w:lineRule="exact"/>
        <w:rPr>
          <w:sz w:val="20"/>
          <w:szCs w:val="20"/>
          <w:color w:val="auto"/>
        </w:rPr>
      </w:pPr>
    </w:p>
    <w:p>
      <w:pPr>
        <w:ind w:right="2379" w:firstLine="702"/>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 it 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 titu tes, in serving in such capacity at the request of the undersigned, are not assuming (nor is the Company assuming) any of the undersigned's responsib ilit ies to comply with Section 16 of the Exchange Act.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jc w:val="right"/>
              <w:spacing w:after="0"/>
              <w:rPr>
                <w:sz w:val="20"/>
                <w:szCs w:val="20"/>
                <w:color w:val="auto"/>
              </w:rPr>
            </w:pPr>
            <w:r>
              <w:rPr>
                <w:rFonts w:ascii="Courier New" w:cs="Courier New" w:eastAsia="Courier New" w:hAnsi="Courier New"/>
                <w:sz w:val="20"/>
                <w:szCs w:val="20"/>
                <w:color w:val="auto"/>
              </w:rPr>
              <w:t>This Power</w:t>
            </w:r>
          </w:p>
        </w:tc>
        <w:tc>
          <w:tcPr>
            <w:tcW w:w="2920" w:type="dxa"/>
            <w:vAlign w:val="bottom"/>
          </w:tcPr>
          <w:p>
            <w:pPr>
              <w:jc w:val="right"/>
              <w:spacing w:after="0"/>
              <w:rPr>
                <w:sz w:val="20"/>
                <w:szCs w:val="20"/>
                <w:color w:val="auto"/>
              </w:rPr>
            </w:pPr>
            <w:r>
              <w:rPr>
                <w:rFonts w:ascii="Courier New" w:cs="Courier New" w:eastAsia="Courier New" w:hAnsi="Courier New"/>
                <w:sz w:val="20"/>
                <w:szCs w:val="20"/>
                <w:color w:val="auto"/>
                <w:w w:val="98"/>
              </w:rPr>
              <w:t>of Attorney shall remain</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in full force and</w:t>
            </w:r>
          </w:p>
        </w:tc>
      </w:tr>
      <w:tr>
        <w:trPr>
          <w:trHeight w:val="225"/>
        </w:trPr>
        <w:tc>
          <w:tcPr>
            <w:tcW w:w="19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effect until the</w:t>
            </w:r>
          </w:p>
        </w:tc>
        <w:tc>
          <w:tcPr>
            <w:tcW w:w="292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8"/>
              </w:rPr>
              <w:t>earliest to occur of (a)</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486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7"/>
              </w:rPr>
              <w:t>no longer required to file Forms 3, 4 and</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5 with respect to the</w:t>
            </w:r>
          </w:p>
        </w:tc>
      </w:tr>
    </w:tbl>
    <w:p>
      <w:pPr>
        <w:spacing w:after="0" w:line="5" w:lineRule="exact"/>
        <w:rPr>
          <w:sz w:val="20"/>
          <w:szCs w:val="20"/>
          <w:color w:val="auto"/>
        </w:rPr>
      </w:pPr>
    </w:p>
    <w:p>
      <w:pPr>
        <w:jc w:val="both"/>
        <w:ind w:right="2599"/>
        <w:spacing w:after="0" w:line="264" w:lineRule="auto"/>
        <w:rPr>
          <w:sz w:val="20"/>
          <w:szCs w:val="20"/>
          <w:color w:val="auto"/>
        </w:rPr>
      </w:pPr>
      <w:r>
        <w:rPr>
          <w:rFonts w:ascii="Courier New" w:cs="Courier New" w:eastAsia="Courier New" w:hAnsi="Courier New"/>
          <w:sz w:val="18"/>
          <w:szCs w:val="18"/>
          <w:color w:val="auto"/>
        </w:rPr>
        <w:t>undersigned's holdings of and transactions in securities issued by the Company , (b) revocation by the undersi gned in a signed</w:t>
      </w:r>
    </w:p>
    <w:tbl>
      <w:tblPr>
        <w:tblLayout w:type="fixed"/>
        <w:tblInd w:w="0" w:type="dxa"/>
        <w:tblCellMar>
          <w:top w:w="0" w:type="dxa"/>
          <w:left w:w="0" w:type="dxa"/>
          <w:bottom w:w="0" w:type="dxa"/>
          <w:right w:w="0" w:type="dxa"/>
        </w:tblCellMar>
      </w:tblPr>
      <w:tr>
        <w:trPr>
          <w:trHeight w:val="222"/>
        </w:trPr>
        <w:tc>
          <w:tcPr>
            <w:tcW w:w="2860" w:type="dxa"/>
            <w:vAlign w:val="bottom"/>
            <w:gridSpan w:val="2"/>
          </w:tcPr>
          <w:p>
            <w:pPr>
              <w:spacing w:after="0" w:line="222" w:lineRule="exact"/>
              <w:rPr>
                <w:sz w:val="20"/>
                <w:szCs w:val="20"/>
                <w:color w:val="auto"/>
              </w:rPr>
            </w:pPr>
            <w:r>
              <w:rPr>
                <w:rFonts w:ascii="Courier New" w:cs="Courier New" w:eastAsia="Courier New" w:hAnsi="Courier New"/>
                <w:sz w:val="20"/>
                <w:szCs w:val="20"/>
                <w:color w:val="auto"/>
                <w:w w:val="98"/>
              </w:rPr>
              <w:t>writing delivered to the</w:t>
            </w:r>
          </w:p>
        </w:tc>
        <w:tc>
          <w:tcPr>
            <w:tcW w:w="3060" w:type="dxa"/>
            <w:vAlign w:val="bottom"/>
            <w:gridSpan w:val="3"/>
          </w:tcPr>
          <w:p>
            <w:pPr>
              <w:ind w:left="60"/>
              <w:spacing w:after="0" w:line="222" w:lineRule="exact"/>
              <w:rPr>
                <w:sz w:val="20"/>
                <w:szCs w:val="20"/>
                <w:color w:val="auto"/>
              </w:rPr>
            </w:pPr>
            <w:r>
              <w:rPr>
                <w:rFonts w:ascii="Courier New" w:cs="Courier New" w:eastAsia="Courier New" w:hAnsi="Courier New"/>
                <w:sz w:val="20"/>
                <w:szCs w:val="20"/>
                <w:color w:val="auto"/>
                <w:w w:val="99"/>
              </w:rPr>
              <w:t>Company and the foregoing</w:t>
            </w:r>
          </w:p>
        </w:tc>
        <w:tc>
          <w:tcPr>
            <w:tcW w:w="1220" w:type="dxa"/>
            <w:vAlign w:val="bottom"/>
          </w:tcPr>
          <w:p>
            <w:pPr>
              <w:ind w:left="40"/>
              <w:spacing w:after="0" w:line="222" w:lineRule="exact"/>
              <w:rPr>
                <w:sz w:val="20"/>
                <w:szCs w:val="20"/>
                <w:color w:val="auto"/>
              </w:rPr>
            </w:pPr>
            <w:r>
              <w:rPr>
                <w:rFonts w:ascii="Courier New" w:cs="Courier New" w:eastAsia="Courier New" w:hAnsi="Courier New"/>
                <w:sz w:val="20"/>
                <w:szCs w:val="20"/>
                <w:color w:val="auto"/>
                <w:w w:val="96"/>
              </w:rPr>
              <w:t>attorneys-</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in fact or (c) as to any</w:t>
            </w:r>
          </w:p>
        </w:tc>
        <w:tc>
          <w:tcPr>
            <w:tcW w:w="4280" w:type="dxa"/>
            <w:vAlign w:val="bottom"/>
            <w:gridSpan w:val="4"/>
          </w:tcPr>
          <w:p>
            <w:pPr>
              <w:ind w:left="60"/>
              <w:spacing w:after="0" w:line="225" w:lineRule="exact"/>
              <w:rPr>
                <w:sz w:val="20"/>
                <w:szCs w:val="20"/>
                <w:color w:val="auto"/>
              </w:rPr>
            </w:pPr>
            <w:r>
              <w:rPr>
                <w:rFonts w:ascii="Courier New" w:cs="Courier New" w:eastAsia="Courier New" w:hAnsi="Courier New"/>
                <w:sz w:val="20"/>
                <w:szCs w:val="20"/>
                <w:color w:val="auto"/>
                <w:w w:val="97"/>
              </w:rPr>
              <w:t>attorney-in-fact individually, until</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such attorney-in-fact is</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no</w:t>
            </w:r>
          </w:p>
        </w:tc>
        <w:tc>
          <w:tcPr>
            <w:tcW w:w="270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9"/>
              </w:rPr>
              <w:t>longer employed by the</w:t>
            </w:r>
          </w:p>
        </w:tc>
        <w:tc>
          <w:tcPr>
            <w:tcW w:w="1220" w:type="dxa"/>
            <w:vAlign w:val="bottom"/>
          </w:tcPr>
          <w:p>
            <w:pPr>
              <w:ind w:left="40"/>
              <w:spacing w:after="0" w:line="225" w:lineRule="exact"/>
              <w:rPr>
                <w:sz w:val="20"/>
                <w:szCs w:val="20"/>
                <w:color w:val="auto"/>
              </w:rPr>
            </w:pPr>
            <w:r>
              <w:rPr>
                <w:rFonts w:ascii="Courier New" w:cs="Courier New" w:eastAsia="Courier New" w:hAnsi="Courier New"/>
                <w:sz w:val="20"/>
                <w:szCs w:val="20"/>
                <w:color w:val="auto"/>
                <w:w w:val="96"/>
              </w:rPr>
              <w:t>Company or</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employed by or a</w:t>
            </w:r>
          </w:p>
        </w:tc>
        <w:tc>
          <w:tcPr>
            <w:tcW w:w="9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9"/>
              </w:rPr>
              <w:t>partner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at</w:t>
            </w:r>
          </w:p>
        </w:tc>
        <w:tc>
          <w:tcPr>
            <w:tcW w:w="39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Cooley LLP or another law firm</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representing the</w:t>
            </w:r>
          </w:p>
        </w:tc>
        <w:tc>
          <w:tcPr>
            <w:tcW w:w="32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Company, as applicable.</w:t>
            </w:r>
          </w:p>
        </w:tc>
        <w:tc>
          <w:tcPr>
            <w:tcW w:w="760" w:type="dxa"/>
            <w:vAlign w:val="bottom"/>
          </w:tcPr>
          <w:p>
            <w:pPr>
              <w:jc w:val="right"/>
              <w:ind w:right="82"/>
              <w:spacing w:after="0" w:line="225" w:lineRule="exact"/>
              <w:rPr>
                <w:sz w:val="20"/>
                <w:szCs w:val="20"/>
                <w:color w:val="auto"/>
              </w:rPr>
            </w:pPr>
            <w:r>
              <w:rPr>
                <w:rFonts w:ascii="Courier New" w:cs="Courier New" w:eastAsia="Courier New" w:hAnsi="Courier New"/>
                <w:sz w:val="20"/>
                <w:szCs w:val="20"/>
                <w:color w:val="auto"/>
              </w:rPr>
              <w:t>'</w:t>
            </w:r>
          </w:p>
        </w:tc>
        <w:tc>
          <w:tcPr>
            <w:tcW w:w="1220" w:type="dxa"/>
            <w:vAlign w:val="bottom"/>
          </w:tcPr>
          <w:p>
            <w:pPr>
              <w:spacing w:after="0"/>
              <w:rPr>
                <w:sz w:val="19"/>
                <w:szCs w:val="19"/>
                <w:color w:val="auto"/>
              </w:rPr>
            </w:pPr>
          </w:p>
        </w:tc>
      </w:tr>
    </w:tbl>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By: /s/ Laurence Zuriff</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Laurence Zuriff</w:t>
      </w:r>
    </w:p>
    <w:p>
      <w:pPr>
        <w:sectPr>
          <w:pgSz w:w="11900" w:h="16838" w:orient="portrait"/>
          <w:cols w:equalWidth="0" w:num="1">
            <w:col w:w="9979"/>
          </w:cols>
          <w:pgMar w:left="48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0220"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2021-07-01T15:38:56Z</dcterms:created>
  <dcterms:modified xsi:type="dcterms:W3CDTF">2021-07-01T15:38:56Z</dcterms:modified>
</cp:coreProperties>
</file>