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47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470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Miln James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540" w:type="dxa"/>
            <w:vAlign w:val="bottom"/>
            <w:shd w:val="clear" w:color="auto" w:fill="9A9A9A"/>
          </w:tcPr>
          <w:p>
            <w:pPr>
              <w:spacing w:after="0"/>
              <w:rPr>
                <w:sz w:val="3"/>
                <w:szCs w:val="3"/>
                <w:color w:val="auto"/>
              </w:rPr>
            </w:pPr>
          </w:p>
        </w:tc>
        <w:tc>
          <w:tcPr>
            <w:tcW w:w="24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352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52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8"/>
                <w:szCs w:val="18"/>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gridSpan w:val="6"/>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9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5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20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02/24/2026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54,428</w:t>
            </w:r>
            <w:r>
              <w:rPr>
                <w:rFonts w:ascii="Times New Roman" w:cs="Times New Roman" w:eastAsia="Times New Roman" w:hAnsi="Times New Roman"/>
                <w:sz w:val="22"/>
                <w:szCs w:val="22"/>
                <w:color w:val="008000"/>
                <w:w w:val="93"/>
                <w:vertAlign w:val="superscript"/>
              </w:rPr>
              <w:t>(1)</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gridSpan w:val="2"/>
          </w:tcPr>
          <w:p>
            <w:pPr>
              <w:jc w:val="center"/>
              <w:ind w:left="8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188,226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02/26/2026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960</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41.4167</w:t>
            </w:r>
            <w:r>
              <w:rPr>
                <w:rFonts w:ascii="Times New Roman" w:cs="Times New Roman" w:eastAsia="Times New Roman" w:hAnsi="Times New Roman"/>
                <w:sz w:val="22"/>
                <w:szCs w:val="22"/>
                <w:color w:val="008000"/>
                <w:w w:val="95"/>
                <w:vertAlign w:val="superscript"/>
              </w:rPr>
              <w:t>(4)</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187,266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02/26/2026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1,331</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42.6195</w:t>
            </w:r>
            <w:r>
              <w:rPr>
                <w:rFonts w:ascii="Times New Roman" w:cs="Times New Roman" w:eastAsia="Times New Roman" w:hAnsi="Times New Roman"/>
                <w:sz w:val="22"/>
                <w:szCs w:val="22"/>
                <w:color w:val="008000"/>
                <w:w w:val="95"/>
                <w:vertAlign w:val="superscript"/>
              </w:rPr>
              <w:t>(5)</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185,935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02/26/2026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9,429</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43.4722</w:t>
            </w:r>
            <w:r>
              <w:rPr>
                <w:rFonts w:ascii="Times New Roman" w:cs="Times New Roman" w:eastAsia="Times New Roman" w:hAnsi="Times New Roman"/>
                <w:sz w:val="22"/>
                <w:szCs w:val="22"/>
                <w:color w:val="008000"/>
                <w:w w:val="95"/>
                <w:vertAlign w:val="superscript"/>
              </w:rPr>
              <w:t>(6)</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176,506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02/26/2026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3,383</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44.3158</w:t>
            </w:r>
            <w:r>
              <w:rPr>
                <w:rFonts w:ascii="Times New Roman" w:cs="Times New Roman" w:eastAsia="Times New Roman" w:hAnsi="Times New Roman"/>
                <w:sz w:val="22"/>
                <w:szCs w:val="22"/>
                <w:color w:val="008000"/>
                <w:w w:val="95"/>
                <w:vertAlign w:val="superscript"/>
              </w:rPr>
              <w:t>(7)</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173,123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 that were granted in March 2025 subject to performance-based vesting conditions pertaining to 2025 performance, the achievement of which was certified by the Board on February 24, 2026. Of these RSUs, 1/3rd of the shares vested on February 24, 2026, and the remainder of the shares underlying the RSUs will vest in equal installments on each of February 24, 2027 and February 24, 2028, subject to the reporting person's continuous service.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by the reporting person to cover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$40.99 to $41.88,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(4), (5), (6) and (7)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$42.00 to $42.93,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$43.02 to $43.98,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$44.095 to $44.74,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02/26/2026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6790"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2026-02-26T18:21:53Z</dcterms:created>
  <dcterms:modified xsi:type="dcterms:W3CDTF">2026-02-26T18:21:53Z</dcterms:modified>
</cp:coreProperties>
</file>