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Zuriff Laurence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Strategy Officer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1.65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935,286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1.65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01/29/2028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 quarter (1/4) of the shares vested on January 1, 2019, and thereafter, the remainder of the shares vest in 36 monthly installments, subject to the Reporting Person's continuous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Kristie Scott,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22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2022-03-23T16:59:31Z</dcterms:created>
  <dcterms:modified xsi:type="dcterms:W3CDTF">2022-03-23T16:59:31Z</dcterms:modified>
</cp:coreProperties>
</file>