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0002024040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Dutt Subir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4" w:type="dxa"/>
            <w:tcBorders/>
            <w:vAlign w:val="center"/>
          </w:tcPr>
          <w:p>
            <w:pPr>
              <w:pStyle w:val="TableContents"/>
              <w:bidi w:val="0"/>
              <w:spacing w:before="0" w:after="283"/>
              <w:jc w:val="left"/>
              <w:rPr/>
            </w:pPr>
            <w:r>
              <w:rPr/>
              <w:t>3929</w:t>
            </w:r>
          </w:p>
        </w:tc>
        <w:tc>
          <w:tcPr>
            <w:tcW w:w="1393" w:type="dxa"/>
            <w:tcBorders/>
            <w:vAlign w:val="center"/>
          </w:tcPr>
          <w:p>
            <w:pPr>
              <w:pStyle w:val="TableContents"/>
              <w:bidi w:val="0"/>
              <w:spacing w:before="0" w:after="283"/>
              <w:jc w:val="left"/>
              <w:rPr/>
            </w:pPr>
            <w:r>
              <w:rPr/>
              <w:t>257563.94</w:t>
            </w:r>
          </w:p>
        </w:tc>
        <w:tc>
          <w:tcPr>
            <w:tcW w:w="1566" w:type="dxa"/>
            <w:tcBorders/>
            <w:vAlign w:val="center"/>
          </w:tcPr>
          <w:p>
            <w:pPr>
              <w:pStyle w:val="TableContents"/>
              <w:bidi w:val="0"/>
              <w:spacing w:before="0" w:after="283"/>
              <w:jc w:val="left"/>
              <w:rPr/>
            </w:pPr>
            <w:r>
              <w:rPr/>
              <w:t>49772345</w:t>
            </w:r>
          </w:p>
        </w:tc>
        <w:tc>
          <w:tcPr>
            <w:tcW w:w="1575" w:type="dxa"/>
            <w:tcBorders/>
            <w:vAlign w:val="center"/>
          </w:tcPr>
          <w:p>
            <w:pPr>
              <w:pStyle w:val="TableContents"/>
              <w:bidi w:val="0"/>
              <w:spacing w:before="0" w:after="283"/>
              <w:jc w:val="left"/>
              <w:rPr/>
            </w:pPr>
            <w:r>
              <w:rPr/>
              <w:t>01/05/2026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1429</w:t>
            </w:r>
          </w:p>
        </w:tc>
        <w:tc>
          <w:tcPr>
            <w:tcW w:w="1078" w:type="dxa"/>
            <w:tcBorders/>
            <w:vAlign w:val="center"/>
          </w:tcPr>
          <w:p>
            <w:pPr>
              <w:pStyle w:val="TableContents"/>
              <w:bidi w:val="0"/>
              <w:spacing w:before="0" w:after="283"/>
              <w:jc w:val="left"/>
              <w:rPr/>
            </w:pPr>
            <w:r>
              <w:rPr/>
              <w:t>01/01/2026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w:t>
            </w:r>
          </w:p>
        </w:tc>
        <w:tc>
          <w:tcPr>
            <w:tcW w:w="1078" w:type="dxa"/>
            <w:tcBorders/>
            <w:vAlign w:val="center"/>
          </w:tcPr>
          <w:p>
            <w:pPr>
              <w:pStyle w:val="TableContents"/>
              <w:bidi w:val="0"/>
              <w:spacing w:before="0" w:after="283"/>
              <w:jc w:val="left"/>
              <w:rPr/>
            </w:pPr>
            <w:r>
              <w:rPr/>
              <w:t>04/01/2025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Subir Dutt</w:t>
              <w:br/>
              <w:t>6116 Executive Boulevard</w:t>
              <w:br/>
              <w:t>Suite 800</w:t>
              <w:br/>
              <w:t>North Bethesda   MD   20852</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11/17/2025</w:t>
            </w:r>
          </w:p>
        </w:tc>
        <w:tc>
          <w:tcPr>
            <w:tcW w:w="1565" w:type="dxa"/>
            <w:tcBorders/>
            <w:vAlign w:val="center"/>
          </w:tcPr>
          <w:p>
            <w:pPr>
              <w:pStyle w:val="TableContents"/>
              <w:bidi w:val="0"/>
              <w:spacing w:before="0" w:after="283"/>
              <w:jc w:val="left"/>
              <w:rPr/>
            </w:pPr>
            <w:r>
              <w:rPr/>
              <w:t>425</w:t>
            </w:r>
          </w:p>
        </w:tc>
        <w:tc>
          <w:tcPr>
            <w:tcW w:w="1764" w:type="dxa"/>
            <w:tcBorders/>
            <w:vAlign w:val="center"/>
          </w:tcPr>
          <w:p>
            <w:pPr>
              <w:pStyle w:val="TableContents"/>
              <w:bidi w:val="0"/>
              <w:spacing w:before="0" w:after="283"/>
              <w:jc w:val="left"/>
              <w:rPr/>
            </w:pPr>
            <w:r>
              <w:rPr/>
              <w:t>25643.61</w:t>
            </w:r>
          </w:p>
        </w:tc>
      </w:tr>
      <w:tr>
        <w:trPr/>
        <w:tc>
          <w:tcPr>
            <w:tcW w:w="2975" w:type="dxa"/>
            <w:tcBorders/>
            <w:vAlign w:val="center"/>
          </w:tcPr>
          <w:p>
            <w:pPr>
              <w:pStyle w:val="TableContents"/>
              <w:bidi w:val="0"/>
              <w:spacing w:before="0" w:after="283"/>
              <w:jc w:val="left"/>
              <w:rPr/>
            </w:pPr>
            <w:r>
              <w:rPr/>
              <w:t>Subir Dutt</w:t>
              <w:br/>
              <w:t>6116 Executive Boulevard</w:t>
              <w:br/>
              <w:t>Suite 800</w:t>
              <w:br/>
              <w:t>North Bethesda   MD   20852</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11/19/2025</w:t>
            </w:r>
          </w:p>
        </w:tc>
        <w:tc>
          <w:tcPr>
            <w:tcW w:w="1565" w:type="dxa"/>
            <w:tcBorders/>
            <w:vAlign w:val="center"/>
          </w:tcPr>
          <w:p>
            <w:pPr>
              <w:pStyle w:val="TableContents"/>
              <w:bidi w:val="0"/>
              <w:spacing w:before="0" w:after="283"/>
              <w:jc w:val="left"/>
              <w:rPr/>
            </w:pPr>
            <w:r>
              <w:rPr/>
              <w:t>2075</w:t>
            </w:r>
          </w:p>
        </w:tc>
        <w:tc>
          <w:tcPr>
            <w:tcW w:w="1764" w:type="dxa"/>
            <w:tcBorders/>
            <w:vAlign w:val="center"/>
          </w:tcPr>
          <w:p>
            <w:pPr>
              <w:pStyle w:val="TableContents"/>
              <w:bidi w:val="0"/>
              <w:spacing w:before="0" w:after="283"/>
              <w:jc w:val="left"/>
              <w:rPr/>
            </w:pPr>
            <w:r>
              <w:rPr/>
              <w:t>124500.00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01"/>
        <w:gridCol w:w="5004"/>
      </w:tblGrid>
      <w:tr>
        <w:trPr/>
        <w:tc>
          <w:tcPr>
            <w:tcW w:w="5201" w:type="dxa"/>
            <w:tcBorders/>
            <w:vAlign w:val="center"/>
          </w:tcPr>
          <w:p>
            <w:pPr>
              <w:pStyle w:val="TableContents"/>
              <w:bidi w:val="0"/>
              <w:spacing w:before="0" w:after="283"/>
              <w:jc w:val="left"/>
              <w:rPr/>
            </w:pPr>
            <w:r>
              <w:rPr/>
              <w:t>Remarks</w:t>
            </w:r>
          </w:p>
        </w:tc>
        <w:tc>
          <w:tcPr>
            <w:tcW w:w="5004" w:type="dxa"/>
            <w:tcBorders/>
            <w:vAlign w:val="center"/>
          </w:tcPr>
          <w:p>
            <w:pPr>
              <w:pStyle w:val="TableContents"/>
              <w:bidi w:val="0"/>
              <w:spacing w:before="0" w:after="283"/>
              <w:jc w:val="left"/>
              <w:rPr>
                <w:sz w:val="4"/>
                <w:szCs w:val="4"/>
              </w:rPr>
            </w:pPr>
            <w:r>
              <w:rPr>
                <w:sz w:val="4"/>
                <w:szCs w:val="4"/>
              </w:rPr>
            </w:r>
          </w:p>
        </w:tc>
      </w:tr>
      <w:tr>
        <w:trPr/>
        <w:tc>
          <w:tcPr>
            <w:tcW w:w="5201" w:type="dxa"/>
            <w:tcBorders/>
            <w:vAlign w:val="center"/>
          </w:tcPr>
          <w:p>
            <w:pPr>
              <w:pStyle w:val="TableContents"/>
              <w:bidi w:val="0"/>
              <w:spacing w:before="0" w:after="283"/>
              <w:jc w:val="left"/>
              <w:rPr/>
            </w:pPr>
            <w:r>
              <w:rPr/>
              <w:t>Date of Notice</w:t>
            </w:r>
          </w:p>
        </w:tc>
        <w:tc>
          <w:tcPr>
            <w:tcW w:w="5004" w:type="dxa"/>
            <w:tcBorders/>
            <w:vAlign w:val="center"/>
          </w:tcPr>
          <w:p>
            <w:pPr>
              <w:pStyle w:val="TableContents"/>
              <w:bidi w:val="0"/>
              <w:spacing w:before="0" w:after="0"/>
              <w:jc w:val="left"/>
              <w:rPr/>
            </w:pPr>
            <w:r>
              <w:rPr/>
              <w:t>01/05/2026</w:t>
            </w:r>
          </w:p>
        </w:tc>
      </w:tr>
      <w:tr>
        <w:trPr/>
        <w:tc>
          <w:tcPr>
            <w:tcW w:w="5201" w:type="dxa"/>
            <w:tcBorders/>
            <w:vAlign w:val="center"/>
          </w:tcPr>
          <w:p>
            <w:pPr>
              <w:pStyle w:val="TableContents"/>
              <w:bidi w:val="0"/>
              <w:spacing w:before="0" w:after="283"/>
              <w:jc w:val="left"/>
              <w:rPr/>
            </w:pPr>
            <w:r>
              <w:rPr/>
              <w:t>Date of Plan Adoption or Giving of Instruction, If Relying on Rule 10b5-1</w:t>
            </w:r>
          </w:p>
        </w:tc>
        <w:tc>
          <w:tcPr>
            <w:tcW w:w="5004" w:type="dxa"/>
            <w:tcBorders/>
            <w:vAlign w:val="center"/>
          </w:tcPr>
          <w:p>
            <w:pPr>
              <w:pStyle w:val="TableContents"/>
              <w:bidi w:val="0"/>
              <w:spacing w:before="0" w:after="0"/>
              <w:jc w:val="left"/>
              <w:rPr/>
            </w:pPr>
            <w:r>
              <w:rPr/>
              <w:t>08/18/2025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01" w:type="dxa"/>
            <w:tcBorders/>
            <w:vAlign w:val="center"/>
          </w:tcPr>
          <w:p>
            <w:pPr>
              <w:pStyle w:val="TableContents"/>
              <w:bidi w:val="0"/>
              <w:spacing w:before="0" w:after="283"/>
              <w:jc w:val="left"/>
              <w:rPr/>
            </w:pPr>
            <w:r>
              <w:rPr/>
              <w:t>Signature</w:t>
            </w:r>
          </w:p>
        </w:tc>
        <w:tc>
          <w:tcPr>
            <w:tcW w:w="5004" w:type="dxa"/>
            <w:tcBorders/>
            <w:vAlign w:val="center"/>
          </w:tcPr>
          <w:p>
            <w:pPr>
              <w:pStyle w:val="TableContents"/>
              <w:bidi w:val="0"/>
              <w:spacing w:before="0" w:after="0"/>
              <w:jc w:val="left"/>
              <w:rPr/>
            </w:pPr>
            <w:r>
              <w:rPr/>
              <w:t>/s/ UBS Financial Services Inc, as attorney-in-fact for Subir Dutt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3266</Characters>
  <CharactersWithSpaces>3841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