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285750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302895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175260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207010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7" w:lineRule="exact"/>
        <w:rPr>
          <w:sz w:val="24"/>
          <w:szCs w:val="24"/>
          <w:color w:val="auto"/>
        </w:rPr>
      </w:pPr>
    </w:p>
    <w:p>
      <w:pPr>
        <w:ind w:left="3880" w:right="1620" w:hanging="3859"/>
        <w:spacing w:after="0" w:line="322" w:lineRule="auto"/>
        <w:tabs>
          <w:tab w:leader="none" w:pos="47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480" w:hanging="459"/>
        <w:spacing w:after="0" w:line="212" w:lineRule="auto"/>
        <w:tabs>
          <w:tab w:leader="none" w:pos="480" w:val="left"/>
        </w:tabs>
        <w:numPr>
          <w:ilvl w:val="0"/>
          <w:numId w:val="2"/>
        </w:numPr>
        <w:rPr>
          <w:rFonts w:ascii="MS PGothic" w:cs="MS PGothic" w:eastAsia="MS PGothic" w:hAnsi="MS PGothic"/>
          <w:sz w:val="34"/>
          <w:szCs w:val="34"/>
          <w:color w:val="auto"/>
          <w:highlight w:val="black"/>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86"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191135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175895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672" w:right="339" w:bottom="1440" w:gutter="0" w:footer="0" w:header="0"/>
        </w:sectPr>
      </w:pPr>
    </w:p>
    <w:p>
      <w:pPr>
        <w:spacing w:after="0" w:line="200" w:lineRule="exact"/>
        <w:rPr>
          <w:sz w:val="24"/>
          <w:szCs w:val="24"/>
          <w:color w:val="auto"/>
        </w:rPr>
      </w:pPr>
    </w:p>
    <w:p>
      <w:pPr>
        <w:spacing w:after="0" w:line="277"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7"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7"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32-0415449</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38" w:lineRule="exact"/>
        <w:rPr>
          <w:sz w:val="24"/>
          <w:szCs w:val="24"/>
          <w:color w:val="auto"/>
        </w:rPr>
      </w:pPr>
    </w:p>
    <w:p>
      <w:pPr>
        <w:sectPr>
          <w:pgSz w:w="11900" w:h="16838" w:orient="portrait"/>
          <w:cols w:equalWidth="0" w:num="2">
            <w:col w:w="7220" w:space="720"/>
            <w:col w:w="3300"/>
          </w:cols>
          <w:pgMar w:left="320" w:top="672" w:right="339" w:bottom="1440" w:gutter="0" w:footer="0" w:header="0"/>
          <w:type w:val="continuous"/>
        </w:sectPr>
      </w:pPr>
    </w:p>
    <w:tbl>
      <w:tblPr>
        <w:tblLayout w:type="fixed"/>
        <w:tblInd w:w="1780" w:type="dxa"/>
        <w:tblCellMar>
          <w:top w:w="0" w:type="dxa"/>
          <w:left w:w="0" w:type="dxa"/>
          <w:bottom w:w="0" w:type="dxa"/>
          <w:right w:w="0" w:type="dxa"/>
        </w:tblCellMar>
      </w:tblPr>
      <w:tr>
        <w:trPr>
          <w:trHeight w:val="184"/>
        </w:trPr>
        <w:tc>
          <w:tcPr>
            <w:tcW w:w="4220" w:type="dxa"/>
            <w:vAlign w:val="bottom"/>
          </w:tcPr>
          <w:p>
            <w:pPr>
              <w:jc w:val="center"/>
              <w:ind w:right="2104"/>
              <w:spacing w:after="0"/>
              <w:rPr>
                <w:sz w:val="20"/>
                <w:szCs w:val="20"/>
                <w:color w:val="auto"/>
              </w:rPr>
            </w:pPr>
            <w:r>
              <w:rPr>
                <w:rFonts w:ascii="Times New Roman" w:cs="Times New Roman" w:eastAsia="Times New Roman" w:hAnsi="Times New Roman"/>
                <w:sz w:val="16"/>
                <w:szCs w:val="16"/>
                <w:b w:val="1"/>
                <w:bCs w:val="1"/>
                <w:color w:val="auto"/>
                <w:w w:val="99"/>
              </w:rPr>
              <w:t>7529 Standish Place</w:t>
            </w: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220" w:type="dxa"/>
            <w:vAlign w:val="bottom"/>
          </w:tcPr>
          <w:p>
            <w:pPr>
              <w:jc w:val="center"/>
              <w:ind w:right="2104"/>
              <w:spacing w:after="0" w:line="165" w:lineRule="exact"/>
              <w:rPr>
                <w:sz w:val="20"/>
                <w:szCs w:val="20"/>
                <w:color w:val="auto"/>
              </w:rPr>
            </w:pPr>
            <w:r>
              <w:rPr>
                <w:rFonts w:ascii="Times New Roman" w:cs="Times New Roman" w:eastAsia="Times New Roman" w:hAnsi="Times New Roman"/>
                <w:sz w:val="16"/>
                <w:szCs w:val="16"/>
                <w:b w:val="1"/>
                <w:bCs w:val="1"/>
                <w:color w:val="auto"/>
              </w:rPr>
              <w:t>Suite 200</w:t>
            </w:r>
          </w:p>
        </w:tc>
        <w:tc>
          <w:tcPr>
            <w:tcW w:w="2720" w:type="dxa"/>
            <w:vAlign w:val="bottom"/>
            <w:vMerge w:val="restart"/>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20855</w:t>
            </w:r>
          </w:p>
        </w:tc>
        <w:tc>
          <w:tcPr>
            <w:tcW w:w="0" w:type="dxa"/>
            <w:vAlign w:val="bottom"/>
          </w:tcPr>
          <w:p>
            <w:pPr>
              <w:spacing w:after="0"/>
              <w:rPr>
                <w:sz w:val="1"/>
                <w:szCs w:val="1"/>
                <w:color w:val="auto"/>
              </w:rPr>
            </w:pPr>
          </w:p>
        </w:tc>
      </w:tr>
      <w:tr>
        <w:trPr>
          <w:trHeight w:val="196"/>
        </w:trPr>
        <w:tc>
          <w:tcPr>
            <w:tcW w:w="4220" w:type="dxa"/>
            <w:vAlign w:val="bottom"/>
          </w:tcPr>
          <w:p>
            <w:pPr>
              <w:jc w:val="center"/>
              <w:ind w:right="2124"/>
              <w:spacing w:after="0"/>
              <w:rPr>
                <w:sz w:val="20"/>
                <w:szCs w:val="20"/>
                <w:color w:val="auto"/>
              </w:rPr>
            </w:pPr>
            <w:r>
              <w:rPr>
                <w:rFonts w:ascii="Times New Roman" w:cs="Times New Roman" w:eastAsia="Times New Roman" w:hAnsi="Times New Roman"/>
                <w:sz w:val="16"/>
                <w:szCs w:val="16"/>
                <w:b w:val="1"/>
                <w:bCs w:val="1"/>
                <w:color w:val="auto"/>
              </w:rPr>
              <w:t>Derwood, MD</w:t>
            </w:r>
          </w:p>
        </w:tc>
        <w:tc>
          <w:tcPr>
            <w:tcW w:w="2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220" w:type="dxa"/>
            <w:vAlign w:val="bottom"/>
          </w:tcPr>
          <w:p>
            <w:pPr>
              <w:jc w:val="center"/>
              <w:ind w:right="20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20" w:type="dxa"/>
            <w:vAlign w:val="bottom"/>
          </w:tcPr>
          <w:p>
            <w:pPr>
              <w:jc w:val="center"/>
              <w:ind w:left="2068"/>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335-7914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191135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4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XMTR</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right="20" w:firstLine="644"/>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right="60" w:firstLine="644"/>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right="240" w:firstLine="644"/>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8"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5"/>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163" w:lineRule="exact"/>
        <w:rPr>
          <w:sz w:val="24"/>
          <w:szCs w:val="24"/>
          <w:color w:val="auto"/>
        </w:rPr>
      </w:pPr>
    </w:p>
    <w:p>
      <w:pPr>
        <w:ind w:right="460" w:firstLine="644"/>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660"/>
        <w:spacing w:after="0" w:line="184" w:lineRule="exact"/>
        <w:tabs>
          <w:tab w:leader="none" w:pos="8180" w:val="left"/>
          <w:tab w:leader="none" w:pos="87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98" w:lineRule="exact"/>
        <w:rPr>
          <w:sz w:val="24"/>
          <w:szCs w:val="24"/>
          <w:color w:val="auto"/>
        </w:rPr>
      </w:pPr>
    </w:p>
    <w:p>
      <w:pPr>
        <w:ind w:right="20" w:firstLine="644"/>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color w:val="auto"/>
        </w:rPr>
        <w:t>As of August 3, 2022, the registrant had 44,592,744 shares of Class A common stock, $0.000001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2"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2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563C1"/>
              </w:rPr>
              <w:t>FINANCIAL INFORMATION</w:t>
            </w: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60" w:type="dxa"/>
            <w:vAlign w:val="bottom"/>
            <w:gridSpan w:val="2"/>
            <w:vMerge w:val="continue"/>
          </w:tcPr>
          <w:p>
            <w:pPr>
              <w:spacing w:after="0"/>
              <w:rPr>
                <w:sz w:val="13"/>
                <w:szCs w:val="13"/>
                <w:color w:val="auto"/>
              </w:rPr>
            </w:pPr>
          </w:p>
        </w:tc>
        <w:tc>
          <w:tcPr>
            <w:tcW w:w="9420" w:type="dxa"/>
            <w:vAlign w:val="bottom"/>
            <w:gridSpan w:val="19"/>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2240" w:type="dxa"/>
            <w:vAlign w:val="bottom"/>
            <w:tcBorders>
              <w:top w:val="single" w:sz="8" w:color="0563C1"/>
              <w:bottom w:val="single" w:sz="8" w:color="0563C1"/>
            </w:tcBorders>
            <w:gridSpan w:val="8"/>
          </w:tcPr>
          <w:p>
            <w:pPr>
              <w:spacing w:after="0" w:line="182" w:lineRule="exact"/>
              <w:rPr>
                <w:sz w:val="20"/>
                <w:szCs w:val="20"/>
                <w:color w:val="auto"/>
              </w:rPr>
            </w:pPr>
            <w:r>
              <w:rPr>
                <w:rFonts w:ascii="Times New Roman" w:cs="Times New Roman" w:eastAsia="Times New Roman" w:hAnsi="Times New Roman"/>
                <w:sz w:val="18"/>
                <w:szCs w:val="18"/>
                <w:color w:val="0563C1"/>
                <w:w w:val="91"/>
              </w:rPr>
              <w:t>Financial Statements (Unaudited)</w:t>
            </w:r>
          </w:p>
        </w:tc>
        <w:tc>
          <w:tcPr>
            <w:tcW w:w="80" w:type="dxa"/>
            <w:vAlign w:val="bottom"/>
            <w:tcBorders>
              <w:bottom w:val="single" w:sz="8" w:color="0563C1"/>
            </w:tcBorders>
          </w:tcPr>
          <w:p>
            <w:pPr>
              <w:spacing w:after="0"/>
              <w:rPr>
                <w:sz w:val="15"/>
                <w:szCs w:val="15"/>
                <w:color w:val="auto"/>
              </w:rPr>
            </w:pPr>
          </w:p>
        </w:tc>
        <w:tc>
          <w:tcPr>
            <w:tcW w:w="80" w:type="dxa"/>
            <w:vAlign w:val="bottom"/>
            <w:tcBorders>
              <w:bottom w:val="single" w:sz="8" w:color="0563C1"/>
            </w:tcBorders>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563C1"/>
                <w:w w:val="98"/>
              </w:rPr>
              <w:t>Condensed Consolidated Balance</w:t>
            </w:r>
          </w:p>
        </w:tc>
        <w:tc>
          <w:tcPr>
            <w:tcW w:w="7020" w:type="dxa"/>
            <w:vAlign w:val="bottom"/>
            <w:gridSpan w:val="9"/>
          </w:tcPr>
          <w:p>
            <w:pPr>
              <w:ind w:left="60"/>
              <w:spacing w:after="0" w:line="182" w:lineRule="exact"/>
              <w:rPr>
                <w:sz w:val="20"/>
                <w:szCs w:val="20"/>
                <w:color w:val="auto"/>
              </w:rPr>
            </w:pPr>
            <w:r>
              <w:rPr>
                <w:rFonts w:ascii="Times New Roman" w:cs="Times New Roman" w:eastAsia="Times New Roman" w:hAnsi="Times New Roman"/>
                <w:sz w:val="18"/>
                <w:szCs w:val="18"/>
                <w:color w:val="0563C1"/>
              </w:rPr>
              <w:t>Sheets</w:t>
            </w: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20" w:type="dxa"/>
            <w:vAlign w:val="bottom"/>
            <w:tcBorders>
              <w:top w:val="single" w:sz="8" w:color="0563C1"/>
            </w:tcBorders>
            <w:gridSpan w:val="11"/>
          </w:tcPr>
          <w:p>
            <w:pPr>
              <w:spacing w:after="0" w:line="182" w:lineRule="exact"/>
              <w:rPr>
                <w:sz w:val="20"/>
                <w:szCs w:val="20"/>
                <w:color w:val="auto"/>
              </w:rPr>
            </w:pPr>
            <w:r>
              <w:rPr>
                <w:rFonts w:ascii="Times New Roman" w:cs="Times New Roman" w:eastAsia="Times New Roman" w:hAnsi="Times New Roman"/>
                <w:sz w:val="18"/>
                <w:szCs w:val="18"/>
                <w:color w:val="0563C1"/>
              </w:rPr>
              <w:t>Condensed Consolidated Statements of</w:t>
            </w:r>
          </w:p>
        </w:tc>
        <w:tc>
          <w:tcPr>
            <w:tcW w:w="650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563C1"/>
              </w:rPr>
              <w:t>Operations and Comprehensive Loss</w:t>
            </w: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380" w:type="dxa"/>
            <w:vAlign w:val="bottom"/>
            <w:gridSpan w:val="3"/>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line="20" w:lineRule="exact"/>
              <w:rPr>
                <w:sz w:val="1"/>
                <w:szCs w:val="1"/>
                <w:color w:val="auto"/>
              </w:rPr>
            </w:pPr>
          </w:p>
        </w:tc>
      </w:tr>
      <w:tr>
        <w:trPr>
          <w:trHeight w:val="182"/>
        </w:trPr>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2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Changes in Convertible Preferred Stock and Stockholders' Equity (Deficit)</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4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563C1"/>
              </w:rPr>
              <w:t>Condensed Consolidated Statements of Cash Flows</w:t>
            </w:r>
          </w:p>
        </w:tc>
        <w:tc>
          <w:tcPr>
            <w:tcW w:w="118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380" w:type="dxa"/>
            <w:vAlign w:val="bottom"/>
            <w:gridSpan w:val="3"/>
            <w:shd w:val="clear" w:color="auto" w:fill="0563C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74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line="20" w:lineRule="exact"/>
              <w:rPr>
                <w:sz w:val="1"/>
                <w:szCs w:val="1"/>
                <w:color w:val="auto"/>
              </w:rPr>
            </w:pPr>
          </w:p>
        </w:tc>
      </w:tr>
      <w:tr>
        <w:trPr>
          <w:trHeight w:val="182"/>
        </w:trPr>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80" w:type="dxa"/>
            <w:vAlign w:val="bottom"/>
            <w:tcBorders>
              <w:bottom w:val="single" w:sz="8" w:color="0563C1"/>
            </w:tcBorders>
            <w:gridSpan w:val="15"/>
          </w:tcPr>
          <w:p>
            <w:pPr>
              <w:spacing w:after="0" w:line="182" w:lineRule="exact"/>
              <w:rPr>
                <w:sz w:val="20"/>
                <w:szCs w:val="20"/>
                <w:color w:val="auto"/>
              </w:rPr>
            </w:pPr>
            <w:r>
              <w:rPr>
                <w:rFonts w:ascii="Times New Roman" w:cs="Times New Roman" w:eastAsia="Times New Roman" w:hAnsi="Times New Roman"/>
                <w:sz w:val="18"/>
                <w:szCs w:val="18"/>
                <w:color w:val="0563C1"/>
                <w:w w:val="99"/>
              </w:rPr>
              <w:t>Notes to Unaudited Condensed Consolidated Financial Statements</w:t>
            </w:r>
          </w:p>
        </w:tc>
        <w:tc>
          <w:tcPr>
            <w:tcW w:w="4640" w:type="dxa"/>
            <w:vAlign w:val="bottom"/>
            <w:gridSpan w:val="4"/>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563C1"/>
            </w:tcBorders>
            <w:gridSpan w:val="17"/>
          </w:tcPr>
          <w:p>
            <w:pPr>
              <w:spacing w:after="0" w:line="182" w:lineRule="exact"/>
              <w:rPr>
                <w:sz w:val="20"/>
                <w:szCs w:val="20"/>
                <w:color w:val="auto"/>
              </w:rPr>
            </w:pPr>
            <w:r>
              <w:rPr>
                <w:rFonts w:ascii="Times New Roman" w:cs="Times New Roman" w:eastAsia="Times New Roman" w:hAnsi="Times New Roman"/>
                <w:sz w:val="18"/>
                <w:szCs w:val="18"/>
                <w:color w:val="0563C1"/>
              </w:rPr>
              <w:t>Quantitative and Qualitative Disclosures About Market Risk</w:t>
            </w:r>
          </w:p>
        </w:tc>
        <w:tc>
          <w:tcPr>
            <w:tcW w:w="2980" w:type="dxa"/>
            <w:vAlign w:val="bottom"/>
            <w:gridSpan w:val="2"/>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top w:val="single" w:sz="8" w:color="0563C1"/>
              <w:bottom w:val="single" w:sz="8" w:color="0563C1"/>
            </w:tcBorders>
            <w:gridSpan w:val="5"/>
          </w:tcPr>
          <w:p>
            <w:pPr>
              <w:spacing w:after="0" w:line="182" w:lineRule="exact"/>
              <w:rPr>
                <w:sz w:val="20"/>
                <w:szCs w:val="20"/>
                <w:color w:val="auto"/>
              </w:rPr>
            </w:pPr>
            <w:r>
              <w:rPr>
                <w:rFonts w:ascii="Times New Roman" w:cs="Times New Roman" w:eastAsia="Times New Roman" w:hAnsi="Times New Roman"/>
                <w:sz w:val="18"/>
                <w:szCs w:val="18"/>
                <w:color w:val="0563C1"/>
                <w:w w:val="98"/>
              </w:rPr>
              <w:t>Controls and Procedures</w:t>
            </w:r>
          </w:p>
        </w:tc>
        <w:tc>
          <w:tcPr>
            <w:tcW w:w="20" w:type="dxa"/>
            <w:vAlign w:val="bottom"/>
            <w:tcBorders>
              <w:top w:val="single" w:sz="8" w:color="0563C1"/>
              <w:bottom w:val="single" w:sz="8" w:color="0000EE"/>
            </w:tcBorders>
          </w:tcPr>
          <w:p>
            <w:pPr>
              <w:spacing w:after="0"/>
              <w:rPr>
                <w:sz w:val="15"/>
                <w:szCs w:val="15"/>
                <w:color w:val="auto"/>
              </w:rPr>
            </w:pPr>
          </w:p>
        </w:tc>
        <w:tc>
          <w:tcPr>
            <w:tcW w:w="2580" w:type="dxa"/>
            <w:vAlign w:val="bottom"/>
            <w:tcBorders>
              <w:top w:val="single" w:sz="8" w:color="0563C1"/>
            </w:tcBorders>
            <w:gridSpan w:val="8"/>
          </w:tcPr>
          <w:p>
            <w:pPr>
              <w:spacing w:after="0"/>
              <w:rPr>
                <w:sz w:val="15"/>
                <w:szCs w:val="15"/>
                <w:color w:val="auto"/>
              </w:rPr>
            </w:pPr>
          </w:p>
        </w:tc>
        <w:tc>
          <w:tcPr>
            <w:tcW w:w="5060" w:type="dxa"/>
            <w:vAlign w:val="bottom"/>
            <w:gridSpan w:val="5"/>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780" w:type="dxa"/>
            <w:vAlign w:val="bottom"/>
            <w:tcBorders>
              <w:bottom w:val="single" w:sz="8" w:color="0563C1"/>
            </w:tcBorders>
            <w:gridSpan w:val="6"/>
          </w:tcPr>
          <w:p>
            <w:pPr>
              <w:spacing w:after="0" w:line="182" w:lineRule="exact"/>
              <w:rPr>
                <w:sz w:val="20"/>
                <w:szCs w:val="20"/>
                <w:color w:val="auto"/>
              </w:rPr>
            </w:pPr>
            <w:r>
              <w:rPr>
                <w:rFonts w:ascii="Times New Roman" w:cs="Times New Roman" w:eastAsia="Times New Roman" w:hAnsi="Times New Roman"/>
                <w:sz w:val="18"/>
                <w:szCs w:val="18"/>
                <w:color w:val="0563C1"/>
                <w:w w:val="92"/>
              </w:rPr>
              <w:t>OTHER INFORMATION</w:t>
            </w:r>
          </w:p>
        </w:tc>
        <w:tc>
          <w:tcPr>
            <w:tcW w:w="100" w:type="dxa"/>
            <w:vAlign w:val="bottom"/>
            <w:tcBorders>
              <w:bottom w:val="single" w:sz="8" w:color="0563C1"/>
            </w:tcBorders>
          </w:tcPr>
          <w:p>
            <w:pPr>
              <w:spacing w:after="0"/>
              <w:rPr>
                <w:sz w:val="15"/>
                <w:szCs w:val="15"/>
                <w:color w:val="auto"/>
              </w:rPr>
            </w:pPr>
          </w:p>
        </w:tc>
        <w:tc>
          <w:tcPr>
            <w:tcW w:w="440" w:type="dxa"/>
            <w:vAlign w:val="bottom"/>
            <w:gridSpan w:val="2"/>
          </w:tcPr>
          <w:p>
            <w:pPr>
              <w:spacing w:after="0"/>
              <w:rPr>
                <w:sz w:val="15"/>
                <w:szCs w:val="15"/>
                <w:color w:val="auto"/>
              </w:rPr>
            </w:pPr>
          </w:p>
        </w:tc>
        <w:tc>
          <w:tcPr>
            <w:tcW w:w="2020" w:type="dxa"/>
            <w:vAlign w:val="bottom"/>
            <w:gridSpan w:val="4"/>
          </w:tcPr>
          <w:p>
            <w:pPr>
              <w:spacing w:after="0"/>
              <w:rPr>
                <w:sz w:val="15"/>
                <w:szCs w:val="15"/>
                <w:color w:val="auto"/>
              </w:rPr>
            </w:pPr>
          </w:p>
        </w:tc>
        <w:tc>
          <w:tcPr>
            <w:tcW w:w="5080" w:type="dxa"/>
            <w:vAlign w:val="bottom"/>
            <w:gridSpan w:val="6"/>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188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563C1"/>
              </w:rPr>
              <w:t>Legal Proceedings</w:t>
            </w:r>
          </w:p>
        </w:tc>
        <w:tc>
          <w:tcPr>
            <w:tcW w:w="440" w:type="dxa"/>
            <w:vAlign w:val="bottom"/>
            <w:gridSpan w:val="2"/>
          </w:tcPr>
          <w:p>
            <w:pPr>
              <w:spacing w:after="0"/>
              <w:rPr>
                <w:sz w:val="15"/>
                <w:szCs w:val="15"/>
                <w:color w:val="auto"/>
              </w:rPr>
            </w:pPr>
          </w:p>
        </w:tc>
        <w:tc>
          <w:tcPr>
            <w:tcW w:w="2020" w:type="dxa"/>
            <w:vAlign w:val="bottom"/>
            <w:gridSpan w:val="4"/>
          </w:tcPr>
          <w:p>
            <w:pPr>
              <w:spacing w:after="0"/>
              <w:rPr>
                <w:sz w:val="15"/>
                <w:szCs w:val="15"/>
                <w:color w:val="auto"/>
              </w:rPr>
            </w:pPr>
          </w:p>
        </w:tc>
        <w:tc>
          <w:tcPr>
            <w:tcW w:w="5080" w:type="dxa"/>
            <w:vAlign w:val="bottom"/>
            <w:gridSpan w:val="6"/>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563C1"/>
            </w:tcBorders>
            <w:gridSpan w:val="4"/>
          </w:tcPr>
          <w:p>
            <w:pPr>
              <w:spacing w:after="0" w:line="182" w:lineRule="exact"/>
              <w:rPr>
                <w:sz w:val="20"/>
                <w:szCs w:val="20"/>
                <w:color w:val="auto"/>
              </w:rPr>
            </w:pPr>
            <w:r>
              <w:rPr>
                <w:rFonts w:ascii="Times New Roman" w:cs="Times New Roman" w:eastAsia="Times New Roman" w:hAnsi="Times New Roman"/>
                <w:sz w:val="18"/>
                <w:szCs w:val="18"/>
                <w:color w:val="0563C1"/>
              </w:rPr>
              <w:t>Risk Factors</w:t>
            </w:r>
          </w:p>
        </w:tc>
        <w:tc>
          <w:tcPr>
            <w:tcW w:w="1000" w:type="dxa"/>
            <w:vAlign w:val="bottom"/>
            <w:gridSpan w:val="5"/>
          </w:tcPr>
          <w:p>
            <w:pPr>
              <w:spacing w:after="0"/>
              <w:rPr>
                <w:sz w:val="15"/>
                <w:szCs w:val="15"/>
                <w:color w:val="auto"/>
              </w:rPr>
            </w:pPr>
          </w:p>
        </w:tc>
        <w:tc>
          <w:tcPr>
            <w:tcW w:w="2020" w:type="dxa"/>
            <w:vAlign w:val="bottom"/>
            <w:gridSpan w:val="4"/>
          </w:tcPr>
          <w:p>
            <w:pPr>
              <w:spacing w:after="0"/>
              <w:rPr>
                <w:sz w:val="15"/>
                <w:szCs w:val="15"/>
                <w:color w:val="auto"/>
              </w:rPr>
            </w:pPr>
          </w:p>
        </w:tc>
        <w:tc>
          <w:tcPr>
            <w:tcW w:w="5080" w:type="dxa"/>
            <w:vAlign w:val="bottom"/>
            <w:gridSpan w:val="6"/>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00" w:type="dxa"/>
            <w:vAlign w:val="bottom"/>
            <w:tcBorders>
              <w:top w:val="single" w:sz="8" w:color="0563C1"/>
            </w:tcBorders>
            <w:gridSpan w:val="2"/>
          </w:tcPr>
          <w:p>
            <w:pPr>
              <w:spacing w:after="0" w:line="182" w:lineRule="exact"/>
              <w:rPr>
                <w:sz w:val="20"/>
                <w:szCs w:val="20"/>
                <w:color w:val="auto"/>
              </w:rPr>
            </w:pPr>
            <w:r>
              <w:rPr>
                <w:rFonts w:ascii="Times New Roman" w:cs="Times New Roman" w:eastAsia="Times New Roman" w:hAnsi="Times New Roman"/>
                <w:sz w:val="18"/>
                <w:szCs w:val="18"/>
                <w:color w:val="0563C1"/>
                <w:w w:val="94"/>
              </w:rPr>
              <w:t>Unregistered</w:t>
            </w:r>
          </w:p>
        </w:tc>
        <w:tc>
          <w:tcPr>
            <w:tcW w:w="8520" w:type="dxa"/>
            <w:vAlign w:val="bottom"/>
            <w:gridSpan w:val="17"/>
          </w:tcPr>
          <w:p>
            <w:pPr>
              <w:ind w:left="60"/>
              <w:spacing w:after="0" w:line="182" w:lineRule="exact"/>
              <w:rPr>
                <w:sz w:val="20"/>
                <w:szCs w:val="20"/>
                <w:color w:val="auto"/>
              </w:rPr>
            </w:pPr>
            <w:r>
              <w:rPr>
                <w:rFonts w:ascii="Times New Roman" w:cs="Times New Roman" w:eastAsia="Times New Roman" w:hAnsi="Times New Roman"/>
                <w:sz w:val="18"/>
                <w:szCs w:val="18"/>
                <w:color w:val="0563C1"/>
              </w:rPr>
              <w:t>Sales of Equity Securities and Use of Proceeds</w:t>
            </w: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563C1"/>
            </w:tcBorders>
            <w:gridSpan w:val="13"/>
          </w:tcPr>
          <w:p>
            <w:pPr>
              <w:spacing w:after="0" w:line="182" w:lineRule="exact"/>
              <w:rPr>
                <w:sz w:val="20"/>
                <w:szCs w:val="20"/>
                <w:color w:val="auto"/>
              </w:rPr>
            </w:pPr>
            <w:r>
              <w:rPr>
                <w:rFonts w:ascii="Times New Roman" w:cs="Times New Roman" w:eastAsia="Times New Roman" w:hAnsi="Times New Roman"/>
                <w:sz w:val="18"/>
                <w:szCs w:val="18"/>
                <w:color w:val="0563C1"/>
              </w:rPr>
              <w:t>Defaults Upon Senior Securities</w:t>
            </w:r>
          </w:p>
        </w:tc>
        <w:tc>
          <w:tcPr>
            <w:tcW w:w="5080" w:type="dxa"/>
            <w:vAlign w:val="bottom"/>
            <w:gridSpan w:val="6"/>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563C1"/>
            </w:tcBorders>
            <w:gridSpan w:val="9"/>
          </w:tcPr>
          <w:p>
            <w:pPr>
              <w:spacing w:after="0" w:line="182" w:lineRule="exact"/>
              <w:rPr>
                <w:sz w:val="20"/>
                <w:szCs w:val="20"/>
                <w:color w:val="auto"/>
              </w:rPr>
            </w:pPr>
            <w:r>
              <w:rPr>
                <w:rFonts w:ascii="Times New Roman" w:cs="Times New Roman" w:eastAsia="Times New Roman" w:hAnsi="Times New Roman"/>
                <w:sz w:val="18"/>
                <w:szCs w:val="18"/>
                <w:color w:val="0563C1"/>
              </w:rPr>
              <w:t>Mine Safety Disclosures</w:t>
            </w:r>
          </w:p>
        </w:tc>
        <w:tc>
          <w:tcPr>
            <w:tcW w:w="7100" w:type="dxa"/>
            <w:vAlign w:val="bottom"/>
            <w:gridSpan w:val="10"/>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563C1"/>
            </w:tcBorders>
            <w:gridSpan w:val="5"/>
          </w:tcPr>
          <w:p>
            <w:pPr>
              <w:spacing w:after="0" w:line="182" w:lineRule="exact"/>
              <w:rPr>
                <w:sz w:val="20"/>
                <w:szCs w:val="20"/>
                <w:color w:val="auto"/>
              </w:rPr>
            </w:pPr>
            <w:r>
              <w:rPr>
                <w:rFonts w:ascii="Times New Roman" w:cs="Times New Roman" w:eastAsia="Times New Roman" w:hAnsi="Times New Roman"/>
                <w:sz w:val="18"/>
                <w:szCs w:val="18"/>
                <w:color w:val="0563C1"/>
              </w:rPr>
              <w:t>Other Information</w:t>
            </w:r>
          </w:p>
        </w:tc>
        <w:tc>
          <w:tcPr>
            <w:tcW w:w="7660" w:type="dxa"/>
            <w:vAlign w:val="bottom"/>
            <w:gridSpan w:val="14"/>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82"/>
        </w:trPr>
        <w:tc>
          <w:tcPr>
            <w:tcW w:w="10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563C1"/>
            </w:tcBorders>
            <w:gridSpan w:val="3"/>
          </w:tcPr>
          <w:p>
            <w:pPr>
              <w:spacing w:after="0" w:line="182" w:lineRule="exact"/>
              <w:rPr>
                <w:sz w:val="20"/>
                <w:szCs w:val="20"/>
                <w:color w:val="auto"/>
              </w:rPr>
            </w:pPr>
            <w:r>
              <w:rPr>
                <w:rFonts w:ascii="Times New Roman" w:cs="Times New Roman" w:eastAsia="Times New Roman" w:hAnsi="Times New Roman"/>
                <w:sz w:val="18"/>
                <w:szCs w:val="18"/>
                <w:color w:val="0563C1"/>
              </w:rPr>
              <w:t>Exhibits</w:t>
            </w:r>
          </w:p>
        </w:tc>
        <w:tc>
          <w:tcPr>
            <w:tcW w:w="8120" w:type="dxa"/>
            <w:vAlign w:val="bottom"/>
            <w:gridSpan w:val="16"/>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82"/>
        </w:trPr>
        <w:tc>
          <w:tcPr>
            <w:tcW w:w="760" w:type="dxa"/>
            <w:vAlign w:val="bottom"/>
            <w:tcBorders>
              <w:bottom w:val="single" w:sz="8" w:color="0563C1"/>
            </w:tcBorders>
          </w:tcPr>
          <w:p>
            <w:pPr>
              <w:spacing w:after="0" w:line="182" w:lineRule="exact"/>
              <w:rPr>
                <w:sz w:val="20"/>
                <w:szCs w:val="20"/>
                <w:color w:val="auto"/>
              </w:rPr>
            </w:pPr>
            <w:r>
              <w:rPr>
                <w:rFonts w:ascii="Times New Roman" w:cs="Times New Roman" w:eastAsia="Times New Roman" w:hAnsi="Times New Roman"/>
                <w:sz w:val="18"/>
                <w:szCs w:val="18"/>
                <w:color w:val="0563C1"/>
                <w:w w:val="97"/>
              </w:rPr>
              <w:t>Signatures</w:t>
            </w:r>
          </w:p>
        </w:tc>
        <w:tc>
          <w:tcPr>
            <w:tcW w:w="300" w:type="dxa"/>
            <w:vAlign w:val="bottom"/>
          </w:tcPr>
          <w:p>
            <w:pPr>
              <w:spacing w:after="0"/>
              <w:rPr>
                <w:sz w:val="15"/>
                <w:szCs w:val="15"/>
                <w:color w:val="auto"/>
              </w:rPr>
            </w:pPr>
          </w:p>
        </w:tc>
        <w:tc>
          <w:tcPr>
            <w:tcW w:w="600" w:type="dxa"/>
            <w:vAlign w:val="bottom"/>
            <w:tcBorders>
              <w:top w:val="single" w:sz="8" w:color="0563C1"/>
            </w:tcBorders>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1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23" w:lineRule="exact"/>
        <w:rPr>
          <w:sz w:val="20"/>
          <w:szCs w:val="20"/>
          <w:color w:val="auto"/>
        </w:rPr>
      </w:pPr>
    </w:p>
    <w:p>
      <w:pPr>
        <w:ind w:right="200" w:firstLine="644"/>
        <w:spacing w:after="0" w:line="24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71" w:lineRule="exact"/>
        <w:rPr>
          <w:sz w:val="20"/>
          <w:szCs w:val="20"/>
          <w:color w:val="auto"/>
        </w:rPr>
      </w:pPr>
    </w:p>
    <w:p>
      <w:pPr>
        <w:ind w:left="800" w:hanging="226"/>
        <w:spacing w:after="0"/>
        <w:tabs>
          <w:tab w:leader="none" w:pos="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97" w:lineRule="exact"/>
        <w:rPr>
          <w:rFonts w:ascii="Times New Roman" w:cs="Times New Roman" w:eastAsia="Times New Roman" w:hAnsi="Times New Roman"/>
          <w:sz w:val="18"/>
          <w:szCs w:val="18"/>
          <w:color w:val="auto"/>
        </w:rPr>
      </w:pPr>
    </w:p>
    <w:p>
      <w:pPr>
        <w:ind w:left="800" w:right="180" w:hanging="226"/>
        <w:spacing w:after="0" w:line="250" w:lineRule="auto"/>
        <w:tabs>
          <w:tab w:leader="none" w:pos="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growth of our business, including the anticipated growth of revenue from supplier services, our ability to effectively manage or sustain our growth and to achieve or sustain profitability;</w:t>
      </w:r>
    </w:p>
    <w:p>
      <w:pPr>
        <w:spacing w:after="0" w:line="175" w:lineRule="exact"/>
        <w:rPr>
          <w:rFonts w:ascii="Times New Roman" w:cs="Times New Roman" w:eastAsia="Times New Roman" w:hAnsi="Times New Roman"/>
          <w:sz w:val="18"/>
          <w:szCs w:val="18"/>
          <w:color w:val="auto"/>
        </w:rPr>
      </w:pPr>
    </w:p>
    <w:p>
      <w:pPr>
        <w:ind w:left="800" w:right="80" w:hanging="226"/>
        <w:spacing w:after="0" w:line="250" w:lineRule="auto"/>
        <w:tabs>
          <w:tab w:leader="none" w:pos="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effects of the COVID-19 pandemic or other macroeconomic factors and geopolitical tension, such as those associated with Russia's invasion of Ukraine, which may lead to periods of global economic uncertainty;</w:t>
      </w:r>
    </w:p>
    <w:p>
      <w:pPr>
        <w:spacing w:after="0" w:line="162" w:lineRule="exact"/>
        <w:rPr>
          <w:rFonts w:ascii="Times New Roman" w:cs="Times New Roman" w:eastAsia="Times New Roman" w:hAnsi="Times New Roman"/>
          <w:sz w:val="18"/>
          <w:szCs w:val="18"/>
          <w:color w:val="auto"/>
        </w:rPr>
      </w:pPr>
    </w:p>
    <w:p>
      <w:pPr>
        <w:ind w:left="800" w:hanging="239"/>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97" w:lineRule="exact"/>
        <w:rPr>
          <w:rFonts w:ascii="Times New Roman" w:cs="Times New Roman" w:eastAsia="Times New Roman" w:hAnsi="Times New Roman"/>
          <w:sz w:val="18"/>
          <w:szCs w:val="18"/>
          <w:color w:val="auto"/>
        </w:rPr>
      </w:pPr>
    </w:p>
    <w:p>
      <w:pPr>
        <w:ind w:left="800" w:hanging="239"/>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buyers and suppliers and successfully engage new and existing buyers and suppliers;</w:t>
      </w:r>
    </w:p>
    <w:p>
      <w:pPr>
        <w:spacing w:after="0" w:line="211" w:lineRule="exact"/>
        <w:rPr>
          <w:rFonts w:ascii="Times New Roman" w:cs="Times New Roman" w:eastAsia="Times New Roman" w:hAnsi="Times New Roman"/>
          <w:sz w:val="18"/>
          <w:szCs w:val="18"/>
          <w:color w:val="auto"/>
        </w:rPr>
      </w:pPr>
    </w:p>
    <w:p>
      <w:pPr>
        <w:ind w:left="800" w:hanging="226"/>
        <w:spacing w:after="0"/>
        <w:tabs>
          <w:tab w:leader="none" w:pos="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97" w:lineRule="exact"/>
        <w:rPr>
          <w:rFonts w:ascii="Times New Roman" w:cs="Times New Roman" w:eastAsia="Times New Roman" w:hAnsi="Times New Roman"/>
          <w:sz w:val="18"/>
          <w:szCs w:val="18"/>
          <w:color w:val="auto"/>
        </w:rPr>
      </w:pPr>
    </w:p>
    <w:p>
      <w:pPr>
        <w:ind w:left="800" w:hanging="239"/>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97" w:lineRule="exact"/>
        <w:rPr>
          <w:rFonts w:ascii="Times New Roman" w:cs="Times New Roman" w:eastAsia="Times New Roman" w:hAnsi="Times New Roman"/>
          <w:sz w:val="18"/>
          <w:szCs w:val="18"/>
          <w:color w:val="auto"/>
        </w:rPr>
      </w:pPr>
    </w:p>
    <w:p>
      <w:pPr>
        <w:ind w:left="800" w:hanging="226"/>
        <w:spacing w:after="0"/>
        <w:tabs>
          <w:tab w:leader="none" w:pos="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211" w:lineRule="exact"/>
        <w:rPr>
          <w:rFonts w:ascii="Times New Roman" w:cs="Times New Roman" w:eastAsia="Times New Roman" w:hAnsi="Times New Roman"/>
          <w:sz w:val="18"/>
          <w:szCs w:val="18"/>
          <w:color w:val="auto"/>
        </w:rPr>
      </w:pPr>
    </w:p>
    <w:p>
      <w:pPr>
        <w:ind w:left="800" w:hanging="226"/>
        <w:spacing w:after="0"/>
        <w:tabs>
          <w:tab w:leader="none" w:pos="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or other proprietary rights and any costs associated therewith;</w:t>
      </w:r>
    </w:p>
    <w:p>
      <w:pPr>
        <w:spacing w:after="0" w:line="197" w:lineRule="exact"/>
        <w:rPr>
          <w:rFonts w:ascii="Times New Roman" w:cs="Times New Roman" w:eastAsia="Times New Roman" w:hAnsi="Times New Roman"/>
          <w:sz w:val="18"/>
          <w:szCs w:val="18"/>
          <w:color w:val="auto"/>
        </w:rPr>
      </w:pPr>
    </w:p>
    <w:p>
      <w:pPr>
        <w:ind w:left="800" w:hanging="239"/>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 and</w:t>
      </w:r>
    </w:p>
    <w:p>
      <w:pPr>
        <w:spacing w:after="0" w:line="197" w:lineRule="exact"/>
        <w:rPr>
          <w:rFonts w:ascii="Times New Roman" w:cs="Times New Roman" w:eastAsia="Times New Roman" w:hAnsi="Times New Roman"/>
          <w:sz w:val="18"/>
          <w:szCs w:val="18"/>
          <w:color w:val="auto"/>
        </w:rPr>
      </w:pPr>
    </w:p>
    <w:p>
      <w:pPr>
        <w:ind w:left="800" w:hanging="226"/>
        <w:spacing w:after="0"/>
        <w:tabs>
          <w:tab w:leader="none" w:pos="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w:t>
      </w:r>
    </w:p>
    <w:p>
      <w:pPr>
        <w:spacing w:after="0" w:line="117"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7"/>
          <w:szCs w:val="17"/>
          <w:color w:val="auto"/>
        </w:rPr>
        <w:t>You should not rely on forward-looking statements as predictions of future events. We have based the forward-looking statements contained in this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Part II, Item 1A, and elsewhere in this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10-Q. The results, events and circumstances reflected in the forward-looking statements may not be achieved or occur, and actual results, events or circumstances could differ materially from those described in the forward-looking statements.</w:t>
      </w:r>
    </w:p>
    <w:p>
      <w:pPr>
        <w:spacing w:after="0" w:line="63" w:lineRule="exact"/>
        <w:rPr>
          <w:sz w:val="20"/>
          <w:szCs w:val="20"/>
          <w:color w:val="auto"/>
        </w:rPr>
      </w:pPr>
    </w:p>
    <w:p>
      <w:pPr>
        <w:ind w:firstLine="644"/>
        <w:spacing w:after="0" w:line="250"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81" w:lineRule="exact"/>
        <w:rPr>
          <w:sz w:val="20"/>
          <w:szCs w:val="20"/>
          <w:color w:val="auto"/>
        </w:rPr>
      </w:pPr>
    </w:p>
    <w:p>
      <w:pPr>
        <w:ind w:firstLine="644"/>
        <w:spacing w:after="0" w:line="242" w:lineRule="auto"/>
        <w:rPr>
          <w:sz w:val="20"/>
          <w:szCs w:val="20"/>
          <w:color w:val="auto"/>
        </w:rPr>
      </w:pPr>
      <w:r>
        <w:rPr>
          <w:rFonts w:ascii="Times New Roman" w:cs="Times New Roman" w:eastAsia="Times New Roman" w:hAnsi="Times New Roman"/>
          <w:sz w:val="18"/>
          <w:szCs w:val="18"/>
          <w:color w:val="auto"/>
        </w:rPr>
        <w:t>The forward-looking statements made in this Form 10-Q relate only to events as of the date on which the statements are made. We undertake no obligation to update any forward-looking statements made in this Form 10-Q to reflect events or circumstances after the date of this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37"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84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w w:val="95"/>
              </w:rPr>
              <w:t>(unaudited)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w w:val="98"/>
              </w:rPr>
              <w:t>(audited)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46,833</w:t>
            </w:r>
          </w:p>
        </w:tc>
        <w:tc>
          <w:tcPr>
            <w:tcW w:w="10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86,262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Marketable securities</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309,830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receivable, less allowance for doubtful accounts of $1.5 million as of June 30, 2022 and $0.8 million as of December 31, 2021</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43,991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Inventory</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 expenses</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7,724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6,664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current assets</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414,223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163,431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24,029</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Investment in unconsolidated joint venture</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41,147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259,971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757,741</w:t>
            </w:r>
          </w:p>
        </w:tc>
        <w:tc>
          <w:tcPr>
            <w:tcW w:w="10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502,586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14,175</w:t>
            </w:r>
          </w:p>
        </w:tc>
        <w:tc>
          <w:tcPr>
            <w:tcW w:w="10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Contract liabilities</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10,725</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Finance lease liabilities, current portion</w:t>
            </w:r>
          </w:p>
        </w:tc>
        <w:tc>
          <w:tcPr>
            <w:tcW w:w="2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59,780</w:t>
            </w: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57,037</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14,053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Convertible notes</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278,972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Income taxes payable</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356,126</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77,103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13)</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84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Preferred stock, $0.000001 par value. Authorized; 50,000,000 shares; zero shares issued and outstanding as of June 30, 2022 and December</w:t>
            </w:r>
          </w:p>
        </w:tc>
        <w:tc>
          <w:tcPr>
            <w:tcW w:w="200" w:type="dxa"/>
            <w:vAlign w:val="bottom"/>
          </w:tcPr>
          <w:p>
            <w:pPr>
              <w:spacing w:after="0"/>
              <w:rPr>
                <w:sz w:val="12"/>
                <w:szCs w:val="12"/>
                <w:color w:val="auto"/>
              </w:rPr>
            </w:pP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31, 2021, respectively</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4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A Common stock, $0.000001 par value. Authorized; 750,000,000 shares; 44,545,080 shares and 43,998,404 shares issued and</w:t>
            </w:r>
          </w:p>
        </w:tc>
        <w:tc>
          <w:tcPr>
            <w:tcW w:w="20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outstanding as of June 30, 2022 and December 31, 2021, respectively</w:t>
            </w:r>
          </w:p>
        </w:tc>
        <w:tc>
          <w:tcPr>
            <w:tcW w:w="200" w:type="dxa"/>
            <w:vAlign w:val="bottom"/>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4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B Common stock, $0.000001 par value. Authorized; 5,000,000 shares; 2,676,154 shares issued and outstanding as of June 30, 2022</w:t>
            </w:r>
          </w:p>
        </w:tc>
        <w:tc>
          <w:tcPr>
            <w:tcW w:w="200" w:type="dxa"/>
            <w:vAlign w:val="bottom"/>
          </w:tcPr>
          <w:p>
            <w:pPr>
              <w:spacing w:after="0"/>
              <w:rPr>
                <w:sz w:val="12"/>
                <w:szCs w:val="12"/>
                <w:color w:val="auto"/>
              </w:rPr>
            </w:pP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and December 31, 2021, respectively</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610,331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597,641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(209,906 )</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(173,341 )</w:t>
            </w:r>
          </w:p>
        </w:tc>
        <w:tc>
          <w:tcPr>
            <w:tcW w:w="0" w:type="dxa"/>
            <w:vAlign w:val="bottom"/>
          </w:tcPr>
          <w:p>
            <w:pPr>
              <w:spacing w:after="0"/>
              <w:rPr>
                <w:sz w:val="1"/>
                <w:szCs w:val="1"/>
                <w:color w:val="auto"/>
              </w:rPr>
            </w:pPr>
          </w:p>
        </w:tc>
      </w:tr>
      <w:tr>
        <w:trPr>
          <w:trHeight w:val="169"/>
        </w:trPr>
        <w:tc>
          <w:tcPr>
            <w:tcW w:w="84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400,510</w:t>
            </w: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424,449</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2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401,615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425,483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757,741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502,586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6144260</wp:posOffset>
            </wp:positionH>
            <wp:positionV relativeFrom="paragraph">
              <wp:posOffset>-3287395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-3287395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-2362835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-2362835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-1677670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-1677670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-495935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-264795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p>
      <w:pPr>
        <w:ind w:left="40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2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w:t>
      </w:r>
    </w:p>
    <w:p>
      <w:pPr>
        <w:jc w:val="center"/>
        <w:spacing w:after="0" w:line="234" w:lineRule="auto"/>
        <w:rPr>
          <w:sz w:val="20"/>
          <w:szCs w:val="20"/>
          <w:color w:val="auto"/>
        </w:rPr>
      </w:pPr>
      <w:r>
        <w:rPr>
          <w:rFonts w:ascii="Times New Roman" w:cs="Times New Roman" w:eastAsia="Times New Roman" w:hAnsi="Times New Roman"/>
          <w:sz w:val="18"/>
          <w:szCs w:val="18"/>
          <w:color w:val="auto"/>
        </w:rPr>
        <w:t>(Unaudited)</w:t>
      </w: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95,615</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50,589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179,286</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94,510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57,919</w:t>
            </w: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38,714</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108,651</w:t>
            </w: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37,696</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11,875</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70,635</w:t>
            </w:r>
          </w:p>
        </w:tc>
        <w:tc>
          <w:tcPr>
            <w:tcW w:w="2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21,710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37,430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Operations and support</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12,180</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5,489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24,538</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15,085</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15,057</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5,238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28,017</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53,297</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23,676</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105,189</w:t>
            </w:r>
          </w:p>
        </w:tc>
        <w:tc>
          <w:tcPr>
            <w:tcW w:w="2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43,559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320" w:type="dxa"/>
            <w:vAlign w:val="bottom"/>
          </w:tcPr>
          <w:p>
            <w:pPr>
              <w:spacing w:after="0"/>
              <w:rPr>
                <w:sz w:val="18"/>
                <w:szCs w:val="18"/>
                <w:color w:val="auto"/>
              </w:rPr>
            </w:pPr>
          </w:p>
        </w:tc>
        <w:tc>
          <w:tcPr>
            <w:tcW w:w="13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(15,601 )</w:t>
            </w:r>
          </w:p>
        </w:tc>
        <w:tc>
          <w:tcPr>
            <w:tcW w:w="460" w:type="dxa"/>
            <w:vAlign w:val="bottom"/>
          </w:tcPr>
          <w:p>
            <w:pPr>
              <w:spacing w:after="0"/>
              <w:rPr>
                <w:sz w:val="18"/>
                <w:szCs w:val="18"/>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(11,801 )</w:t>
            </w:r>
          </w:p>
        </w:tc>
        <w:tc>
          <w:tcPr>
            <w:tcW w:w="280" w:type="dxa"/>
            <w:vAlign w:val="bottom"/>
          </w:tcPr>
          <w:p>
            <w:pPr>
              <w:spacing w:after="0"/>
              <w:rPr>
                <w:sz w:val="18"/>
                <w:szCs w:val="18"/>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(34,554 )</w:t>
            </w:r>
          </w:p>
        </w:tc>
        <w:tc>
          <w:tcPr>
            <w:tcW w:w="4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(21,849 )</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(expenses) income</w:t>
            </w:r>
          </w:p>
        </w:tc>
        <w:tc>
          <w:tcPr>
            <w:tcW w:w="3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spacing w:after="0"/>
              <w:rPr>
                <w:sz w:val="18"/>
                <w:szCs w:val="18"/>
                <w:color w:val="auto"/>
              </w:rPr>
            </w:pPr>
          </w:p>
        </w:tc>
        <w:tc>
          <w:tcPr>
            <w:tcW w:w="13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(1,209 )</w:t>
            </w:r>
          </w:p>
        </w:tc>
        <w:tc>
          <w:tcPr>
            <w:tcW w:w="460" w:type="dxa"/>
            <w:vAlign w:val="bottom"/>
          </w:tcPr>
          <w:p>
            <w:pPr>
              <w:spacing w:after="0"/>
              <w:rPr>
                <w:sz w:val="18"/>
                <w:szCs w:val="18"/>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(350 )</w:t>
            </w:r>
          </w:p>
        </w:tc>
        <w:tc>
          <w:tcPr>
            <w:tcW w:w="280" w:type="dxa"/>
            <w:vAlign w:val="bottom"/>
          </w:tcPr>
          <w:p>
            <w:pPr>
              <w:spacing w:after="0"/>
              <w:rPr>
                <w:sz w:val="18"/>
                <w:szCs w:val="18"/>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(1,978 )</w:t>
            </w:r>
          </w:p>
        </w:tc>
        <w:tc>
          <w:tcPr>
            <w:tcW w:w="4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(681 )</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and dividend income</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320" w:type="dxa"/>
            <w:vAlign w:val="bottom"/>
          </w:tcPr>
          <w:p>
            <w:pPr>
              <w:spacing w:after="0"/>
              <w:rPr>
                <w:sz w:val="18"/>
                <w:szCs w:val="18"/>
                <w:color w:val="auto"/>
              </w:rPr>
            </w:pPr>
          </w:p>
        </w:tc>
        <w:tc>
          <w:tcPr>
            <w:tcW w:w="13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(482 )</w:t>
            </w:r>
          </w:p>
        </w:tc>
        <w:tc>
          <w:tcPr>
            <w:tcW w:w="460" w:type="dxa"/>
            <w:vAlign w:val="bottom"/>
          </w:tcPr>
          <w:p>
            <w:pPr>
              <w:spacing w:after="0"/>
              <w:rPr>
                <w:sz w:val="18"/>
                <w:szCs w:val="18"/>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(113 )</w:t>
            </w:r>
          </w:p>
        </w:tc>
        <w:tc>
          <w:tcPr>
            <w:tcW w:w="280" w:type="dxa"/>
            <w:vAlign w:val="bottom"/>
          </w:tcPr>
          <w:p>
            <w:pPr>
              <w:spacing w:after="0"/>
              <w:rPr>
                <w:sz w:val="18"/>
                <w:szCs w:val="18"/>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(1,444 )</w:t>
            </w:r>
          </w:p>
        </w:tc>
        <w:tc>
          <w:tcPr>
            <w:tcW w:w="4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(235 )</w:t>
            </w:r>
          </w:p>
        </w:tc>
        <w:tc>
          <w:tcPr>
            <w:tcW w:w="0" w:type="dxa"/>
            <w:vAlign w:val="bottom"/>
          </w:tcPr>
          <w:p>
            <w:pPr>
              <w:spacing w:after="0"/>
              <w:rPr>
                <w:sz w:val="1"/>
                <w:szCs w:val="1"/>
                <w:color w:val="auto"/>
              </w:rPr>
            </w:pPr>
          </w:p>
        </w:tc>
      </w:tr>
      <w:tr>
        <w:trPr>
          <w:trHeight w:val="202"/>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from unconsolidated joint venture</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2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expenses</w:t>
            </w:r>
          </w:p>
        </w:tc>
        <w:tc>
          <w:tcPr>
            <w:tcW w:w="320" w:type="dxa"/>
            <w:vAlign w:val="bottom"/>
          </w:tcPr>
          <w:p>
            <w:pPr>
              <w:spacing w:after="0"/>
              <w:rPr>
                <w:sz w:val="17"/>
                <w:szCs w:val="17"/>
                <w:color w:val="auto"/>
              </w:rPr>
            </w:pPr>
          </w:p>
        </w:tc>
        <w:tc>
          <w:tcPr>
            <w:tcW w:w="13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(948 )</w:t>
            </w:r>
          </w:p>
        </w:tc>
        <w:tc>
          <w:tcPr>
            <w:tcW w:w="460" w:type="dxa"/>
            <w:vAlign w:val="bottom"/>
          </w:tcPr>
          <w:p>
            <w:pPr>
              <w:spacing w:after="0"/>
              <w:rPr>
                <w:sz w:val="17"/>
                <w:szCs w:val="17"/>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(463 )</w:t>
            </w:r>
          </w:p>
        </w:tc>
        <w:tc>
          <w:tcPr>
            <w:tcW w:w="280" w:type="dxa"/>
            <w:vAlign w:val="bottom"/>
          </w:tcPr>
          <w:p>
            <w:pPr>
              <w:spacing w:after="0"/>
              <w:rPr>
                <w:sz w:val="17"/>
                <w:szCs w:val="17"/>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(2,549 )</w:t>
            </w:r>
          </w:p>
        </w:tc>
        <w:tc>
          <w:tcPr>
            <w:tcW w:w="4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(916 )</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(16,549 )</w:t>
            </w:r>
          </w:p>
        </w:tc>
        <w:tc>
          <w:tcPr>
            <w:tcW w:w="4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(12,264 )</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(37,103 )</w:t>
            </w:r>
          </w:p>
        </w:tc>
        <w:tc>
          <w:tcPr>
            <w:tcW w:w="4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(22,765 )</w:t>
            </w:r>
          </w:p>
        </w:tc>
        <w:tc>
          <w:tcPr>
            <w:tcW w:w="0" w:type="dxa"/>
            <w:vAlign w:val="bottom"/>
          </w:tcPr>
          <w:p>
            <w:pPr>
              <w:spacing w:after="0"/>
              <w:rPr>
                <w:sz w:val="1"/>
                <w:szCs w:val="1"/>
                <w:color w:val="auto"/>
              </w:rPr>
            </w:pPr>
          </w:p>
        </w:tc>
      </w:tr>
      <w:tr>
        <w:trPr>
          <w:trHeight w:val="20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 for income taxes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(16,549 )</w:t>
            </w:r>
          </w:p>
        </w:tc>
        <w:tc>
          <w:tcPr>
            <w:tcW w:w="4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(12,264 )</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(36,544 )</w:t>
            </w:r>
          </w:p>
        </w:tc>
        <w:tc>
          <w:tcPr>
            <w:tcW w:w="4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(22,765 )</w:t>
            </w:r>
          </w:p>
        </w:tc>
        <w:tc>
          <w:tcPr>
            <w:tcW w:w="0" w:type="dxa"/>
            <w:vAlign w:val="bottom"/>
          </w:tcPr>
          <w:p>
            <w:pPr>
              <w:spacing w:after="0"/>
              <w:rPr>
                <w:sz w:val="1"/>
                <w:szCs w:val="1"/>
                <w:color w:val="auto"/>
              </w:rPr>
            </w:pPr>
          </w:p>
        </w:tc>
      </w:tr>
      <w:tr>
        <w:trPr>
          <w:trHeight w:val="20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5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Net loss attributable to common stockholders</w:t>
            </w:r>
          </w:p>
        </w:tc>
        <w:tc>
          <w:tcPr>
            <w:tcW w:w="32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(16,553</w:t>
            </w:r>
          </w:p>
        </w:tc>
        <w:tc>
          <w:tcPr>
            <w:tcW w:w="280" w:type="dxa"/>
            <w:vAlign w:val="bottom"/>
            <w:tcBorders>
              <w:bottom w:val="single" w:sz="8" w:color="CFF0FC"/>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(12,264</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(36,565</w:t>
            </w:r>
          </w:p>
        </w:tc>
        <w:tc>
          <w:tcPr>
            <w:tcW w:w="26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(22,765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56"/>
        </w:trPr>
        <w:tc>
          <w:tcPr>
            <w:tcW w:w="52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320" w:type="dxa"/>
            <w:vAlign w:val="bottom"/>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rPr>
              <w:t>(0.35 )</w:t>
            </w:r>
          </w:p>
        </w:tc>
        <w:tc>
          <w:tcPr>
            <w:tcW w:w="460" w:type="dxa"/>
            <w:vAlign w:val="bottom"/>
          </w:tcPr>
          <w:p>
            <w:pPr>
              <w:jc w:val="right"/>
              <w:ind w:right="3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(1.46 )</w:t>
            </w:r>
          </w:p>
        </w:tc>
        <w:tc>
          <w:tcPr>
            <w:tcW w:w="280" w:type="dxa"/>
            <w:vAlign w:val="bottom"/>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(0.78 )</w:t>
            </w:r>
          </w:p>
        </w:tc>
        <w:tc>
          <w:tcPr>
            <w:tcW w:w="460" w:type="dxa"/>
            <w:vAlign w:val="bottom"/>
          </w:tcPr>
          <w:p>
            <w:pPr>
              <w:jc w:val="right"/>
              <w:ind w:right="3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(2.79 )</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26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color w:val="auto"/>
              </w:rPr>
              <w:t>Weighted-average number of shares outstanding used to compute</w:t>
            </w:r>
          </w:p>
        </w:tc>
        <w:tc>
          <w:tcPr>
            <w:tcW w:w="3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47,074,246</w:t>
            </w:r>
          </w:p>
        </w:tc>
        <w:tc>
          <w:tcPr>
            <w:tcW w:w="2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8,390,088</w:t>
            </w: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46,932,702</w:t>
            </w:r>
          </w:p>
        </w:tc>
        <w:tc>
          <w:tcPr>
            <w:tcW w:w="2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8,158,753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260" w:type="dxa"/>
            <w:vAlign w:val="bottom"/>
            <w:tcBorders>
              <w:bottom w:val="single" w:sz="8" w:color="CFF0FC"/>
            </w:tcBorders>
            <w:shd w:val="clear" w:color="auto" w:fill="CFF0FC"/>
          </w:tcPr>
          <w:p>
            <w:pPr>
              <w:ind w:left="120"/>
              <w:spacing w:after="0" w:line="124"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3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vMerge w:val="continue"/>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589"/>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(13 )</w:t>
            </w: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(14 )</w:t>
            </w:r>
          </w:p>
        </w:tc>
        <w:tc>
          <w:tcPr>
            <w:tcW w:w="46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other comprehensive (loss) income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(13 )</w:t>
            </w:r>
          </w:p>
        </w:tc>
        <w:tc>
          <w:tcPr>
            <w:tcW w:w="280" w:type="dxa"/>
            <w:vAlign w:val="bottom"/>
          </w:tcPr>
          <w:p>
            <w:pPr>
              <w:spacing w:after="0"/>
              <w:rPr>
                <w:sz w:val="17"/>
                <w:szCs w:val="17"/>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(14 )</w:t>
            </w: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(16,549 )</w:t>
            </w:r>
          </w:p>
        </w:tc>
        <w:tc>
          <w:tcPr>
            <w:tcW w:w="4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(12,264 )</w:t>
            </w:r>
          </w:p>
        </w:tc>
        <w:tc>
          <w:tcPr>
            <w:tcW w:w="2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(36,544 )</w:t>
            </w:r>
          </w:p>
        </w:tc>
        <w:tc>
          <w:tcPr>
            <w:tcW w:w="4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(22,765 )</w:t>
            </w:r>
          </w:p>
        </w:tc>
        <w:tc>
          <w:tcPr>
            <w:tcW w:w="0" w:type="dxa"/>
            <w:vAlign w:val="bottom"/>
          </w:tcPr>
          <w:p>
            <w:pPr>
              <w:spacing w:after="0"/>
              <w:rPr>
                <w:sz w:val="1"/>
                <w:szCs w:val="1"/>
                <w:color w:val="auto"/>
              </w:rPr>
            </w:pPr>
          </w:p>
        </w:tc>
      </w:tr>
      <w:tr>
        <w:trPr>
          <w:trHeight w:val="20"/>
        </w:trPr>
        <w:tc>
          <w:tcPr>
            <w:tcW w:w="5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20" w:type="dxa"/>
            <w:vAlign w:val="bottom"/>
          </w:tcPr>
          <w:p>
            <w:pPr>
              <w:spacing w:after="0"/>
              <w:rPr>
                <w:sz w:val="18"/>
                <w:szCs w:val="18"/>
                <w:color w:val="auto"/>
              </w:rPr>
            </w:pPr>
          </w:p>
        </w:tc>
        <w:tc>
          <w:tcPr>
            <w:tcW w:w="13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(16,535 )</w:t>
            </w:r>
          </w:p>
        </w:tc>
        <w:tc>
          <w:tcPr>
            <w:tcW w:w="460" w:type="dxa"/>
            <w:vAlign w:val="bottom"/>
          </w:tcPr>
          <w:p>
            <w:pPr>
              <w:spacing w:after="0"/>
              <w:rPr>
                <w:sz w:val="18"/>
                <w:szCs w:val="18"/>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(12,277 )</w:t>
            </w:r>
          </w:p>
        </w:tc>
        <w:tc>
          <w:tcPr>
            <w:tcW w:w="280" w:type="dxa"/>
            <w:vAlign w:val="bottom"/>
          </w:tcPr>
          <w:p>
            <w:pPr>
              <w:spacing w:after="0"/>
              <w:rPr>
                <w:sz w:val="18"/>
                <w:szCs w:val="18"/>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(36,558 )</w:t>
            </w:r>
          </w:p>
        </w:tc>
        <w:tc>
          <w:tcPr>
            <w:tcW w:w="4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(22,748 )</w:t>
            </w:r>
          </w:p>
        </w:tc>
        <w:tc>
          <w:tcPr>
            <w:tcW w:w="0" w:type="dxa"/>
            <w:vAlign w:val="bottom"/>
          </w:tcPr>
          <w:p>
            <w:pPr>
              <w:spacing w:after="0"/>
              <w:rPr>
                <w:sz w:val="1"/>
                <w:szCs w:val="1"/>
                <w:color w:val="auto"/>
              </w:rPr>
            </w:pPr>
          </w:p>
        </w:tc>
      </w:tr>
      <w:tr>
        <w:trPr>
          <w:trHeight w:val="202"/>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noncontrolling interest</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loss attributable to common stockholders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(16,572 )</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(12,277 )</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(36,629 )</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(22,748 )</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4234815</wp:posOffset>
            </wp:positionH>
            <wp:positionV relativeFrom="paragraph">
              <wp:posOffset>-4049395</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-4049395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-4049395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-4049395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-3227705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-3227705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-3227705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-3227705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-2405380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-2405380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-2405380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-2405380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-1600835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-1583690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-1600835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-1583690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-1600835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-1583690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-1600835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-1583690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-1257935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-1240790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-1257935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-1240790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-1257935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-1240790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-1257935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-1240790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-692785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-692785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-692785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-692785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-419100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-419100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-419100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-144780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-144780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-144780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ind w:left="406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Condensed Consolidated Statements of Changes in Convertible Preferred Stock and Stockholders’ Equity (Deficit)</w:t>
      </w:r>
    </w:p>
    <w:p>
      <w:pPr>
        <w:jc w:val="center"/>
        <w:spacing w:after="0" w:line="234" w:lineRule="auto"/>
        <w:rPr>
          <w:sz w:val="20"/>
          <w:szCs w:val="20"/>
          <w:color w:val="auto"/>
        </w:rPr>
      </w:pPr>
      <w:r>
        <w:rPr>
          <w:rFonts w:ascii="Times New Roman" w:cs="Times New Roman" w:eastAsia="Times New Roman" w:hAnsi="Times New Roman"/>
          <w:sz w:val="18"/>
          <w:szCs w:val="18"/>
          <w:color w:val="auto"/>
        </w:rPr>
        <w:t>(Unaudited)</w:t>
      </w:r>
    </w:p>
    <w:p>
      <w:pPr>
        <w:jc w:val="center"/>
        <w:spacing w:after="0"/>
        <w:rPr>
          <w:sz w:val="20"/>
          <w:szCs w:val="20"/>
          <w:color w:val="auto"/>
        </w:rPr>
      </w:pPr>
      <w:r>
        <w:rPr>
          <w:rFonts w:ascii="Times New Roman" w:cs="Times New Roman" w:eastAsia="Times New Roman" w:hAnsi="Times New Roman"/>
          <w:sz w:val="18"/>
          <w:szCs w:val="18"/>
          <w:color w:val="auto"/>
        </w:rPr>
        <w:t>Three months ended June 30, 2022 and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tbl>
      <w:tblPr>
        <w:tblLayout w:type="fixed"/>
        <w:tblInd w:w="0" w:type="dxa"/>
        <w:tblCellMar>
          <w:top w:w="0" w:type="dxa"/>
          <w:left w:w="0" w:type="dxa"/>
          <w:bottom w:w="0" w:type="dxa"/>
          <w:right w:w="0" w:type="dxa"/>
        </w:tblCellMar>
      </w:tblPr>
      <w:tr>
        <w:trPr>
          <w:trHeight w:val="142"/>
        </w:trPr>
        <w:tc>
          <w:tcPr>
            <w:tcW w:w="2020" w:type="dxa"/>
            <w:vAlign w:val="bottom"/>
          </w:tcPr>
          <w:p>
            <w:pPr>
              <w:spacing w:after="0"/>
              <w:rPr>
                <w:sz w:val="12"/>
                <w:szCs w:val="12"/>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Convertible Preferred Stock</w:t>
            </w: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Accumulate</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20" w:type="dxa"/>
            <w:vAlign w:val="bottom"/>
          </w:tcPr>
          <w:p>
            <w:pPr>
              <w:spacing w:after="0"/>
              <w:rPr>
                <w:sz w:val="10"/>
                <w:szCs w:val="10"/>
                <w:color w:val="auto"/>
              </w:rPr>
            </w:pPr>
          </w:p>
        </w:tc>
        <w:tc>
          <w:tcPr>
            <w:tcW w:w="1360" w:type="dxa"/>
            <w:vAlign w:val="bottom"/>
            <w:gridSpan w:val="4"/>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Seed-1, Seed-2, Series A-1,</w:t>
            </w:r>
          </w:p>
        </w:tc>
        <w:tc>
          <w:tcPr>
            <w:tcW w:w="1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w w:val="97"/>
              </w:rPr>
              <w:t>Class A - Common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Class B - Common</w:t>
            </w:r>
          </w:p>
        </w:tc>
        <w:tc>
          <w:tcPr>
            <w:tcW w:w="100" w:type="dxa"/>
            <w:vAlign w:val="bottom"/>
          </w:tcPr>
          <w:p>
            <w:pPr>
              <w:spacing w:after="0"/>
              <w:rPr>
                <w:sz w:val="10"/>
                <w:szCs w:val="10"/>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d Other</w:t>
            </w:r>
          </w:p>
        </w:tc>
        <w:tc>
          <w:tcPr>
            <w:tcW w:w="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Accumul</w:t>
            </w:r>
          </w:p>
        </w:tc>
        <w:tc>
          <w:tcPr>
            <w:tcW w:w="100" w:type="dxa"/>
            <w:vAlign w:val="bottom"/>
          </w:tcPr>
          <w:p>
            <w:pPr>
              <w:spacing w:after="0"/>
              <w:rPr>
                <w:sz w:val="10"/>
                <w:szCs w:val="10"/>
                <w:color w:val="auto"/>
              </w:rPr>
            </w:pPr>
          </w:p>
        </w:tc>
        <w:tc>
          <w:tcPr>
            <w:tcW w:w="660" w:type="dxa"/>
            <w:vAlign w:val="bottom"/>
            <w:gridSpan w:val="2"/>
          </w:tcPr>
          <w:p>
            <w:pPr>
              <w:jc w:val="center"/>
              <w:ind w:right="157"/>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w w:val="99"/>
              </w:rPr>
              <w:t>Noncontroll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20" w:type="dxa"/>
            <w:vAlign w:val="bottom"/>
          </w:tcPr>
          <w:p>
            <w:pPr>
              <w:spacing w:after="0"/>
              <w:rPr>
                <w:sz w:val="9"/>
                <w:szCs w:val="9"/>
                <w:color w:val="auto"/>
              </w:rPr>
            </w:pPr>
          </w:p>
        </w:tc>
        <w:tc>
          <w:tcPr>
            <w:tcW w:w="1360" w:type="dxa"/>
            <w:vAlign w:val="bottom"/>
            <w:gridSpan w:val="4"/>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Series A-2, Series B, Series</w:t>
            </w:r>
          </w:p>
        </w:tc>
        <w:tc>
          <w:tcPr>
            <w:tcW w:w="1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Comprehens</w:t>
            </w:r>
          </w:p>
        </w:tc>
        <w:tc>
          <w:tcPr>
            <w:tcW w:w="580" w:type="dxa"/>
            <w:vAlign w:val="bottom"/>
            <w:gridSpan w:val="3"/>
            <w:vMerge w:val="continue"/>
          </w:tcPr>
          <w:p>
            <w:pPr>
              <w:spacing w:after="0"/>
              <w:rPr>
                <w:sz w:val="9"/>
                <w:szCs w:val="9"/>
                <w:color w:val="auto"/>
              </w:rPr>
            </w:pPr>
          </w:p>
        </w:tc>
        <w:tc>
          <w:tcPr>
            <w:tcW w:w="760" w:type="dxa"/>
            <w:vAlign w:val="bottom"/>
            <w:gridSpan w:val="3"/>
          </w:tcPr>
          <w:p>
            <w:pPr>
              <w:jc w:val="center"/>
              <w:ind w:right="57"/>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5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20" w:type="dxa"/>
            <w:vAlign w:val="bottom"/>
          </w:tcPr>
          <w:p>
            <w:pPr>
              <w:spacing w:after="0"/>
              <w:rPr>
                <w:sz w:val="12"/>
                <w:szCs w:val="12"/>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 Series D, Series E</w:t>
            </w: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gridSpan w:val="2"/>
          </w:tcPr>
          <w:p>
            <w:pPr>
              <w:jc w:val="center"/>
              <w:ind w:right="243"/>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3"/>
          </w:tcPr>
          <w:p>
            <w:pPr>
              <w:jc w:val="center"/>
              <w:ind w:right="278"/>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38"/>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ive</w:t>
            </w:r>
          </w:p>
        </w:tc>
        <w:tc>
          <w:tcPr>
            <w:tcW w:w="80" w:type="dxa"/>
            <w:vAlign w:val="bottom"/>
          </w:tcPr>
          <w:p>
            <w:pPr>
              <w:spacing w:after="0"/>
              <w:rPr>
                <w:sz w:val="12"/>
                <w:szCs w:val="12"/>
                <w:color w:val="auto"/>
              </w:rPr>
            </w:pPr>
          </w:p>
        </w:tc>
        <w:tc>
          <w:tcPr>
            <w:tcW w:w="5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ated</w:t>
            </w:r>
          </w:p>
        </w:tc>
        <w:tc>
          <w:tcPr>
            <w:tcW w:w="100" w:type="dxa"/>
            <w:vAlign w:val="bottom"/>
          </w:tcPr>
          <w:p>
            <w:pPr>
              <w:spacing w:after="0"/>
              <w:rPr>
                <w:sz w:val="12"/>
                <w:szCs w:val="12"/>
                <w:color w:val="auto"/>
              </w:rPr>
            </w:pPr>
          </w:p>
        </w:tc>
        <w:tc>
          <w:tcPr>
            <w:tcW w:w="540" w:type="dxa"/>
            <w:vAlign w:val="bottom"/>
          </w:tcPr>
          <w:p>
            <w:pPr>
              <w:jc w:val="center"/>
              <w:ind w:right="19"/>
              <w:spacing w:after="0"/>
              <w:rPr>
                <w:sz w:val="20"/>
                <w:szCs w:val="20"/>
                <w:color w:val="auto"/>
              </w:rPr>
            </w:pPr>
            <w:r>
              <w:rPr>
                <w:rFonts w:ascii="Times New Roman" w:cs="Times New Roman" w:eastAsia="Times New Roman" w:hAnsi="Times New Roman"/>
                <w:sz w:val="10"/>
                <w:szCs w:val="10"/>
                <w:b w:val="1"/>
                <w:bCs w:val="1"/>
                <w:color w:val="auto"/>
                <w:w w:val="70"/>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rPr>
              <w:t>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38"/>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0"/>
        </w:trPr>
        <w:tc>
          <w:tcPr>
            <w:tcW w:w="2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w w:val="97"/>
              </w:rPr>
              <w:t>Amoun</w:t>
            </w: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center"/>
              <w:ind w:right="260"/>
              <w:spacing w:after="0" w:line="110"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177"/>
              <w:spacing w:after="0" w:line="110" w:lineRule="exact"/>
              <w:rPr>
                <w:sz w:val="20"/>
                <w:szCs w:val="20"/>
                <w:color w:val="auto"/>
              </w:rPr>
            </w:pPr>
            <w:r>
              <w:rPr>
                <w:rFonts w:ascii="Times New Roman" w:cs="Times New Roman" w:eastAsia="Times New Roman" w:hAnsi="Times New Roman"/>
                <w:sz w:val="11"/>
                <w:szCs w:val="11"/>
                <w:b w:val="1"/>
                <w:bCs w:val="1"/>
                <w:color w:val="auto"/>
                <w:w w:val="98"/>
              </w:rPr>
              <w:t>(Deficit)</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center"/>
              <w:ind w:right="158"/>
              <w:spacing w:after="0" w:line="110" w:lineRule="exact"/>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155"/>
        </w:trPr>
        <w:tc>
          <w:tcPr>
            <w:tcW w:w="2020" w:type="dxa"/>
            <w:vAlign w:val="bottom"/>
          </w:tcPr>
          <w:p>
            <w:pPr>
              <w:spacing w:after="0"/>
              <w:rPr>
                <w:sz w:val="13"/>
                <w:szCs w:val="13"/>
                <w:color w:val="auto"/>
              </w:rPr>
            </w:pPr>
          </w:p>
        </w:tc>
        <w:tc>
          <w:tcPr>
            <w:tcW w:w="5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8"/>
                <w:szCs w:val="8"/>
                <w:b w:val="1"/>
                <w:bCs w:val="1"/>
                <w:color w:val="auto"/>
                <w:w w:val="73"/>
              </w:rPr>
              <w:t>t</w:t>
            </w:r>
          </w:p>
        </w:tc>
        <w:tc>
          <w:tcPr>
            <w:tcW w:w="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6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44,24</w:t>
            </w: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2,6</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(193,3</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March 31, 2022</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vMerge w:val="restart"/>
            <w:shd w:val="clear" w:color="auto" w:fill="CFF0FC"/>
          </w:tcPr>
          <w:p>
            <w:pPr>
              <w:jc w:val="center"/>
              <w:ind w:left="38"/>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vMerge w:val="restart"/>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vMerge w:val="continue"/>
            <w:shd w:val="clear" w:color="auto" w:fill="CFF0FC"/>
          </w:tcPr>
          <w:p>
            <w:pPr>
              <w:spacing w:after="0"/>
              <w:rPr>
                <w:sz w:val="10"/>
                <w:szCs w:val="10"/>
                <w:color w:val="auto"/>
              </w:rPr>
            </w:pPr>
          </w:p>
        </w:tc>
        <w:tc>
          <w:tcPr>
            <w:tcW w:w="580" w:type="dxa"/>
            <w:vAlign w:val="bottom"/>
            <w:gridSpan w:val="2"/>
            <w:vMerge w:val="restart"/>
            <w:shd w:val="clear" w:color="auto" w:fill="CFF0FC"/>
          </w:tcPr>
          <w:p>
            <w:pPr>
              <w:jc w:val="center"/>
              <w:ind w:right="20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color w:val="auto"/>
              </w:rPr>
              <w:t>76,</w:t>
            </w:r>
          </w:p>
        </w:tc>
        <w:tc>
          <w:tcPr>
            <w:tcW w:w="200" w:type="dxa"/>
            <w:vAlign w:val="bottom"/>
            <w:gridSpan w:val="2"/>
            <w:vMerge w:val="restart"/>
            <w:shd w:val="clear" w:color="auto" w:fill="CFF0FC"/>
          </w:tcPr>
          <w:p>
            <w:pPr>
              <w:jc w:val="cente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vMerge w:val="restart"/>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$ 602,360</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2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409,111</w:t>
            </w:r>
          </w:p>
        </w:tc>
        <w:tc>
          <w:tcPr>
            <w:tcW w:w="12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410,179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20" w:type="dxa"/>
            <w:vAlign w:val="bottom"/>
            <w:vMerge w:val="continue"/>
            <w:shd w:val="clear" w:color="auto" w:fill="CFF0FC"/>
          </w:tcPr>
          <w:p>
            <w:pPr>
              <w:spacing w:after="0"/>
              <w:rPr>
                <w:sz w:val="15"/>
                <w:szCs w:val="15"/>
                <w:color w:val="auto"/>
              </w:rPr>
            </w:pPr>
          </w:p>
        </w:tc>
        <w:tc>
          <w:tcPr>
            <w:tcW w:w="500" w:type="dxa"/>
            <w:vAlign w:val="bottom"/>
            <w:vMerge w:val="continue"/>
            <w:shd w:val="clear" w:color="auto" w:fill="CFF0FC"/>
          </w:tcPr>
          <w:p>
            <w:pPr>
              <w:spacing w:after="0"/>
              <w:rPr>
                <w:sz w:val="15"/>
                <w:szCs w:val="15"/>
                <w:color w:val="auto"/>
              </w:rPr>
            </w:pPr>
          </w:p>
        </w:tc>
        <w:tc>
          <w:tcPr>
            <w:tcW w:w="240" w:type="dxa"/>
            <w:vAlign w:val="bottom"/>
            <w:gridSpan w:val="2"/>
            <w:vMerge w:val="continue"/>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vMerge w:val="continue"/>
            <w:shd w:val="clear" w:color="auto" w:fill="CFF0FC"/>
          </w:tcPr>
          <w:p>
            <w:pPr>
              <w:spacing w:after="0"/>
              <w:rPr>
                <w:sz w:val="15"/>
                <w:szCs w:val="15"/>
                <w:color w:val="auto"/>
              </w:rPr>
            </w:pPr>
          </w:p>
        </w:tc>
        <w:tc>
          <w:tcPr>
            <w:tcW w:w="340" w:type="dxa"/>
            <w:vAlign w:val="bottom"/>
            <w:gridSpan w:val="2"/>
            <w:vMerge w:val="continue"/>
            <w:shd w:val="clear" w:color="auto" w:fill="CFF0FC"/>
          </w:tcPr>
          <w:p>
            <w:pPr>
              <w:spacing w:after="0"/>
              <w:rPr>
                <w:sz w:val="15"/>
                <w:szCs w:val="15"/>
                <w:color w:val="auto"/>
              </w:rPr>
            </w:pPr>
          </w:p>
        </w:tc>
        <w:tc>
          <w:tcPr>
            <w:tcW w:w="160" w:type="dxa"/>
            <w:vAlign w:val="bottom"/>
            <w:vMerge w:val="continue"/>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4,667</w:t>
            </w:r>
          </w:p>
        </w:tc>
        <w:tc>
          <w:tcPr>
            <w:tcW w:w="580" w:type="dxa"/>
            <w:vAlign w:val="bottom"/>
            <w:gridSpan w:val="2"/>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200" w:type="dxa"/>
            <w:vAlign w:val="bottom"/>
            <w:gridSpan w:val="2"/>
            <w:vMerge w:val="continue"/>
            <w:shd w:val="clear" w:color="auto" w:fill="CFF0FC"/>
          </w:tcPr>
          <w:p>
            <w:pPr>
              <w:spacing w:after="0"/>
              <w:rPr>
                <w:sz w:val="15"/>
                <w:szCs w:val="15"/>
                <w:color w:val="auto"/>
              </w:rPr>
            </w:pPr>
          </w:p>
        </w:tc>
        <w:tc>
          <w:tcPr>
            <w:tcW w:w="460" w:type="dxa"/>
            <w:vAlign w:val="bottom"/>
            <w:vMerge w:val="continue"/>
            <w:shd w:val="clear" w:color="auto" w:fill="CFF0FC"/>
          </w:tcPr>
          <w:p>
            <w:pPr>
              <w:spacing w:after="0"/>
              <w:rPr>
                <w:sz w:val="15"/>
                <w:szCs w:val="15"/>
                <w:color w:val="auto"/>
              </w:rPr>
            </w:pPr>
          </w:p>
        </w:tc>
        <w:tc>
          <w:tcPr>
            <w:tcW w:w="660" w:type="dxa"/>
            <w:vAlign w:val="bottom"/>
            <w:gridSpan w:val="3"/>
            <w:vMerge w:val="continue"/>
            <w:shd w:val="clear" w:color="auto" w:fill="CFF0FC"/>
          </w:tcPr>
          <w:p>
            <w:pPr>
              <w:spacing w:after="0"/>
              <w:rPr>
                <w:sz w:val="15"/>
                <w:szCs w:val="15"/>
                <w:color w:val="auto"/>
              </w:rPr>
            </w:pPr>
          </w:p>
        </w:tc>
        <w:tc>
          <w:tcPr>
            <w:tcW w:w="220" w:type="dxa"/>
            <w:vAlign w:val="bottom"/>
            <w:gridSpan w:val="2"/>
            <w:vMerge w:val="continue"/>
            <w:shd w:val="clear" w:color="auto" w:fill="CFF0FC"/>
          </w:tcPr>
          <w:p>
            <w:pPr>
              <w:spacing w:after="0"/>
              <w:rPr>
                <w:sz w:val="15"/>
                <w:szCs w:val="15"/>
                <w:color w:val="auto"/>
              </w:rPr>
            </w:pPr>
          </w:p>
        </w:tc>
        <w:tc>
          <w:tcPr>
            <w:tcW w:w="52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vMerge w:val="continue"/>
            <w:shd w:val="clear" w:color="auto" w:fill="CFF0FC"/>
          </w:tcPr>
          <w:p>
            <w:pPr>
              <w:spacing w:after="0"/>
              <w:rPr>
                <w:sz w:val="15"/>
                <w:szCs w:val="15"/>
                <w:color w:val="auto"/>
              </w:rPr>
            </w:pP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53 )</w:t>
            </w:r>
          </w:p>
        </w:tc>
        <w:tc>
          <w:tcPr>
            <w:tcW w:w="100" w:type="dxa"/>
            <w:vAlign w:val="bottom"/>
            <w:shd w:val="clear" w:color="auto" w:fill="CFF0FC"/>
          </w:tcPr>
          <w:p>
            <w:pPr>
              <w:spacing w:after="0"/>
              <w:rPr>
                <w:sz w:val="15"/>
                <w:szCs w:val="15"/>
                <w:color w:val="auto"/>
              </w:rPr>
            </w:pPr>
          </w:p>
        </w:tc>
        <w:tc>
          <w:tcPr>
            <w:tcW w:w="5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vMerge w:val="continue"/>
            <w:shd w:val="clear" w:color="auto" w:fill="CFF0FC"/>
          </w:tcPr>
          <w:p>
            <w:pPr>
              <w:spacing w:after="0"/>
              <w:rPr>
                <w:sz w:val="15"/>
                <w:szCs w:val="15"/>
                <w:color w:val="auto"/>
              </w:rPr>
            </w:pPr>
          </w:p>
        </w:tc>
        <w:tc>
          <w:tcPr>
            <w:tcW w:w="50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260,1</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common stock options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gridSpan w:val="2"/>
            <w:shd w:val="clear" w:color="auto" w:fill="CFF0FC"/>
          </w:tcPr>
          <w:p>
            <w:pPr>
              <w:jc w:val="right"/>
              <w:spacing w:after="0" w:line="125" w:lineRule="exact"/>
              <w:rPr>
                <w:sz w:val="20"/>
                <w:szCs w:val="20"/>
                <w:color w:val="auto"/>
              </w:rPr>
            </w:pPr>
            <w:r>
              <w:rPr>
                <w:rFonts w:ascii="Times New Roman" w:cs="Times New Roman" w:eastAsia="Times New Roman" w:hAnsi="Times New Roman"/>
                <w:sz w:val="13"/>
                <w:szCs w:val="13"/>
                <w:color w:val="auto"/>
              </w:rPr>
              <w:t>40,26</w:t>
            </w: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Donated common stock</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based compensation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Comprehensive loss</w:t>
            </w: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(19 )</w:t>
            </w:r>
          </w:p>
        </w:tc>
        <w:tc>
          <w:tcPr>
            <w:tcW w:w="8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(16,55</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(16,553 )</w:t>
            </w:r>
          </w:p>
        </w:tc>
        <w:tc>
          <w:tcPr>
            <w:tcW w:w="8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gridSpan w:val="2"/>
            <w:vMerge w:val="restart"/>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(16,549 )</w:t>
            </w:r>
          </w:p>
        </w:tc>
        <w:tc>
          <w:tcPr>
            <w:tcW w:w="0" w:type="dxa"/>
            <w:vAlign w:val="bottom"/>
          </w:tcPr>
          <w:p>
            <w:pPr>
              <w:spacing w:after="0"/>
              <w:rPr>
                <w:sz w:val="1"/>
                <w:szCs w:val="1"/>
                <w:color w:val="auto"/>
              </w:rPr>
            </w:pPr>
          </w:p>
        </w:tc>
      </w:tr>
      <w:tr>
        <w:trPr>
          <w:trHeight w:val="165"/>
        </w:trPr>
        <w:tc>
          <w:tcPr>
            <w:tcW w:w="2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3 )</w:t>
            </w:r>
          </w:p>
        </w:tc>
        <w:tc>
          <w:tcPr>
            <w:tcW w:w="10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2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comprehensive loss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(16,572 )</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(16,535 )</w:t>
            </w:r>
          </w:p>
        </w:tc>
        <w:tc>
          <w:tcPr>
            <w:tcW w:w="0" w:type="dxa"/>
            <w:vAlign w:val="bottom"/>
          </w:tcPr>
          <w:p>
            <w:pPr>
              <w:spacing w:after="0"/>
              <w:rPr>
                <w:sz w:val="1"/>
                <w:szCs w:val="1"/>
                <w:color w:val="auto"/>
              </w:rPr>
            </w:pPr>
          </w:p>
        </w:tc>
      </w:tr>
      <w:tr>
        <w:trPr>
          <w:trHeight w:val="110"/>
        </w:trPr>
        <w:tc>
          <w:tcPr>
            <w:tcW w:w="2020" w:type="dxa"/>
            <w:vAlign w:val="bottom"/>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120" w:type="dxa"/>
            <w:vAlign w:val="bottom"/>
            <w:vMerge w:val="restart"/>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44,54</w:t>
            </w:r>
          </w:p>
        </w:tc>
        <w:tc>
          <w:tcPr>
            <w:tcW w:w="120" w:type="dxa"/>
            <w:vAlign w:val="bottom"/>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2,6</w:t>
            </w:r>
          </w:p>
        </w:tc>
        <w:tc>
          <w:tcPr>
            <w:tcW w:w="1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(209,9</w:t>
            </w:r>
          </w:p>
        </w:tc>
        <w:tc>
          <w:tcPr>
            <w:tcW w:w="1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vMerge w:val="continue"/>
            <w:shd w:val="clear" w:color="auto" w:fill="CFF0FC"/>
          </w:tcPr>
          <w:p>
            <w:pPr>
              <w:spacing w:after="0"/>
              <w:rPr>
                <w:sz w:val="10"/>
                <w:szCs w:val="10"/>
                <w:color w:val="auto"/>
              </w:rPr>
            </w:pPr>
          </w:p>
        </w:tc>
        <w:tc>
          <w:tcPr>
            <w:tcW w:w="4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color w:val="auto"/>
              </w:rPr>
              <w:t>76,</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June 30, 2022</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jc w:val="center"/>
              <w:ind w:left="38"/>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5,080</w:t>
            </w:r>
          </w:p>
        </w:tc>
        <w:tc>
          <w:tcPr>
            <w:tcW w:w="580" w:type="dxa"/>
            <w:vAlign w:val="bottom"/>
            <w:gridSpan w:val="2"/>
            <w:shd w:val="clear" w:color="auto" w:fill="CFF0FC"/>
          </w:tcPr>
          <w:p>
            <w:pPr>
              <w:jc w:val="center"/>
              <w:ind w:right="20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200" w:type="dxa"/>
            <w:vAlign w:val="bottom"/>
            <w:gridSpan w:val="2"/>
            <w:shd w:val="clear" w:color="auto" w:fill="CFF0FC"/>
          </w:tcPr>
          <w:p>
            <w:pPr>
              <w:jc w:val="cente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$ 610,331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06 ) $</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400,510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401,615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20" w:type="dxa"/>
            <w:vAlign w:val="bottom"/>
            <w:tcBorders>
              <w:top w:val="single" w:sz="8" w:color="CFF0FC"/>
            </w:tcBorders>
          </w:tcPr>
          <w:p>
            <w:pPr>
              <w:spacing w:after="0"/>
              <w:rPr>
                <w:sz w:val="12"/>
                <w:szCs w:val="12"/>
                <w:color w:val="auto"/>
              </w:rPr>
            </w:pP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27,758</w:t>
            </w: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vMerge w:val="restart"/>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8,239,49</w:t>
            </w:r>
          </w:p>
        </w:tc>
        <w:tc>
          <w:tcPr>
            <w:tcW w:w="12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(122,4</w:t>
            </w: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March 31, 2021</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w:t>
            </w:r>
          </w:p>
        </w:tc>
        <w:tc>
          <w:tcPr>
            <w:tcW w:w="240" w:type="dxa"/>
            <w:vAlign w:val="bottom"/>
            <w:gridSpan w:val="2"/>
          </w:tcPr>
          <w:p>
            <w:pPr>
              <w:jc w:val="center"/>
              <w:ind w:left="38"/>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160,713</w:t>
            </w: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center"/>
              <w:ind w:right="20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cente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63 )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(120,369 ) $</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w w:val="99"/>
              </w:rPr>
              <w:t>(120,369 )</w:t>
            </w:r>
          </w:p>
        </w:tc>
        <w:tc>
          <w:tcPr>
            <w:tcW w:w="0" w:type="dxa"/>
            <w:vAlign w:val="bottom"/>
          </w:tcPr>
          <w:p>
            <w:pPr>
              <w:spacing w:after="0"/>
              <w:rPr>
                <w:sz w:val="1"/>
                <w:szCs w:val="1"/>
                <w:color w:val="auto"/>
              </w:rPr>
            </w:pPr>
          </w:p>
        </w:tc>
      </w:tr>
      <w:tr>
        <w:trPr>
          <w:trHeight w:val="170"/>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common stock options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426,303</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based compensation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Comprehensive loss</w:t>
            </w: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(13 )</w:t>
            </w:r>
          </w:p>
        </w:tc>
        <w:tc>
          <w:tcPr>
            <w:tcW w:w="8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(13 )</w:t>
            </w:r>
          </w:p>
        </w:tc>
        <w:tc>
          <w:tcPr>
            <w:tcW w:w="0" w:type="dxa"/>
            <w:vAlign w:val="bottom"/>
          </w:tcPr>
          <w:p>
            <w:pPr>
              <w:spacing w:after="0"/>
              <w:rPr>
                <w:sz w:val="1"/>
                <w:szCs w:val="1"/>
                <w:color w:val="auto"/>
              </w:rPr>
            </w:pPr>
          </w:p>
        </w:tc>
      </w:tr>
      <w:tr>
        <w:trPr>
          <w:trHeight w:val="117"/>
        </w:trPr>
        <w:tc>
          <w:tcPr>
            <w:tcW w:w="20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(12,26</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(12,264 )</w:t>
            </w:r>
          </w:p>
        </w:tc>
        <w:tc>
          <w:tcPr>
            <w:tcW w:w="8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gridSpan w:val="2"/>
            <w:vMerge w:val="restart"/>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(12,264 )</w:t>
            </w:r>
          </w:p>
        </w:tc>
        <w:tc>
          <w:tcPr>
            <w:tcW w:w="0" w:type="dxa"/>
            <w:vAlign w:val="bottom"/>
          </w:tcPr>
          <w:p>
            <w:pPr>
              <w:spacing w:after="0"/>
              <w:rPr>
                <w:sz w:val="1"/>
                <w:szCs w:val="1"/>
                <w:color w:val="auto"/>
              </w:rPr>
            </w:pPr>
          </w:p>
        </w:tc>
      </w:tr>
      <w:tr>
        <w:trPr>
          <w:trHeight w:val="165"/>
        </w:trPr>
        <w:tc>
          <w:tcPr>
            <w:tcW w:w="2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4 )</w:t>
            </w:r>
          </w:p>
        </w:tc>
        <w:tc>
          <w:tcPr>
            <w:tcW w:w="100" w:type="dxa"/>
            <w:vAlign w:val="bottom"/>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2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comprehensive loss</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(12,277 )</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(12,277 )</w:t>
            </w:r>
          </w:p>
        </w:tc>
        <w:tc>
          <w:tcPr>
            <w:tcW w:w="0" w:type="dxa"/>
            <w:vAlign w:val="bottom"/>
          </w:tcPr>
          <w:p>
            <w:pPr>
              <w:spacing w:after="0"/>
              <w:rPr>
                <w:sz w:val="1"/>
                <w:szCs w:val="1"/>
                <w:color w:val="auto"/>
              </w:rPr>
            </w:pPr>
          </w:p>
        </w:tc>
      </w:tr>
      <w:tr>
        <w:trPr>
          <w:trHeight w:val="110"/>
        </w:trPr>
        <w:tc>
          <w:tcPr>
            <w:tcW w:w="2020" w:type="dxa"/>
            <w:vAlign w:val="bottom"/>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27,758</w:t>
            </w:r>
          </w:p>
        </w:tc>
        <w:tc>
          <w:tcPr>
            <w:tcW w:w="1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8,665,79</w:t>
            </w:r>
          </w:p>
        </w:tc>
        <w:tc>
          <w:tcPr>
            <w:tcW w:w="120" w:type="dxa"/>
            <w:vAlign w:val="bottom"/>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(134,7</w:t>
            </w:r>
          </w:p>
        </w:tc>
        <w:tc>
          <w:tcPr>
            <w:tcW w:w="1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June 30, 2021</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160,713</w:t>
            </w:r>
          </w:p>
        </w:tc>
        <w:tc>
          <w:tcPr>
            <w:tcW w:w="120" w:type="dxa"/>
            <w:vAlign w:val="bottom"/>
            <w:shd w:val="clear" w:color="auto" w:fill="CFF0FC"/>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jc w:val="center"/>
              <w:ind w:right="32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4,315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27 ) $</w:t>
            </w: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(130,185 ) $</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w w:val="99"/>
              </w:rPr>
              <w:t>(130,185 )</w:t>
            </w:r>
          </w:p>
        </w:tc>
        <w:tc>
          <w:tcPr>
            <w:tcW w:w="0" w:type="dxa"/>
            <w:vAlign w:val="bottom"/>
          </w:tcPr>
          <w:p>
            <w:pPr>
              <w:spacing w:after="0"/>
              <w:rPr>
                <w:sz w:val="1"/>
                <w:szCs w:val="1"/>
                <w:color w:val="auto"/>
              </w:rPr>
            </w:pPr>
          </w:p>
        </w:tc>
      </w:tr>
      <w:tr>
        <w:trPr>
          <w:trHeight w:val="20"/>
        </w:trPr>
        <w:tc>
          <w:tcPr>
            <w:tcW w:w="20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16"/>
          </w:tcPr>
          <w:p>
            <w:pPr>
              <w:jc w:val="center"/>
              <w:ind w:left="356"/>
              <w:spacing w:after="0"/>
              <w:rPr>
                <w:sz w:val="20"/>
                <w:szCs w:val="20"/>
                <w:color w:val="auto"/>
              </w:rPr>
            </w:pPr>
            <w:r>
              <w:rPr>
                <w:rFonts w:ascii="Times New Roman" w:cs="Times New Roman" w:eastAsia="Times New Roman" w:hAnsi="Times New Roman"/>
                <w:sz w:val="18"/>
                <w:szCs w:val="18"/>
                <w:b w:val="1"/>
                <w:bCs w:val="1"/>
                <w:color w:val="auto"/>
                <w:w w:val="98"/>
              </w:rPr>
              <w:t>XOMETRY, INC. AND SUBSIDIARIES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860" w:type="dxa"/>
            <w:vAlign w:val="bottom"/>
            <w:gridSpan w:val="35"/>
          </w:tcPr>
          <w:p>
            <w:pPr>
              <w:jc w:val="center"/>
              <w:ind w:left="1336"/>
              <w:spacing w:after="0" w:line="202" w:lineRule="exact"/>
              <w:rPr>
                <w:sz w:val="20"/>
                <w:szCs w:val="20"/>
                <w:color w:val="auto"/>
              </w:rPr>
            </w:pPr>
            <w:r>
              <w:rPr>
                <w:rFonts w:ascii="Times New Roman" w:cs="Times New Roman" w:eastAsia="Times New Roman" w:hAnsi="Times New Roman"/>
                <w:sz w:val="18"/>
                <w:szCs w:val="18"/>
                <w:color w:val="auto"/>
                <w:w w:val="99"/>
              </w:rPr>
              <w:t>Condensed Consolidated Statements of Changes in Convertible Preferred Stock and Stockholders’ Equity (Deficit)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gridSpan w:val="5"/>
          </w:tcPr>
          <w:p>
            <w:pPr>
              <w:jc w:val="center"/>
              <w:ind w:right="218"/>
              <w:spacing w:after="0" w:line="202" w:lineRule="exact"/>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80" w:type="dxa"/>
            <w:vAlign w:val="bottom"/>
            <w:gridSpan w:val="16"/>
          </w:tcPr>
          <w:p>
            <w:pPr>
              <w:jc w:val="center"/>
              <w:ind w:left="356"/>
              <w:spacing w:after="0" w:line="202" w:lineRule="exact"/>
              <w:rPr>
                <w:sz w:val="20"/>
                <w:szCs w:val="20"/>
                <w:color w:val="auto"/>
              </w:rPr>
            </w:pPr>
            <w:r>
              <w:rPr>
                <w:rFonts w:ascii="Times New Roman" w:cs="Times New Roman" w:eastAsia="Times New Roman" w:hAnsi="Times New Roman"/>
                <w:sz w:val="18"/>
                <w:szCs w:val="18"/>
                <w:color w:val="auto"/>
                <w:w w:val="99"/>
              </w:rPr>
              <w:t>Six months ended June 30, 2022 and 2021</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13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Convertible Preferred Stock</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gridSpan w:val="17"/>
          </w:tcPr>
          <w:p>
            <w:pPr>
              <w:jc w:val="center"/>
              <w:spacing w:after="0"/>
              <w:rPr>
                <w:sz w:val="20"/>
                <w:szCs w:val="20"/>
                <w:color w:val="auto"/>
              </w:rPr>
            </w:pPr>
            <w:r>
              <w:rPr>
                <w:rFonts w:ascii="Times New Roman" w:cs="Times New Roman" w:eastAsia="Times New Roman" w:hAnsi="Times New Roman"/>
                <w:sz w:val="18"/>
                <w:szCs w:val="18"/>
                <w:color w:val="auto"/>
                <w:w w:val="99"/>
              </w:rPr>
              <w:t>(In thousands, except share and per share data)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20" w:type="dxa"/>
            <w:vAlign w:val="bottom"/>
          </w:tcPr>
          <w:p>
            <w:pPr>
              <w:spacing w:after="0"/>
              <w:rPr>
                <w:sz w:val="10"/>
                <w:szCs w:val="10"/>
                <w:color w:val="auto"/>
              </w:rPr>
            </w:pPr>
          </w:p>
        </w:tc>
        <w:tc>
          <w:tcPr>
            <w:tcW w:w="136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Accumulate</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20" w:type="dxa"/>
            <w:vAlign w:val="bottom"/>
          </w:tcPr>
          <w:p>
            <w:pPr>
              <w:spacing w:after="0"/>
              <w:rPr>
                <w:sz w:val="10"/>
                <w:szCs w:val="10"/>
                <w:color w:val="auto"/>
              </w:rPr>
            </w:pPr>
          </w:p>
        </w:tc>
        <w:tc>
          <w:tcPr>
            <w:tcW w:w="1360" w:type="dxa"/>
            <w:vAlign w:val="bottom"/>
            <w:gridSpan w:val="4"/>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Seed-1, Seed-2, Series A-1,</w:t>
            </w:r>
          </w:p>
        </w:tc>
        <w:tc>
          <w:tcPr>
            <w:tcW w:w="1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w w:val="97"/>
              </w:rPr>
              <w:t>Class A - Common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Class B - Common</w:t>
            </w:r>
          </w:p>
        </w:tc>
        <w:tc>
          <w:tcPr>
            <w:tcW w:w="100" w:type="dxa"/>
            <w:vAlign w:val="bottom"/>
          </w:tcPr>
          <w:p>
            <w:pPr>
              <w:spacing w:after="0"/>
              <w:rPr>
                <w:sz w:val="10"/>
                <w:szCs w:val="10"/>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d Other</w:t>
            </w:r>
          </w:p>
        </w:tc>
        <w:tc>
          <w:tcPr>
            <w:tcW w:w="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Accumul</w:t>
            </w:r>
          </w:p>
        </w:tc>
        <w:tc>
          <w:tcPr>
            <w:tcW w:w="100" w:type="dxa"/>
            <w:vAlign w:val="bottom"/>
          </w:tcPr>
          <w:p>
            <w:pPr>
              <w:spacing w:after="0"/>
              <w:rPr>
                <w:sz w:val="10"/>
                <w:szCs w:val="10"/>
                <w:color w:val="auto"/>
              </w:rPr>
            </w:pPr>
          </w:p>
        </w:tc>
        <w:tc>
          <w:tcPr>
            <w:tcW w:w="660" w:type="dxa"/>
            <w:vAlign w:val="bottom"/>
            <w:gridSpan w:val="2"/>
          </w:tcPr>
          <w:p>
            <w:pPr>
              <w:jc w:val="center"/>
              <w:ind w:right="157"/>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w w:val="99"/>
              </w:rPr>
              <w:t>Noncontroll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20" w:type="dxa"/>
            <w:vAlign w:val="bottom"/>
          </w:tcPr>
          <w:p>
            <w:pPr>
              <w:spacing w:after="0"/>
              <w:rPr>
                <w:sz w:val="9"/>
                <w:szCs w:val="9"/>
                <w:color w:val="auto"/>
              </w:rPr>
            </w:pPr>
          </w:p>
        </w:tc>
        <w:tc>
          <w:tcPr>
            <w:tcW w:w="1360" w:type="dxa"/>
            <w:vAlign w:val="bottom"/>
            <w:gridSpan w:val="4"/>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Series A-2, Series B, Series</w:t>
            </w:r>
          </w:p>
        </w:tc>
        <w:tc>
          <w:tcPr>
            <w:tcW w:w="1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Comprehens</w:t>
            </w:r>
          </w:p>
        </w:tc>
        <w:tc>
          <w:tcPr>
            <w:tcW w:w="580" w:type="dxa"/>
            <w:vAlign w:val="bottom"/>
            <w:gridSpan w:val="3"/>
            <w:vMerge w:val="continue"/>
          </w:tcPr>
          <w:p>
            <w:pPr>
              <w:spacing w:after="0"/>
              <w:rPr>
                <w:sz w:val="9"/>
                <w:szCs w:val="9"/>
                <w:color w:val="auto"/>
              </w:rPr>
            </w:pPr>
          </w:p>
        </w:tc>
        <w:tc>
          <w:tcPr>
            <w:tcW w:w="760" w:type="dxa"/>
            <w:vAlign w:val="bottom"/>
            <w:gridSpan w:val="3"/>
          </w:tcPr>
          <w:p>
            <w:pPr>
              <w:jc w:val="center"/>
              <w:ind w:right="57"/>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5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20" w:type="dxa"/>
            <w:vAlign w:val="bottom"/>
          </w:tcPr>
          <w:p>
            <w:pPr>
              <w:spacing w:after="0"/>
              <w:rPr>
                <w:sz w:val="12"/>
                <w:szCs w:val="12"/>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 Series D, Series E</w:t>
            </w: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gridSpan w:val="2"/>
          </w:tcPr>
          <w:p>
            <w:pPr>
              <w:jc w:val="center"/>
              <w:ind w:right="243"/>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3"/>
          </w:tcPr>
          <w:p>
            <w:pPr>
              <w:jc w:val="center"/>
              <w:ind w:right="278"/>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38"/>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ive</w:t>
            </w:r>
          </w:p>
        </w:tc>
        <w:tc>
          <w:tcPr>
            <w:tcW w:w="80" w:type="dxa"/>
            <w:vAlign w:val="bottom"/>
          </w:tcPr>
          <w:p>
            <w:pPr>
              <w:spacing w:after="0"/>
              <w:rPr>
                <w:sz w:val="12"/>
                <w:szCs w:val="12"/>
                <w:color w:val="auto"/>
              </w:rPr>
            </w:pPr>
          </w:p>
        </w:tc>
        <w:tc>
          <w:tcPr>
            <w:tcW w:w="5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ated</w:t>
            </w:r>
          </w:p>
        </w:tc>
        <w:tc>
          <w:tcPr>
            <w:tcW w:w="100" w:type="dxa"/>
            <w:vAlign w:val="bottom"/>
          </w:tcPr>
          <w:p>
            <w:pPr>
              <w:spacing w:after="0"/>
              <w:rPr>
                <w:sz w:val="12"/>
                <w:szCs w:val="12"/>
                <w:color w:val="auto"/>
              </w:rPr>
            </w:pPr>
          </w:p>
        </w:tc>
        <w:tc>
          <w:tcPr>
            <w:tcW w:w="540" w:type="dxa"/>
            <w:vAlign w:val="bottom"/>
          </w:tcPr>
          <w:p>
            <w:pPr>
              <w:jc w:val="center"/>
              <w:ind w:right="19"/>
              <w:spacing w:after="0"/>
              <w:rPr>
                <w:sz w:val="20"/>
                <w:szCs w:val="20"/>
                <w:color w:val="auto"/>
              </w:rPr>
            </w:pPr>
            <w:r>
              <w:rPr>
                <w:rFonts w:ascii="Times New Roman" w:cs="Times New Roman" w:eastAsia="Times New Roman" w:hAnsi="Times New Roman"/>
                <w:sz w:val="10"/>
                <w:szCs w:val="10"/>
                <w:b w:val="1"/>
                <w:bCs w:val="1"/>
                <w:color w:val="auto"/>
                <w:w w:val="70"/>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rPr>
              <w:t>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38"/>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0"/>
        </w:trPr>
        <w:tc>
          <w:tcPr>
            <w:tcW w:w="2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w w:val="97"/>
              </w:rPr>
              <w:t>Amoun</w:t>
            </w: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center"/>
              <w:ind w:right="260"/>
              <w:spacing w:after="0" w:line="110"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177"/>
              <w:spacing w:after="0" w:line="110" w:lineRule="exact"/>
              <w:rPr>
                <w:sz w:val="20"/>
                <w:szCs w:val="20"/>
                <w:color w:val="auto"/>
              </w:rPr>
            </w:pPr>
            <w:r>
              <w:rPr>
                <w:rFonts w:ascii="Times New Roman" w:cs="Times New Roman" w:eastAsia="Times New Roman" w:hAnsi="Times New Roman"/>
                <w:sz w:val="11"/>
                <w:szCs w:val="11"/>
                <w:b w:val="1"/>
                <w:bCs w:val="1"/>
                <w:color w:val="auto"/>
                <w:w w:val="98"/>
              </w:rPr>
              <w:t>(Deficit)</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center"/>
              <w:ind w:right="158"/>
              <w:spacing w:after="0" w:line="110" w:lineRule="exact"/>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155"/>
        </w:trPr>
        <w:tc>
          <w:tcPr>
            <w:tcW w:w="2020" w:type="dxa"/>
            <w:vAlign w:val="bottom"/>
          </w:tcPr>
          <w:p>
            <w:pPr>
              <w:spacing w:after="0"/>
              <w:rPr>
                <w:sz w:val="13"/>
                <w:szCs w:val="13"/>
                <w:color w:val="auto"/>
              </w:rPr>
            </w:pPr>
          </w:p>
        </w:tc>
        <w:tc>
          <w:tcPr>
            <w:tcW w:w="5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8"/>
                <w:szCs w:val="8"/>
                <w:b w:val="1"/>
                <w:bCs w:val="1"/>
                <w:color w:val="auto"/>
                <w:w w:val="73"/>
              </w:rPr>
              <w:t>t</w:t>
            </w:r>
          </w:p>
        </w:tc>
        <w:tc>
          <w:tcPr>
            <w:tcW w:w="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6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43,99</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(173,3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Balance, December 31, 2021</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vMerge w:val="restart"/>
          </w:tcPr>
          <w:p>
            <w:pPr>
              <w:jc w:val="center"/>
              <w:ind w:left="38"/>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vMerge w:val="continue"/>
          </w:tcPr>
          <w:p>
            <w:pPr>
              <w:spacing w:after="0"/>
              <w:rPr>
                <w:sz w:val="10"/>
                <w:szCs w:val="10"/>
                <w:color w:val="auto"/>
              </w:rPr>
            </w:pPr>
          </w:p>
        </w:tc>
        <w:tc>
          <w:tcPr>
            <w:tcW w:w="580" w:type="dxa"/>
            <w:vAlign w:val="bottom"/>
            <w:gridSpan w:val="2"/>
            <w:vMerge w:val="restart"/>
          </w:tcPr>
          <w:p>
            <w:pPr>
              <w:jc w:val="center"/>
              <w:ind w:right="20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76,</w:t>
            </w:r>
          </w:p>
        </w:tc>
        <w:tc>
          <w:tcPr>
            <w:tcW w:w="200" w:type="dxa"/>
            <w:vAlign w:val="bottom"/>
            <w:gridSpan w:val="2"/>
            <w:vMerge w:val="restart"/>
          </w:tcPr>
          <w:p>
            <w:pPr>
              <w:jc w:val="cente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$ 597,641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20" w:type="dxa"/>
            <w:vAlign w:val="bottom"/>
          </w:tcPr>
          <w:p>
            <w:pPr>
              <w:spacing w:after="0"/>
              <w:rPr>
                <w:sz w:val="10"/>
                <w:szCs w:val="10"/>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424,449</w:t>
            </w:r>
          </w:p>
        </w:tc>
        <w:tc>
          <w:tcPr>
            <w:tcW w:w="120" w:type="dxa"/>
            <w:vAlign w:val="bottom"/>
          </w:tcPr>
          <w:p>
            <w:pPr>
              <w:spacing w:after="0"/>
              <w:rPr>
                <w:sz w:val="10"/>
                <w:szCs w:val="10"/>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1,034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425,483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8,404</w:t>
            </w:r>
          </w:p>
        </w:tc>
        <w:tc>
          <w:tcPr>
            <w:tcW w:w="5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20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41 ) $</w:t>
            </w: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gridSpan w:val="2"/>
            <w:shd w:val="clear" w:color="auto" w:fill="CFF0FC"/>
          </w:tcPr>
          <w:p>
            <w:pPr>
              <w:jc w:val="right"/>
              <w:spacing w:after="0" w:line="123" w:lineRule="exact"/>
              <w:rPr>
                <w:sz w:val="20"/>
                <w:szCs w:val="20"/>
                <w:color w:val="auto"/>
              </w:rPr>
            </w:pPr>
            <w:r>
              <w:rPr>
                <w:rFonts w:ascii="Times New Roman" w:cs="Times New Roman" w:eastAsia="Times New Roman" w:hAnsi="Times New Roman"/>
                <w:sz w:val="13"/>
                <w:szCs w:val="13"/>
                <w:color w:val="auto"/>
              </w:rPr>
              <w:t>506,4</w:t>
            </w: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common stock options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40,26</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Donated common stock</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based compensation</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8,935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8,935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loss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(64 )</w:t>
            </w:r>
          </w:p>
        </w:tc>
        <w:tc>
          <w:tcPr>
            <w:tcW w:w="8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(64 )</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(14 )</w:t>
            </w: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(36,56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(36,565 )</w:t>
            </w: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18"/>
              <w:spacing w:after="0"/>
              <w:rPr>
                <w:sz w:val="20"/>
                <w:szCs w:val="20"/>
                <w:color w:val="auto"/>
              </w:rPr>
            </w:pPr>
            <w:r>
              <w:rPr>
                <w:rFonts w:ascii="Times New Roman" w:cs="Times New Roman" w:eastAsia="Times New Roman" w:hAnsi="Times New Roman"/>
                <w:sz w:val="13"/>
                <w:szCs w:val="13"/>
                <w:color w:val="auto"/>
              </w:rPr>
              <w:t>(36,544 )</w:t>
            </w:r>
          </w:p>
        </w:tc>
        <w:tc>
          <w:tcPr>
            <w:tcW w:w="0" w:type="dxa"/>
            <w:vAlign w:val="bottom"/>
          </w:tcPr>
          <w:p>
            <w:pPr>
              <w:spacing w:after="0"/>
              <w:rPr>
                <w:sz w:val="1"/>
                <w:szCs w:val="1"/>
                <w:color w:val="auto"/>
              </w:rPr>
            </w:pPr>
          </w:p>
        </w:tc>
      </w:tr>
      <w:tr>
        <w:trPr>
          <w:trHeight w:val="164"/>
        </w:trPr>
        <w:tc>
          <w:tcPr>
            <w:tcW w:w="2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5 )</w:t>
            </w: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comprehensive loss</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FF0FC"/>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(36,629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(36,558</w:t>
            </w:r>
          </w:p>
        </w:tc>
        <w:tc>
          <w:tcPr>
            <w:tcW w:w="10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10"/>
        </w:trPr>
        <w:tc>
          <w:tcPr>
            <w:tcW w:w="202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color w:val="auto"/>
              </w:rPr>
              <w:t>Balance, June 30, 2022</w:t>
            </w:r>
          </w:p>
        </w:tc>
        <w:tc>
          <w:tcPr>
            <w:tcW w:w="50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center"/>
              <w:ind w:left="38"/>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tcPr>
          <w:p>
            <w:pPr>
              <w:ind w:left="140"/>
              <w:spacing w:after="0" w:line="110"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44,54</w:t>
            </w:r>
          </w:p>
        </w:tc>
        <w:tc>
          <w:tcPr>
            <w:tcW w:w="580" w:type="dxa"/>
            <w:vAlign w:val="bottom"/>
            <w:gridSpan w:val="2"/>
          </w:tcPr>
          <w:p>
            <w:pPr>
              <w:jc w:val="center"/>
              <w:ind w:right="203"/>
              <w:spacing w:after="0" w:line="11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2,6</w:t>
            </w:r>
          </w:p>
        </w:tc>
        <w:tc>
          <w:tcPr>
            <w:tcW w:w="200" w:type="dxa"/>
            <w:vAlign w:val="bottom"/>
            <w:gridSpan w:val="2"/>
          </w:tcPr>
          <w:p>
            <w:pPr>
              <w:jc w:val="center"/>
              <w:ind w:left="40"/>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ind w:left="320"/>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3"/>
          </w:tcPr>
          <w:p>
            <w:pPr>
              <w:jc w:val="right"/>
              <w:spacing w:after="0" w:line="110" w:lineRule="exact"/>
              <w:rPr>
                <w:sz w:val="20"/>
                <w:szCs w:val="20"/>
                <w:color w:val="auto"/>
              </w:rPr>
            </w:pPr>
            <w:r>
              <w:rPr>
                <w:rFonts w:ascii="Times New Roman" w:cs="Times New Roman" w:eastAsia="Times New Roman" w:hAnsi="Times New Roman"/>
                <w:sz w:val="12"/>
                <w:szCs w:val="12"/>
                <w:color w:val="auto"/>
              </w:rPr>
              <w:t>$ 610,331</w:t>
            </w:r>
          </w:p>
        </w:tc>
        <w:tc>
          <w:tcPr>
            <w:tcW w:w="22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85</w:t>
            </w:r>
          </w:p>
        </w:tc>
        <w:tc>
          <w:tcPr>
            <w:tcW w:w="120" w:type="dxa"/>
            <w:vAlign w:val="bottom"/>
          </w:tcPr>
          <w:p>
            <w:pPr>
              <w:spacing w:after="0"/>
              <w:rPr>
                <w:sz w:val="9"/>
                <w:szCs w:val="9"/>
                <w:color w:val="auto"/>
              </w:rPr>
            </w:pPr>
          </w:p>
        </w:tc>
        <w:tc>
          <w:tcPr>
            <w:tcW w:w="8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gridSpan w:val="3"/>
          </w:tcPr>
          <w:p>
            <w:pPr>
              <w:jc w:val="right"/>
              <w:spacing w:after="0" w:line="110" w:lineRule="exact"/>
              <w:rPr>
                <w:sz w:val="20"/>
                <w:szCs w:val="20"/>
                <w:color w:val="auto"/>
              </w:rPr>
            </w:pPr>
            <w:r>
              <w:rPr>
                <w:rFonts w:ascii="Times New Roman" w:cs="Times New Roman" w:eastAsia="Times New Roman" w:hAnsi="Times New Roman"/>
                <w:sz w:val="12"/>
                <w:szCs w:val="12"/>
                <w:color w:val="auto"/>
              </w:rPr>
              <w:t>(209,9 ) $</w:t>
            </w:r>
          </w:p>
        </w:tc>
        <w:tc>
          <w:tcPr>
            <w:tcW w:w="54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400,510</w:t>
            </w:r>
          </w:p>
        </w:tc>
        <w:tc>
          <w:tcPr>
            <w:tcW w:w="120" w:type="dxa"/>
            <w:vAlign w:val="bottom"/>
          </w:tcPr>
          <w:p>
            <w:pPr>
              <w:spacing w:after="0"/>
              <w:rPr>
                <w:sz w:val="9"/>
                <w:szCs w:val="9"/>
                <w:color w:val="auto"/>
              </w:rPr>
            </w:pPr>
          </w:p>
        </w:tc>
        <w:tc>
          <w:tcPr>
            <w:tcW w:w="8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1,105</w:t>
            </w:r>
          </w:p>
        </w:tc>
        <w:tc>
          <w:tcPr>
            <w:tcW w:w="18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401,615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5,080</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76,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2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27,758</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7,755,78</w:t>
            </w: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(111,9</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December 31, 2020</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,941</w:t>
            </w:r>
          </w:p>
        </w:tc>
        <w:tc>
          <w:tcPr>
            <w:tcW w:w="240" w:type="dxa"/>
            <w:vAlign w:val="bottom"/>
            <w:gridSpan w:val="2"/>
            <w:shd w:val="clear" w:color="auto" w:fill="CFF0FC"/>
          </w:tcPr>
          <w:p>
            <w:pPr>
              <w:jc w:val="center"/>
              <w:ind w:left="38"/>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160,713</w:t>
            </w:r>
          </w:p>
        </w:tc>
        <w:tc>
          <w:tcPr>
            <w:tcW w:w="120" w:type="dxa"/>
            <w:vAlign w:val="bottom"/>
            <w:shd w:val="clear" w:color="auto" w:fill="CFF0FC"/>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FF0FC"/>
          </w:tcPr>
          <w:p>
            <w:pPr>
              <w:jc w:val="center"/>
              <w:ind w:right="20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jc w:val="cente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62 ) $</w:t>
            </w: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(111,249 ) $</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w w:val="99"/>
              </w:rPr>
              <w:t>(111,249 )</w:t>
            </w:r>
          </w:p>
        </w:tc>
        <w:tc>
          <w:tcPr>
            <w:tcW w:w="0" w:type="dxa"/>
            <w:vAlign w:val="bottom"/>
          </w:tcPr>
          <w:p>
            <w:pPr>
              <w:spacing w:after="0"/>
              <w:rPr>
                <w:sz w:val="1"/>
                <w:szCs w:val="1"/>
                <w:color w:val="auto"/>
              </w:rPr>
            </w:pPr>
          </w:p>
        </w:tc>
      </w:tr>
      <w:tr>
        <w:trPr>
          <w:trHeight w:val="162"/>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common stock options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910,015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based compensation</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loss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(22,76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(22,765 )</w:t>
            </w: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jc w:val="right"/>
              <w:ind w:right="18"/>
              <w:spacing w:after="0"/>
              <w:rPr>
                <w:sz w:val="20"/>
                <w:szCs w:val="20"/>
                <w:color w:val="auto"/>
              </w:rPr>
            </w:pPr>
            <w:r>
              <w:rPr>
                <w:rFonts w:ascii="Times New Roman" w:cs="Times New Roman" w:eastAsia="Times New Roman" w:hAnsi="Times New Roman"/>
                <w:sz w:val="13"/>
                <w:szCs w:val="13"/>
                <w:color w:val="auto"/>
              </w:rPr>
              <w:t>(22,765 )</w:t>
            </w:r>
          </w:p>
        </w:tc>
        <w:tc>
          <w:tcPr>
            <w:tcW w:w="0" w:type="dxa"/>
            <w:vAlign w:val="bottom"/>
          </w:tcPr>
          <w:p>
            <w:pPr>
              <w:spacing w:after="0"/>
              <w:rPr>
                <w:sz w:val="1"/>
                <w:szCs w:val="1"/>
                <w:color w:val="auto"/>
              </w:rPr>
            </w:pPr>
          </w:p>
        </w:tc>
      </w:tr>
      <w:tr>
        <w:trPr>
          <w:trHeight w:val="164"/>
        </w:trPr>
        <w:tc>
          <w:tcPr>
            <w:tcW w:w="2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5 )</w:t>
            </w: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comprehensive loss</w:t>
            </w:r>
          </w:p>
        </w:tc>
        <w:tc>
          <w:tcPr>
            <w:tcW w:w="50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(22,748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(22,748</w:t>
            </w:r>
          </w:p>
        </w:tc>
        <w:tc>
          <w:tcPr>
            <w:tcW w:w="10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10"/>
        </w:trPr>
        <w:tc>
          <w:tcPr>
            <w:tcW w:w="2020" w:type="dxa"/>
            <w:vAlign w:val="bottom"/>
          </w:tcPr>
          <w:p>
            <w:pPr>
              <w:spacing w:after="0"/>
              <w:rPr>
                <w:sz w:val="9"/>
                <w:szCs w:val="9"/>
                <w:color w:val="auto"/>
              </w:rPr>
            </w:pPr>
          </w:p>
        </w:tc>
        <w:tc>
          <w:tcPr>
            <w:tcW w:w="50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27,758</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60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8,665,79</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(134,7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June 30, 2021</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w:t>
            </w:r>
          </w:p>
        </w:tc>
        <w:tc>
          <w:tcPr>
            <w:tcW w:w="240" w:type="dxa"/>
            <w:vAlign w:val="bottom"/>
            <w:gridSpan w:val="2"/>
          </w:tcPr>
          <w:p>
            <w:pPr>
              <w:jc w:val="center"/>
              <w:ind w:left="38"/>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160,713</w:t>
            </w: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center"/>
              <w:ind w:right="203"/>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center"/>
              <w:ind w:left="4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27 )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(130,185 ) $</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w w:val="99"/>
              </w:rPr>
              <w:t>(130,185 )</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6186805</wp:posOffset>
            </wp:positionH>
            <wp:positionV relativeFrom="paragraph">
              <wp:posOffset>-5735955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-5735955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-5735955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-5351145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-5334000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-5351145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-5334000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2616835</wp:posOffset>
            </wp:positionH>
            <wp:positionV relativeFrom="paragraph">
              <wp:posOffset>-5351145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2616835</wp:posOffset>
            </wp:positionH>
            <wp:positionV relativeFrom="paragraph">
              <wp:posOffset>-5334000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-5351145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-5334000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-5351145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-5334000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-5351145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-5334000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-5351145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-5334000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-5351145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-5334000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-5351145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-5334000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-5351145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-5334000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-5351145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-5334000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-5351145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-5334000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-5351145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-5334000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-5351145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-5334000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-4443095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-4443095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-4443095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-4135120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-4117975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-4135120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-4117975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2616835</wp:posOffset>
            </wp:positionH>
            <wp:positionV relativeFrom="paragraph">
              <wp:posOffset>-4135120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2616835</wp:posOffset>
            </wp:positionH>
            <wp:positionV relativeFrom="paragraph">
              <wp:posOffset>-4117975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-4135120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-4117975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-4135120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-4117975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-4135120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-4117975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-4135120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-4117975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-4135120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-4117975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-4135120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-4117975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-4135120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-4117975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-4135120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-4117975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-4135120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-4117975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-4135120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-4117975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-4135120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-4117975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-1515110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-1515110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2616835</wp:posOffset>
            </wp:positionH>
            <wp:positionV relativeFrom="paragraph">
              <wp:posOffset>-1515110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-1515110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-1515110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-1515110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-1515110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-1515110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-1515110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-1515110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-1515110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-1515110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-1515110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-1515110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-222250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-222250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2616835</wp:posOffset>
            </wp:positionH>
            <wp:positionV relativeFrom="paragraph">
              <wp:posOffset>-222250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-222250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-222250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3746500</wp:posOffset>
            </wp:positionH>
            <wp:positionV relativeFrom="paragraph">
              <wp:posOffset>-222250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-222250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-222250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-222250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-222250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-222250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-222250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-222250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ind w:left="5180"/>
        <w:spacing w:after="0" w:line="234" w:lineRule="auto"/>
        <w:rPr>
          <w:sz w:val="20"/>
          <w:szCs w:val="20"/>
          <w:color w:val="auto"/>
        </w:rPr>
      </w:pPr>
      <w:r>
        <w:rPr>
          <w:rFonts w:ascii="Times New Roman" w:cs="Times New Roman" w:eastAsia="Times New Roman" w:hAnsi="Times New Roman"/>
          <w:sz w:val="18"/>
          <w:szCs w:val="18"/>
          <w:color w:val="auto"/>
        </w:rPr>
        <w:t>(Unaudited)</w:t>
      </w:r>
    </w:p>
    <w:p>
      <w:pPr>
        <w:ind w:left="5080"/>
        <w:spacing w:after="0"/>
        <w:rPr>
          <w:sz w:val="20"/>
          <w:szCs w:val="20"/>
          <w:color w:val="auto"/>
        </w:rPr>
      </w:pPr>
      <w:r>
        <w:rPr>
          <w:rFonts w:ascii="Times New Roman" w:cs="Times New Roman" w:eastAsia="Times New Roman" w:hAnsi="Times New Roman"/>
          <w:sz w:val="18"/>
          <w:szCs w:val="18"/>
          <w:color w:val="auto"/>
        </w:rPr>
        <w:t>(In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60" w:type="dxa"/>
            <w:vAlign w:val="bottom"/>
          </w:tcPr>
          <w:p>
            <w:pPr>
              <w:spacing w:after="0"/>
              <w:rPr>
                <w:sz w:val="16"/>
                <w:szCs w:val="16"/>
                <w:color w:val="auto"/>
              </w:rPr>
            </w:pPr>
          </w:p>
        </w:tc>
        <w:tc>
          <w:tcPr>
            <w:tcW w:w="2820" w:type="dxa"/>
            <w:vAlign w:val="bottom"/>
            <w:tcBorders>
              <w:bottom w:val="single" w:sz="8" w:color="auto"/>
            </w:tcBorders>
            <w:gridSpan w:val="5"/>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(36,544 )</w:t>
            </w:r>
          </w:p>
        </w:tc>
        <w:tc>
          <w:tcPr>
            <w:tcW w:w="160" w:type="dxa"/>
            <w:vAlign w:val="bottom"/>
          </w:tcPr>
          <w:p>
            <w:pPr>
              <w:spacing w:after="0"/>
              <w:rPr>
                <w:sz w:val="15"/>
                <w:szCs w:val="15"/>
                <w:color w:val="auto"/>
              </w:rPr>
            </w:pPr>
          </w:p>
        </w:tc>
        <w:tc>
          <w:tcPr>
            <w:tcW w:w="102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(22,765 )</w:t>
            </w: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w:t>
            </w:r>
          </w:p>
        </w:tc>
        <w:tc>
          <w:tcPr>
            <w:tcW w:w="100" w:type="dxa"/>
            <w:vAlign w:val="bottom"/>
          </w:tcPr>
          <w:p>
            <w:pPr>
              <w:spacing w:after="0"/>
              <w:rPr>
                <w:sz w:val="15"/>
                <w:szCs w:val="15"/>
                <w:color w:val="auto"/>
              </w:rPr>
            </w:pPr>
          </w:p>
        </w:tc>
      </w:tr>
      <w:tr>
        <w:trPr>
          <w:trHeight w:val="175"/>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9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Reduction in carrying amount of right-of-use asset</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Pr>
          <w:p>
            <w:pPr>
              <w:spacing w:after="0"/>
              <w:rPr>
                <w:sz w:val="15"/>
                <w:szCs w:val="15"/>
                <w:color w:val="auto"/>
              </w:rPr>
            </w:pPr>
          </w:p>
        </w:tc>
      </w:tr>
      <w:tr>
        <w:trPr>
          <w:trHeight w:val="175"/>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Stock based compensation</w:t>
            </w:r>
          </w:p>
        </w:tc>
        <w:tc>
          <w:tcPr>
            <w:tcW w:w="9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8,935</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2,480</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Non-cash interest expense</w:t>
            </w:r>
          </w:p>
        </w:tc>
        <w:tc>
          <w:tcPr>
            <w:tcW w:w="960" w:type="dxa"/>
            <w:vAlign w:val="bottom"/>
          </w:tcPr>
          <w:p>
            <w:pPr>
              <w:spacing w:after="0"/>
              <w:rPr>
                <w:sz w:val="15"/>
                <w:szCs w:val="15"/>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5"/>
                <w:szCs w:val="15"/>
                <w:color w:val="auto"/>
              </w:rPr>
            </w:pPr>
          </w:p>
        </w:tc>
      </w:tr>
      <w:tr>
        <w:trPr>
          <w:trHeight w:val="175"/>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Revaluation of contingent consideration</w:t>
            </w:r>
          </w:p>
        </w:tc>
        <w:tc>
          <w:tcPr>
            <w:tcW w:w="9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Income from unconsolidated joint venture</w:t>
            </w:r>
          </w:p>
        </w:tc>
        <w:tc>
          <w:tcPr>
            <w:tcW w:w="9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Donation of common stock</w:t>
            </w:r>
          </w:p>
        </w:tc>
        <w:tc>
          <w:tcPr>
            <w:tcW w:w="9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Non-cash income tax benefit</w:t>
            </w:r>
          </w:p>
        </w:tc>
        <w:tc>
          <w:tcPr>
            <w:tcW w:w="9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(559 )</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on sale of property and equipment</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Amortization of deferred costs on convertible notes</w:t>
            </w:r>
          </w:p>
        </w:tc>
        <w:tc>
          <w:tcPr>
            <w:tcW w:w="9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Deferred taxes benefit</w:t>
            </w:r>
          </w:p>
        </w:tc>
        <w:tc>
          <w:tcPr>
            <w:tcW w:w="9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Changes in other assets and liabilities:</w:t>
            </w:r>
          </w:p>
        </w:tc>
        <w:tc>
          <w:tcPr>
            <w:tcW w:w="9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receivable, net</w:t>
            </w:r>
          </w:p>
        </w:tc>
        <w:tc>
          <w:tcPr>
            <w:tcW w:w="9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(11,833 )</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(6,874 )</w:t>
            </w:r>
          </w:p>
        </w:tc>
      </w:tr>
      <w:tr>
        <w:trPr>
          <w:trHeight w:val="175"/>
        </w:trPr>
        <w:tc>
          <w:tcPr>
            <w:tcW w:w="7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Inventory</w:t>
            </w:r>
          </w:p>
        </w:tc>
        <w:tc>
          <w:tcPr>
            <w:tcW w:w="9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Prepaid expenses</w:t>
            </w:r>
          </w:p>
        </w:tc>
        <w:tc>
          <w:tcPr>
            <w:tcW w:w="9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(1,649 )</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(5,270 )</w:t>
            </w:r>
          </w:p>
        </w:tc>
      </w:tr>
      <w:tr>
        <w:trPr>
          <w:trHeight w:val="175"/>
        </w:trPr>
        <w:tc>
          <w:tcPr>
            <w:tcW w:w="7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Other assets</w:t>
            </w:r>
          </w:p>
        </w:tc>
        <w:tc>
          <w:tcPr>
            <w:tcW w:w="9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(3,861 )</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7,522</w:t>
            </w:r>
          </w:p>
        </w:tc>
        <w:tc>
          <w:tcPr>
            <w:tcW w:w="100" w:type="dxa"/>
            <w:vAlign w:val="bottom"/>
          </w:tcPr>
          <w:p>
            <w:pPr>
              <w:spacing w:after="0"/>
              <w:rPr>
                <w:sz w:val="15"/>
                <w:szCs w:val="15"/>
                <w:color w:val="auto"/>
              </w:rPr>
            </w:pPr>
          </w:p>
        </w:tc>
      </w:tr>
      <w:tr>
        <w:trPr>
          <w:trHeight w:val="175"/>
        </w:trPr>
        <w:tc>
          <w:tcPr>
            <w:tcW w:w="7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Accrued expenses</w:t>
            </w:r>
          </w:p>
        </w:tc>
        <w:tc>
          <w:tcPr>
            <w:tcW w:w="9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(2,041 )</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(453 )</w:t>
            </w:r>
          </w:p>
        </w:tc>
      </w:tr>
      <w:tr>
        <w:trPr>
          <w:trHeight w:val="175"/>
        </w:trPr>
        <w:tc>
          <w:tcPr>
            <w:tcW w:w="7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Contract liabilities</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100" w:type="dxa"/>
            <w:vAlign w:val="bottom"/>
          </w:tcPr>
          <w:p>
            <w:pPr>
              <w:spacing w:after="0"/>
              <w:rPr>
                <w:sz w:val="15"/>
                <w:szCs w:val="15"/>
                <w:color w:val="auto"/>
              </w:rPr>
            </w:pPr>
          </w:p>
        </w:tc>
      </w:tr>
      <w:tr>
        <w:trPr>
          <w:trHeight w:val="175"/>
        </w:trPr>
        <w:tc>
          <w:tcPr>
            <w:tcW w:w="7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Lease liabilities</w:t>
            </w:r>
          </w:p>
        </w:tc>
        <w:tc>
          <w:tcPr>
            <w:tcW w:w="9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(2,773 )</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(534 )</w:t>
            </w:r>
          </w:p>
        </w:tc>
      </w:tr>
      <w:tr>
        <w:trPr>
          <w:trHeight w:val="20"/>
        </w:trPr>
        <w:tc>
          <w:tcPr>
            <w:tcW w:w="77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7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9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(34,196 )</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(20,560 )</w:t>
            </w:r>
          </w:p>
        </w:tc>
      </w:tr>
      <w:tr>
        <w:trPr>
          <w:trHeight w:val="16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 of marketable securities</w:t>
            </w:r>
          </w:p>
        </w:tc>
        <w:tc>
          <w:tcPr>
            <w:tcW w:w="9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(280,559 )</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sale of marketable securities</w:t>
            </w:r>
          </w:p>
        </w:tc>
        <w:tc>
          <w:tcPr>
            <w:tcW w:w="9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(5,436 )</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(2,748 )</w:t>
            </w: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9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77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9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(285,826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Payments in connection with initial public offering</w:t>
            </w:r>
          </w:p>
        </w:tc>
        <w:tc>
          <w:tcPr>
            <w:tcW w:w="960" w:type="dxa"/>
            <w:vAlign w:val="bottom"/>
          </w:tcPr>
          <w:p>
            <w:pPr>
              <w:spacing w:after="0"/>
              <w:rPr>
                <w:sz w:val="15"/>
                <w:szCs w:val="15"/>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(524 )</w:t>
            </w: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stock options exercised</w:t>
            </w:r>
          </w:p>
        </w:tc>
        <w:tc>
          <w:tcPr>
            <w:tcW w:w="9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issuance of convertible notes</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Costs incurred in connection with issuance of convertible notes</w:t>
            </w:r>
          </w:p>
        </w:tc>
        <w:tc>
          <w:tcPr>
            <w:tcW w:w="9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(9,309 )</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Payments on finance lease obligations</w:t>
            </w:r>
          </w:p>
        </w:tc>
        <w:tc>
          <w:tcPr>
            <w:tcW w:w="9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69"/>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280,659</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Effect of foreign currency translation on cash and cash equivalents</w:t>
            </w:r>
          </w:p>
        </w:tc>
        <w:tc>
          <w:tcPr>
            <w:tcW w:w="9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169"/>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96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(39,429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(22,523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7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the period</w:t>
            </w:r>
          </w:p>
        </w:tc>
        <w:tc>
          <w:tcPr>
            <w:tcW w:w="9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86,262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59,874</w:t>
            </w:r>
          </w:p>
        </w:tc>
        <w:tc>
          <w:tcPr>
            <w:tcW w:w="100" w:type="dxa"/>
            <w:vAlign w:val="bottom"/>
          </w:tcPr>
          <w:p>
            <w:pPr>
              <w:spacing w:after="0"/>
              <w:rPr>
                <w:sz w:val="15"/>
                <w:szCs w:val="15"/>
                <w:color w:val="auto"/>
              </w:rPr>
            </w:pPr>
          </w:p>
        </w:tc>
      </w:tr>
      <w:tr>
        <w:trPr>
          <w:trHeight w:val="209"/>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the period</w:t>
            </w:r>
          </w:p>
        </w:tc>
        <w:tc>
          <w:tcPr>
            <w:tcW w:w="960" w:type="dxa"/>
            <w:vAlign w:val="bottom"/>
            <w:tcBorders>
              <w:bottom w:val="single" w:sz="8" w:color="auto"/>
            </w:tcBorders>
            <w:shd w:val="clear" w:color="auto" w:fill="CFF0FC"/>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46,833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7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960" w:type="dxa"/>
            <w:vAlign w:val="bottom"/>
            <w:shd w:val="clear" w:color="auto" w:fill="CFF0FC"/>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activity:</w:t>
            </w: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Non-cash purchase of property and equipment</w:t>
            </w:r>
          </w:p>
        </w:tc>
        <w:tc>
          <w:tcPr>
            <w:tcW w:w="960" w:type="dxa"/>
            <w:vAlign w:val="bottom"/>
            <w:shd w:val="clear" w:color="auto" w:fill="CFF0FC"/>
          </w:tcPr>
          <w:p>
            <w:pPr>
              <w:spacing w:after="0"/>
              <w:rPr>
                <w:sz w:val="15"/>
                <w:szCs w:val="15"/>
                <w:color w:val="auto"/>
              </w:rPr>
            </w:pPr>
          </w:p>
        </w:tc>
        <w:tc>
          <w:tcPr>
            <w:tcW w:w="8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(150 )</w:t>
            </w:r>
          </w:p>
        </w:tc>
      </w:tr>
      <w:tr>
        <w:trPr>
          <w:trHeight w:val="17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financing activity:</w:t>
            </w: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Non-cash amounts incurred in connection with initial public offering</w:t>
            </w:r>
          </w:p>
        </w:tc>
        <w:tc>
          <w:tcPr>
            <w:tcW w:w="960" w:type="dxa"/>
            <w:vAlign w:val="bottom"/>
            <w:shd w:val="clear" w:color="auto" w:fill="CFF0FC"/>
          </w:tcPr>
          <w:p>
            <w:pPr>
              <w:spacing w:after="0"/>
              <w:rPr>
                <w:sz w:val="15"/>
                <w:szCs w:val="15"/>
                <w:color w:val="auto"/>
              </w:rPr>
            </w:pPr>
          </w:p>
        </w:tc>
        <w:tc>
          <w:tcPr>
            <w:tcW w:w="8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(25,938 )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-2764790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-2764790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-2092960</wp:posOffset>
            </wp:positionV>
            <wp:extent cx="93980" cy="1536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3980" cy="15367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-2092960</wp:posOffset>
            </wp:positionV>
            <wp:extent cx="93980" cy="1536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3980" cy="15367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-1163955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-1163955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-692785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-675640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-692785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p>
      <w:pPr>
        <w:ind w:left="4040"/>
        <w:spacing w:after="0"/>
        <w:rPr>
          <w:sz w:val="20"/>
          <w:szCs w:val="20"/>
          <w:color w:val="auto"/>
        </w:rPr>
      </w:pPr>
      <w:r>
        <w:rPr>
          <w:rFonts w:ascii="Times New Roman" w:cs="Times New Roman" w:eastAsia="Times New Roman" w:hAnsi="Times New Roman"/>
          <w:sz w:val="18"/>
          <w:szCs w:val="18"/>
          <w:b w:val="1"/>
          <w:bCs w:val="1"/>
          <w:color w:val="auto"/>
        </w:rPr>
        <w:t>XOMETRY, INC. AND SUBSIDIARIES</w:t>
      </w:r>
    </w:p>
    <w:p>
      <w:pPr>
        <w:spacing w:after="0" w:line="2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7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Organization and Description of Business</w:t>
      </w:r>
    </w:p>
    <w:p>
      <w:pPr>
        <w:spacing w:after="0" w:line="121" w:lineRule="exact"/>
        <w:rPr>
          <w:sz w:val="20"/>
          <w:szCs w:val="20"/>
          <w:color w:val="auto"/>
        </w:rPr>
      </w:pPr>
    </w:p>
    <w:p>
      <w:pPr>
        <w:ind w:right="220" w:firstLine="644"/>
        <w:spacing w:after="0" w:line="250" w:lineRule="auto"/>
        <w:rPr>
          <w:sz w:val="20"/>
          <w:szCs w:val="20"/>
          <w:color w:val="auto"/>
        </w:rPr>
      </w:pPr>
      <w:r>
        <w:rPr>
          <w:rFonts w:ascii="Times New Roman" w:cs="Times New Roman" w:eastAsia="Times New Roman" w:hAnsi="Times New Roman"/>
          <w:sz w:val="18"/>
          <w:szCs w:val="18"/>
          <w:color w:val="auto"/>
        </w:rPr>
        <w:t>Xometry, Inc. (“Xometry”, the “Company”, “we”, or “our”) was incorporated in the State of Delaware in May 2013. Xometry is a global online marketplace connecting enterprise buyers with suppliers of manufacturing services, transforming one of the largest industries in the world. We use our proprietary technology to create a marketplace that enables buyers to efficiently source manufactured parts and assemblies, and empower suppliers of manufacturing services to grow their businesses. Xometry’s corporate headquarters is located in Derwood, Maryland.</w:t>
      </w:r>
    </w:p>
    <w:p>
      <w:pPr>
        <w:spacing w:after="0" w:line="68" w:lineRule="exact"/>
        <w:rPr>
          <w:sz w:val="20"/>
          <w:szCs w:val="20"/>
          <w:color w:val="auto"/>
        </w:rPr>
      </w:pPr>
    </w:p>
    <w:p>
      <w:pPr>
        <w:ind w:right="40" w:firstLine="644"/>
        <w:spacing w:after="0" w:line="250" w:lineRule="auto"/>
        <w:rPr>
          <w:sz w:val="20"/>
          <w:szCs w:val="20"/>
          <w:color w:val="auto"/>
        </w:rPr>
      </w:pPr>
      <w:r>
        <w:rPr>
          <w:rFonts w:ascii="Times New Roman" w:cs="Times New Roman" w:eastAsia="Times New Roman" w:hAnsi="Times New Roman"/>
          <w:sz w:val="18"/>
          <w:szCs w:val="18"/>
          <w:color w:val="auto"/>
        </w:rPr>
        <w:t>Xometry uses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aftermarket parts for its buyers.</w:t>
      </w:r>
    </w:p>
    <w:p>
      <w:pPr>
        <w:spacing w:after="0" w:line="68" w:lineRule="exact"/>
        <w:rPr>
          <w:sz w:val="20"/>
          <w:szCs w:val="20"/>
          <w:color w:val="auto"/>
        </w:rPr>
      </w:pPr>
    </w:p>
    <w:p>
      <w:pPr>
        <w:jc w:val="both"/>
        <w:ind w:right="260" w:firstLine="644"/>
        <w:spacing w:after="0" w:line="258" w:lineRule="auto"/>
        <w:rPr>
          <w:sz w:val="20"/>
          <w:szCs w:val="20"/>
          <w:color w:val="auto"/>
        </w:rPr>
      </w:pPr>
      <w:r>
        <w:rPr>
          <w:rFonts w:ascii="Times New Roman" w:cs="Times New Roman" w:eastAsia="Times New Roman" w:hAnsi="Times New Roman"/>
          <w:sz w:val="18"/>
          <w:szCs w:val="18"/>
          <w:color w:val="auto"/>
        </w:rPr>
        <w:t>During the second quarter of 2022, we launched the Industrial Buying Engine™ (“IBE”) which helps customers source and purchase from the more than 500,000 suppliers on Thomasnet.com. The IBE provides buyer choice including instant quote “buy-it-now” functionality and digitizes the old and time-consuming request-for-quote process. Through the IBE, buyers can request quotes for products and services from suppliers.</w:t>
      </w:r>
    </w:p>
    <w:p>
      <w:pPr>
        <w:spacing w:after="0" w:line="61" w:lineRule="exact"/>
        <w:rPr>
          <w:sz w:val="20"/>
          <w:szCs w:val="20"/>
          <w:color w:val="auto"/>
        </w:rPr>
      </w:pPr>
    </w:p>
    <w:p>
      <w:pPr>
        <w:ind w:right="60" w:firstLine="644"/>
        <w:spacing w:after="0" w:line="250" w:lineRule="auto"/>
        <w:rPr>
          <w:sz w:val="20"/>
          <w:szCs w:val="20"/>
          <w:color w:val="auto"/>
        </w:rPr>
      </w:pPr>
      <w:r>
        <w:rPr>
          <w:rFonts w:ascii="Times New Roman" w:cs="Times New Roman" w:eastAsia="Times New Roman" w:hAnsi="Times New Roman"/>
          <w:sz w:val="18"/>
          <w:szCs w:val="18"/>
          <w:color w:val="auto"/>
        </w:rPr>
        <w:t>Xometry’s supplier capabilities include computer numerical control manufacturing, sheet metal forming, sheet cutting, 3D printing (including fused deposition modeling, direct metal laser sintering, PolyJet, stereolithography, selective laser sintering, binder jetting, carbon digital light synthesis and multi jet fusion), die casting, stamping, injection molding, urethane casting, tube cutting, tube bending, as well as finishing services, rapid prototyping and high-volume production.</w:t>
      </w:r>
    </w:p>
    <w:p>
      <w:pPr>
        <w:spacing w:after="0" w:line="68" w:lineRule="exact"/>
        <w:rPr>
          <w:sz w:val="20"/>
          <w:szCs w:val="20"/>
          <w:color w:val="auto"/>
        </w:rPr>
      </w:pPr>
    </w:p>
    <w:p>
      <w:pPr>
        <w:ind w:right="140" w:firstLine="644"/>
        <w:spacing w:after="0" w:line="250" w:lineRule="auto"/>
        <w:rPr>
          <w:sz w:val="20"/>
          <w:szCs w:val="20"/>
          <w:color w:val="auto"/>
        </w:rPr>
      </w:pPr>
      <w:r>
        <w:rPr>
          <w:rFonts w:ascii="Times New Roman" w:cs="Times New Roman" w:eastAsia="Times New Roman" w:hAnsi="Times New Roman"/>
          <w:sz w:val="18"/>
          <w:szCs w:val="18"/>
          <w:color w:val="auto"/>
        </w:rPr>
        <w:t>We empower suppliers to grow their manufacturing businesses and improve machine uptime by providing access to an extensive, diverse base of buyers. We also offer suppliers supporting products and services to meet their unique needs. Our suite of supplier services includes a cloud-based manufacturing execution system, access to competitively priced tools, materials and supplies from leading brands and financial services products to stabilize and enhance cash flow.</w:t>
      </w:r>
    </w:p>
    <w:p>
      <w:pPr>
        <w:spacing w:after="0" w:line="81" w:lineRule="exact"/>
        <w:rPr>
          <w:sz w:val="20"/>
          <w:szCs w:val="20"/>
          <w:color w:val="auto"/>
        </w:rPr>
      </w:pPr>
    </w:p>
    <w:p>
      <w:pPr>
        <w:ind w:right="120" w:firstLine="644"/>
        <w:spacing w:after="0" w:line="266" w:lineRule="auto"/>
        <w:rPr>
          <w:sz w:val="20"/>
          <w:szCs w:val="20"/>
          <w:color w:val="auto"/>
        </w:rPr>
      </w:pPr>
      <w:r>
        <w:rPr>
          <w:rFonts w:ascii="Times New Roman" w:cs="Times New Roman" w:eastAsia="Times New Roman" w:hAnsi="Times New Roman"/>
          <w:sz w:val="18"/>
          <w:szCs w:val="18"/>
          <w:color w:val="auto"/>
        </w:rPr>
        <w:t>In 2021, we acquired Thomas Publishing Company (“Thomas”) and Fusiform, Inc. (d.b.a FactoryFour) (“FactoryFour”), expanding our basket of supplier services to include digital marketing and data solutions and SaaS based solutions to help suppliers optimize their productivity.</w:t>
      </w:r>
    </w:p>
    <w:p>
      <w:pPr>
        <w:spacing w:after="0" w:line="121" w:lineRule="exact"/>
        <w:rPr>
          <w:sz w:val="20"/>
          <w:szCs w:val="20"/>
          <w:color w:val="auto"/>
        </w:rPr>
      </w:pPr>
    </w:p>
    <w:p>
      <w:pPr>
        <w:ind w:right="40" w:firstLine="644"/>
        <w:spacing w:after="0" w:line="250" w:lineRule="auto"/>
        <w:rPr>
          <w:sz w:val="20"/>
          <w:szCs w:val="20"/>
          <w:color w:val="auto"/>
        </w:rPr>
      </w:pPr>
      <w:r>
        <w:rPr>
          <w:rFonts w:ascii="Times New Roman" w:cs="Times New Roman" w:eastAsia="Times New Roman" w:hAnsi="Times New Roman"/>
          <w:sz w:val="18"/>
          <w:szCs w:val="18"/>
          <w:color w:val="auto"/>
        </w:rPr>
        <w:t>During the second quarter of 2022, we introduced Workcenter which gives suppliers a one-stop view into all of their Xometry and non-Xometry work. A cloud-based manufacturing execution system, Workcenter brings the job board and financial services into one, easy-to-use platform. With Workcenter, shop owners can build and manage workflows for all their projects, including those from non-Xometry customers, and also quote new projects from Xometry and Thomas.</w:t>
      </w:r>
    </w:p>
    <w:p>
      <w:pPr>
        <w:spacing w:after="0" w:line="388" w:lineRule="exact"/>
        <w:rPr>
          <w:sz w:val="20"/>
          <w:szCs w:val="20"/>
          <w:color w:val="auto"/>
        </w:rPr>
      </w:pPr>
    </w:p>
    <w:p>
      <w:pPr>
        <w:ind w:left="380" w:right="5500" w:hanging="372"/>
        <w:spacing w:after="0" w:line="369" w:lineRule="auto"/>
        <w:tabs>
          <w:tab w:leader="none" w:pos="36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Summary of Significant Accounting Policies </w:t>
      </w:r>
      <w:r>
        <w:rPr>
          <w:rFonts w:ascii="Times New Roman" w:cs="Times New Roman" w:eastAsia="Times New Roman" w:hAnsi="Times New Roman"/>
          <w:sz w:val="18"/>
          <w:szCs w:val="18"/>
          <w:b w:val="1"/>
          <w:bCs w:val="1"/>
          <w:i w:val="1"/>
          <w:iCs w:val="1"/>
          <w:color w:val="auto"/>
        </w:rPr>
        <w:t>(a)Basis of Presentation</w:t>
      </w:r>
    </w:p>
    <w:p>
      <w:pPr>
        <w:spacing w:after="0" w:line="1" w:lineRule="exact"/>
        <w:rPr>
          <w:sz w:val="20"/>
          <w:szCs w:val="20"/>
          <w:color w:val="auto"/>
        </w:rPr>
      </w:pPr>
    </w:p>
    <w:p>
      <w:pPr>
        <w:ind w:firstLine="644"/>
        <w:spacing w:after="0" w:line="24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consolidated financial statements and notes included in the Company's Annual Report on Form 10-K filed with the SEC on March 18, 2022.</w:t>
      </w:r>
    </w:p>
    <w:p>
      <w:pPr>
        <w:spacing w:after="0" w:line="91" w:lineRule="exact"/>
        <w:rPr>
          <w:sz w:val="20"/>
          <w:szCs w:val="20"/>
          <w:color w:val="auto"/>
        </w:rPr>
      </w:pPr>
    </w:p>
    <w:p>
      <w:pPr>
        <w:ind w:firstLine="644"/>
        <w:spacing w:after="0" w:line="243"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2021, included herein, was derived from the audited financial statements as of that date, but may not include all disclosures including certain notes required by U.S. GAAP on an annual reporting basis. In the opinion of management, the accompanying condensed consolidated financial statements reflect all normal recurring adjustments necessary to present fairly the financial position, results of operations, comprehensive loss, stockholders' equity (deficit) and cash flows for the interim periods, but are not necessarily indicative of the results of operations to be anticipated for the full year 2022 or any future period. The Company has two reporting segments which are referred to as: (1) the United States (“U.S.”) and (2) International.</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Foreign Operations and Comprehensive Loss</w:t>
      </w:r>
    </w:p>
    <w:p>
      <w:pPr>
        <w:spacing w:after="0" w:line="119" w:lineRule="exact"/>
        <w:rPr>
          <w:sz w:val="20"/>
          <w:szCs w:val="20"/>
          <w:color w:val="auto"/>
        </w:rPr>
      </w:pPr>
    </w:p>
    <w:p>
      <w:pPr>
        <w:ind w:right="180" w:firstLine="644"/>
        <w:spacing w:after="0" w:line="250" w:lineRule="auto"/>
        <w:rPr>
          <w:sz w:val="20"/>
          <w:szCs w:val="20"/>
          <w:color w:val="auto"/>
        </w:rPr>
      </w:pPr>
      <w:r>
        <w:rPr>
          <w:rFonts w:ascii="Times New Roman" w:cs="Times New Roman" w:eastAsia="Times New Roman" w:hAnsi="Times New Roman"/>
          <w:sz w:val="18"/>
          <w:szCs w:val="18"/>
          <w:color w:val="auto"/>
        </w:rPr>
        <w:t>The U.S. dollar (“USD”) is the functional currency for Xometry’s consolidated subsidiary operating in the U.S. The primary functional currency for the Company's consolidated subsidiaries operating in Germany and to a lesser extent Japan is the Euro ("Euro") and the Yen, respectively. For the Company’s consolidated subsidiaries whose functional currencies are not the USD, the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8" w:name="page9"/>
    <w:bookmarkEnd w:id="8"/>
    <w:p>
      <w:pPr>
        <w:ind w:right="120"/>
        <w:spacing w:after="0" w:line="258" w:lineRule="auto"/>
        <w:rPr>
          <w:sz w:val="20"/>
          <w:szCs w:val="20"/>
          <w:color w:val="auto"/>
        </w:rPr>
      </w:pPr>
      <w:r>
        <w:rPr>
          <w:rFonts w:ascii="Times New Roman" w:cs="Times New Roman" w:eastAsia="Times New Roman" w:hAnsi="Times New Roman"/>
          <w:sz w:val="18"/>
          <w:szCs w:val="18"/>
          <w:color w:val="auto"/>
        </w:rPr>
        <w:t>Company translates their financial statements into USDs.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income (“AOCI”), as a separate component of equity.</w:t>
      </w:r>
    </w:p>
    <w:p>
      <w:pPr>
        <w:spacing w:after="0" w:line="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119" w:lineRule="exact"/>
        <w:rPr>
          <w:sz w:val="20"/>
          <w:szCs w:val="20"/>
          <w:color w:val="auto"/>
        </w:rPr>
      </w:pPr>
    </w:p>
    <w:p>
      <w:pPr>
        <w:ind w:right="120" w:firstLine="644"/>
        <w:spacing w:after="0" w:line="243" w:lineRule="auto"/>
        <w:rPr>
          <w:sz w:val="20"/>
          <w:szCs w:val="20"/>
          <w:color w:val="auto"/>
        </w:rPr>
      </w:pPr>
      <w:r>
        <w:rPr>
          <w:rFonts w:ascii="Times New Roman" w:cs="Times New Roman" w:eastAsia="Times New Roman" w:hAnsi="Times New Roman"/>
          <w:sz w:val="18"/>
          <w:szCs w:val="18"/>
          <w:color w:val="auto"/>
        </w:rPr>
        <w:t>In connection with the acquisition of Thomas on December 9, 2021, we assumed a 66.67% ownership in Incom Co., LTD. As we have a controlling interest in Incom Co., LTD, we have consolidated Incom Co., LTD into our financial statements. The portion of equity in Incom Co., LTD not owned by the Company is accounted for as a noncontrolling interest. We present the portion of any equity that we do not own in a consolidated entity as noncontrolling interest and classify their interest as a component of total equity, separate from total stockholders’ equity (deficit) on our Condensed Consolidated Balance Sheets. We include net income (loss) attributable to the noncontrolling interests in net income (loss) in our Condensed Consolidated Statements of Operations and Comprehensive Loss.</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(b)Use of Estimates</w:t>
      </w:r>
    </w:p>
    <w:p>
      <w:pPr>
        <w:spacing w:after="0" w:line="121" w:lineRule="exact"/>
        <w:rPr>
          <w:sz w:val="20"/>
          <w:szCs w:val="20"/>
          <w:color w:val="auto"/>
        </w:rPr>
      </w:pPr>
    </w:p>
    <w:p>
      <w:pPr>
        <w:ind w:right="60" w:firstLine="644"/>
        <w:spacing w:after="0" w:line="250" w:lineRule="auto"/>
        <w:rPr>
          <w:sz w:val="20"/>
          <w:szCs w:val="20"/>
          <w:color w:val="auto"/>
        </w:rPr>
      </w:pPr>
      <w:r>
        <w:rPr>
          <w:rFonts w:ascii="Times New Roman" w:cs="Times New Roman" w:eastAsia="Times New Roman" w:hAnsi="Times New Roman"/>
          <w:sz w:val="18"/>
          <w:szCs w:val="18"/>
          <w:color w:val="auto"/>
        </w:rPr>
        <w:t>The preparation of the Company’s unaudited condensed consolidated financial statements in conformity with U.S. GAAP requires management to make estimates and assumptions, which affect the reported amounts in the financial statements and accompanying notes. Actual results could differ from those estimates.</w:t>
      </w:r>
    </w:p>
    <w:p>
      <w:pPr>
        <w:spacing w:after="0" w:line="81" w:lineRule="exact"/>
        <w:rPr>
          <w:sz w:val="20"/>
          <w:szCs w:val="20"/>
          <w:color w:val="auto"/>
        </w:rPr>
      </w:pPr>
    </w:p>
    <w:p>
      <w:pPr>
        <w:ind w:firstLine="644"/>
        <w:spacing w:after="0" w:line="246" w:lineRule="auto"/>
        <w:rPr>
          <w:sz w:val="20"/>
          <w:szCs w:val="20"/>
          <w:color w:val="auto"/>
        </w:rPr>
      </w:pPr>
      <w:r>
        <w:rPr>
          <w:rFonts w:ascii="Times New Roman" w:cs="Times New Roman" w:eastAsia="Times New Roman" w:hAnsi="Times New Roman"/>
          <w:sz w:val="18"/>
          <w:szCs w:val="18"/>
          <w:color w:val="auto"/>
        </w:rPr>
        <w:t>In light of the currently unknown duration and severity of the COVID-19 pandemic, we face a greater degree of uncertainty than normal in making the judgments and estimates needed to apply our significant accounting policies. As of the date these condensed consolidated financial statements were issued, the impacts of the COVID-19 pandemic did not have a significant impact on our estimates or judgments. Judgments and assumptions may change, as new events occur and additional information is obtained, as well as other factors related to COVID-19 and economic recovery that could result in a meaningful impact on our consolidated financial statements in future reporting periods.</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(c)Business Combinations</w:t>
      </w:r>
    </w:p>
    <w:p>
      <w:pPr>
        <w:spacing w:after="0" w:line="121" w:lineRule="exact"/>
        <w:rPr>
          <w:sz w:val="20"/>
          <w:szCs w:val="20"/>
          <w:color w:val="auto"/>
        </w:rPr>
      </w:pPr>
    </w:p>
    <w:p>
      <w:pPr>
        <w:ind w:right="20" w:firstLine="644"/>
        <w:spacing w:after="0" w:line="241"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adjustments are reflected in the condensed consolidated statements of operations. Acquisition costs, such as legal and consulting fees, are expensed as incurred.</w:t>
      </w:r>
    </w:p>
    <w:p>
      <w:pPr>
        <w:spacing w:after="0" w:line="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(d)Fair Value Measurements and Financial Instruments</w:t>
      </w:r>
    </w:p>
    <w:p>
      <w:pPr>
        <w:spacing w:after="0" w:line="107"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w:t>
      </w:r>
    </w:p>
    <w:p>
      <w:pPr>
        <w:spacing w:after="0" w:line="61" w:lineRule="exact"/>
        <w:rPr>
          <w:sz w:val="20"/>
          <w:szCs w:val="20"/>
          <w:color w:val="auto"/>
        </w:rPr>
      </w:pPr>
    </w:p>
    <w:p>
      <w:pPr>
        <w:ind w:right="360" w:firstLine="644"/>
        <w:spacing w:after="0" w:line="258" w:lineRule="auto"/>
        <w:rPr>
          <w:sz w:val="20"/>
          <w:szCs w:val="20"/>
          <w:color w:val="auto"/>
        </w:rPr>
      </w:pPr>
      <w:r>
        <w:rPr>
          <w:rFonts w:ascii="Times New Roman" w:cs="Times New Roman" w:eastAsia="Times New Roman" w:hAnsi="Times New Roman"/>
          <w:sz w:val="18"/>
          <w:szCs w:val="18"/>
          <w:color w:val="auto"/>
        </w:rPr>
        <w:t>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103" w:lineRule="exact"/>
        <w:rPr>
          <w:sz w:val="20"/>
          <w:szCs w:val="20"/>
          <w:color w:val="auto"/>
        </w:rPr>
      </w:pPr>
    </w:p>
    <w:p>
      <w:pPr>
        <w:jc w:val="both"/>
        <w:ind w:right="80" w:firstLine="644"/>
        <w:spacing w:after="0" w:line="258" w:lineRule="auto"/>
        <w:rPr>
          <w:sz w:val="20"/>
          <w:szCs w:val="20"/>
          <w:color w:val="auto"/>
        </w:rPr>
      </w:pPr>
      <w:r>
        <w:rPr>
          <w:rFonts w:ascii="Times New Roman" w:cs="Times New Roman" w:eastAsia="Times New Roman" w:hAnsi="Times New Roman"/>
          <w:sz w:val="18"/>
          <w:szCs w:val="18"/>
          <w:color w:val="auto"/>
        </w:rPr>
        <w:t>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61"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Level 3 - Unobservable inputs reflecting the Company’s own assumptions incorporated in valuation techniques used to determine fair value. These assumptions are required to be consistent with market participant assumptions that are reasonably available.</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9" w:name="page10"/>
    <w:bookmarkEnd w:id="9"/>
    <w:p>
      <w:pPr>
        <w:ind w:right="220" w:firstLine="644"/>
        <w:spacing w:after="0" w:line="258" w:lineRule="auto"/>
        <w:rPr>
          <w:sz w:val="20"/>
          <w:szCs w:val="20"/>
          <w:color w:val="auto"/>
        </w:rPr>
      </w:pPr>
      <w:r>
        <w:rPr>
          <w:rFonts w:ascii="Times New Roman" w:cs="Times New Roman" w:eastAsia="Times New Roman" w:hAnsi="Times New Roman"/>
          <w:sz w:val="18"/>
          <w:szCs w:val="18"/>
          <w:color w:val="auto"/>
        </w:rPr>
        <w:t>The carrying amounts of certain of the Company’s financial instruments, which include cash and cash equivalents, accounts receivable, prepaid expenses and other assets, accounts payable, accrued expenses and contract liabilities approximate their fair values due to their short maturities. The Company's marketable securities are recorded at fair value.</w:t>
      </w:r>
    </w:p>
    <w:p>
      <w:pPr>
        <w:spacing w:after="0" w:line="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(e)Marketable Securities</w:t>
      </w:r>
    </w:p>
    <w:p>
      <w:pPr>
        <w:spacing w:after="0" w:line="121" w:lineRule="exact"/>
        <w:rPr>
          <w:sz w:val="20"/>
          <w:szCs w:val="20"/>
          <w:color w:val="auto"/>
        </w:rPr>
      </w:pPr>
    </w:p>
    <w:p>
      <w:pPr>
        <w:ind w:right="20" w:firstLine="689"/>
        <w:spacing w:after="0" w:line="243" w:lineRule="auto"/>
        <w:rPr>
          <w:sz w:val="20"/>
          <w:szCs w:val="20"/>
          <w:color w:val="auto"/>
        </w:rPr>
      </w:pPr>
      <w:r>
        <w:rPr>
          <w:rFonts w:ascii="Times New Roman" w:cs="Times New Roman" w:eastAsia="Times New Roman" w:hAnsi="Times New Roman"/>
          <w:sz w:val="18"/>
          <w:szCs w:val="18"/>
          <w:color w:val="auto"/>
        </w:rPr>
        <w:t>The Company measures its marketable securities at fair value and recognizes any changes in fair value in net loss. Our marketable securities represent our investment in a short-term bond fund and a money market fund. We consider our marketable securities as available for use in current operations, and therefore classify these securities as current assets on the Condensed Consolidated Balance Sheets. As of June 30, 2022, and December 31, 2021, the Company's marketable securities of $309.8 million and $30.5 million, respectively were recorded at fair value, within Level 1 of the fair value hierarchy. The fair value of the Company’s Level 1 financial instruments is based on quoted prices in active markets, total fair value is the published market price per unit multiplied by the number of units held without consideration of transaction costs, discounts or blockage factors. During the three and six months ended June 30, 2022, the Company recorded unrealized losses of $0.3 million and $1.2 million, respectively, related to these securities which is recorded in other expenses on the Condensed Consolidated Statements of Operations and Comprehensive Loss. No unrealized gains (losses) were recorded</w:t>
      </w:r>
    </w:p>
    <w:p>
      <w:pPr>
        <w:spacing w:after="0"/>
        <w:rPr>
          <w:sz w:val="20"/>
          <w:szCs w:val="20"/>
          <w:color w:val="auto"/>
        </w:rPr>
      </w:pPr>
      <w:r>
        <w:rPr>
          <w:rFonts w:ascii="Times New Roman" w:cs="Times New Roman" w:eastAsia="Times New Roman" w:hAnsi="Times New Roman"/>
          <w:sz w:val="18"/>
          <w:szCs w:val="18"/>
          <w:color w:val="auto"/>
        </w:rPr>
        <w:t>during the three and six months ended June 30, 2021.</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(f)Accounts Receivable</w:t>
      </w:r>
    </w:p>
    <w:p>
      <w:pPr>
        <w:spacing w:after="0" w:line="121" w:lineRule="exact"/>
        <w:rPr>
          <w:sz w:val="20"/>
          <w:szCs w:val="20"/>
          <w:color w:val="auto"/>
        </w:rPr>
      </w:pPr>
    </w:p>
    <w:p>
      <w:pPr>
        <w:ind w:right="180" w:firstLine="644"/>
        <w:spacing w:after="0" w:line="243" w:lineRule="auto"/>
        <w:rPr>
          <w:sz w:val="20"/>
          <w:szCs w:val="20"/>
          <w:color w:val="auto"/>
        </w:rPr>
      </w:pPr>
      <w:r>
        <w:rPr>
          <w:rFonts w:ascii="Times New Roman" w:cs="Times New Roman" w:eastAsia="Times New Roman" w:hAnsi="Times New Roman"/>
          <w:sz w:val="18"/>
          <w:szCs w:val="18"/>
          <w:color w:val="auto"/>
        </w:rPr>
        <w:t>Accounts receivable are stated at the amount the Company expects to collect from outstanding balances. For buyers for which Xometry provides credit, the Company performs credit inquiries, including references checks, and queries credit ratings services and other publicly available information. Amounts collected on accounts receivable are included in net cash provided by operating activities in the statements of cash flows. Management provides for probable uncollectible amounts through a provision for bad debt expense and an adjustment to a valuation allowance based on its experience and judgment. Balances that are still outstanding after management has used reasonable collection efforts are written off through a charge to the valuation allowance and a credit to accounts receivable.</w:t>
      </w:r>
    </w:p>
    <w:p>
      <w:pPr>
        <w:spacing w:after="0" w:line="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(g)Property and Equipment and Long-Lived Assets</w:t>
      </w:r>
    </w:p>
    <w:p>
      <w:pPr>
        <w:spacing w:after="0" w:line="107"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Equipment under finance leases is stated at the present value of minimum lease payments. Depreciation is calculated on the straight-line method over the estimated useful life of the assets, which range from three to seven years, or in the case of leasehold improvements, over the shorter of the remaining lease term or the useful life of the asset.</w:t>
      </w:r>
    </w:p>
    <w:p>
      <w:pPr>
        <w:spacing w:after="0" w:line="61" w:lineRule="exact"/>
        <w:rPr>
          <w:sz w:val="20"/>
          <w:szCs w:val="20"/>
          <w:color w:val="auto"/>
        </w:rPr>
      </w:pPr>
    </w:p>
    <w:p>
      <w:pPr>
        <w:ind w:right="80" w:firstLine="644"/>
        <w:spacing w:after="0" w:line="243" w:lineRule="auto"/>
        <w:rPr>
          <w:sz w:val="20"/>
          <w:szCs w:val="20"/>
          <w:color w:val="auto"/>
        </w:rPr>
      </w:pPr>
      <w:r>
        <w:rPr>
          <w:rFonts w:ascii="Times New Roman" w:cs="Times New Roman" w:eastAsia="Times New Roman" w:hAnsi="Times New Roman"/>
          <w:sz w:val="18"/>
          <w:szCs w:val="18"/>
          <w:color w:val="auto"/>
        </w:rPr>
        <w:t>Property and equipment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91" w:lineRule="exact"/>
        <w:rPr>
          <w:sz w:val="20"/>
          <w:szCs w:val="20"/>
          <w:color w:val="auto"/>
        </w:rPr>
      </w:pPr>
    </w:p>
    <w:p>
      <w:pPr>
        <w:ind w:right="280" w:firstLine="644"/>
        <w:spacing w:after="0" w:line="246" w:lineRule="auto"/>
        <w:rPr>
          <w:sz w:val="20"/>
          <w:szCs w:val="20"/>
          <w:color w:val="auto"/>
        </w:rPr>
      </w:pPr>
      <w:r>
        <w:rPr>
          <w:rFonts w:ascii="Times New Roman" w:cs="Times New Roman" w:eastAsia="Times New Roman" w:hAnsi="Times New Roman"/>
          <w:sz w:val="18"/>
          <w:szCs w:val="18"/>
          <w:color w:val="auto"/>
        </w:rPr>
        <w:t>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$4.9 million for the six months ended June 30, 2022 and $5.2 million for the year ended December 31, 2021.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(h)Revenue</w:t>
      </w:r>
    </w:p>
    <w:p>
      <w:pPr>
        <w:spacing w:after="0" w:line="121" w:lineRule="exact"/>
        <w:rPr>
          <w:sz w:val="20"/>
          <w:szCs w:val="20"/>
          <w:color w:val="auto"/>
        </w:rPr>
      </w:pPr>
    </w:p>
    <w:p>
      <w:pPr>
        <w:ind w:right="240" w:firstLine="644"/>
        <w:spacing w:after="0" w:line="250" w:lineRule="auto"/>
        <w:rPr>
          <w:sz w:val="20"/>
          <w:szCs w:val="20"/>
          <w:color w:val="auto"/>
        </w:rPr>
      </w:pPr>
      <w:r>
        <w:rPr>
          <w:rFonts w:ascii="Times New Roman" w:cs="Times New Roman" w:eastAsia="Times New Roman" w:hAnsi="Times New Roman"/>
          <w:sz w:val="18"/>
          <w:szCs w:val="18"/>
          <w:color w:val="auto"/>
        </w:rPr>
        <w:t xml:space="preserve">The Company derives the majority of its marketplace revenue in the U.S. and Europe from the sale of parts and assemblies fulfilled using a vast network of suppliers. The Company recognizes revenue from the sales to our customers pursuant to Financial Accounting Standard Board’s (“FASB”) Accounting Standards Codification (“ASC”) </w:t>
      </w:r>
      <w:r>
        <w:rPr>
          <w:rFonts w:ascii="Times New Roman" w:cs="Times New Roman" w:eastAsia="Times New Roman" w:hAnsi="Times New Roman"/>
          <w:sz w:val="18"/>
          <w:szCs w:val="18"/>
          <w:i w:val="1"/>
          <w:iCs w:val="1"/>
          <w:color w:val="auto"/>
        </w:rPr>
        <w:t>Topic 606, Revenue from Contracts with Customers</w:t>
      </w:r>
      <w:r>
        <w:rPr>
          <w:rFonts w:ascii="Times New Roman" w:cs="Times New Roman" w:eastAsia="Times New Roman" w:hAnsi="Times New Roman"/>
          <w:sz w:val="18"/>
          <w:szCs w:val="18"/>
          <w:color w:val="auto"/>
        </w:rPr>
        <w:t xml:space="preserve"> (“ASC 606”).</w:t>
      </w:r>
    </w:p>
    <w:p>
      <w:pPr>
        <w:spacing w:after="0" w:line="81" w:lineRule="exact"/>
        <w:rPr>
          <w:sz w:val="20"/>
          <w:szCs w:val="20"/>
          <w:color w:val="auto"/>
        </w:rPr>
      </w:pPr>
    </w:p>
    <w:p>
      <w:pPr>
        <w:ind w:firstLine="644"/>
        <w:spacing w:after="0" w:line="243" w:lineRule="auto"/>
        <w:rPr>
          <w:sz w:val="20"/>
          <w:szCs w:val="20"/>
          <w:color w:val="auto"/>
        </w:rPr>
      </w:pPr>
      <w:r>
        <w:rPr>
          <w:rFonts w:ascii="Times New Roman" w:cs="Times New Roman" w:eastAsia="Times New Roman" w:hAnsi="Times New Roman"/>
          <w:sz w:val="18"/>
          <w:szCs w:val="18"/>
          <w:color w:val="auto"/>
        </w:rPr>
        <w:t>The Company determines that a contract exists between the Company and the customer when the customer accepts the quote and places the order, all of which are governed by the Company’s standard terms and conditions or other agreed terms with Xometry’s buyers.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Xometry’s customers upon shipment, at which point control over the part(s) or assembly have transferred.</w:t>
      </w:r>
    </w:p>
    <w:p>
      <w:pPr>
        <w:spacing w:after="0" w:line="77" w:lineRule="exact"/>
        <w:rPr>
          <w:sz w:val="20"/>
          <w:szCs w:val="20"/>
          <w:color w:val="auto"/>
        </w:rPr>
      </w:pPr>
    </w:p>
    <w:p>
      <w:pPr>
        <w:ind w:right="340" w:firstLine="644"/>
        <w:spacing w:after="0" w:line="258" w:lineRule="auto"/>
        <w:rPr>
          <w:sz w:val="20"/>
          <w:szCs w:val="20"/>
          <w:color w:val="auto"/>
        </w:rPr>
      </w:pPr>
      <w:r>
        <w:rPr>
          <w:rFonts w:ascii="Times New Roman" w:cs="Times New Roman" w:eastAsia="Times New Roman" w:hAnsi="Times New Roman"/>
          <w:sz w:val="18"/>
          <w:szCs w:val="18"/>
          <w:color w:val="auto"/>
        </w:rPr>
        <w:t>The Company has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Company’s customers on Xometry’s behalf. The Company</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0" w:name="page11"/>
    <w:bookmarkEnd w:id="10"/>
    <w:p>
      <w:pPr>
        <w:ind w:right="40"/>
        <w:spacing w:after="0" w:line="250" w:lineRule="auto"/>
        <w:rPr>
          <w:sz w:val="20"/>
          <w:szCs w:val="20"/>
          <w:color w:val="auto"/>
        </w:rPr>
      </w:pPr>
      <w:r>
        <w:rPr>
          <w:rFonts w:ascii="Times New Roman" w:cs="Times New Roman" w:eastAsia="Times New Roman" w:hAnsi="Times New Roman"/>
          <w:sz w:val="18"/>
          <w:szCs w:val="18"/>
          <w:color w:val="auto"/>
        </w:rPr>
        <w:t>has considered the following conditions of the sale: (i) the Company has the obligation of providing the specified product to the customer, (ii) the Company has discretion with respect to establishing the price of the product and the price the Company pays the suppliers and the Company has margin risk on all of Xometry’s sales, (iii) the Company has discretion in determining how to fulfill each order, including selecting the supplier and (iv) Xometry bears certain risk for product quality to the extent the customer is not satisfied with the final product.</w:t>
      </w:r>
    </w:p>
    <w:p>
      <w:pPr>
        <w:spacing w:after="0" w:line="81" w:lineRule="exact"/>
        <w:rPr>
          <w:sz w:val="20"/>
          <w:szCs w:val="20"/>
          <w:color w:val="auto"/>
        </w:rPr>
      </w:pPr>
    </w:p>
    <w:p>
      <w:pPr>
        <w:ind w:right="60" w:firstLine="644"/>
        <w:spacing w:after="0" w:line="257" w:lineRule="auto"/>
        <w:rPr>
          <w:sz w:val="20"/>
          <w:szCs w:val="20"/>
          <w:color w:val="auto"/>
        </w:rPr>
      </w:pPr>
      <w:r>
        <w:rPr>
          <w:rFonts w:ascii="Times New Roman" w:cs="Times New Roman" w:eastAsia="Times New Roman" w:hAnsi="Times New Roman"/>
          <w:sz w:val="17"/>
          <w:szCs w:val="17"/>
          <w:color w:val="auto"/>
        </w:rPr>
        <w:t>Xometry also derives revenue from its supplier services which is a suite of services offered to our suppliers. In connection with the acquisition of Thomas on December 9, 2021, our revenue also includes the sale of advertising. This revenue is generally recognized as control is transferred to the customer, in an amount reflecting the consideration we expect to be entitled to in exchange for such product or service. A purchase order with a customer may involve multiple performance obligations, including a combination of some or all of our products. Judgment may be required in determining whether products are considered distinct performance obligations that should be accounted for separately or as one combined performance obligation. Revenue is recognized over the period or at the point in time in which the performance obligations are satisfied. Consideration is typically determined based on a fixed unit price for the quantity of product transferred. For purchase orders involving multiple performance obligations, the transaction price is allocated to each performance obligation based on relative standalone selling price, and recognized as revenue when each individual product or service is transferred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w:t>
      </w:r>
    </w:p>
    <w:p>
      <w:pPr>
        <w:spacing w:after="0" w:line="112" w:lineRule="exact"/>
        <w:rPr>
          <w:sz w:val="20"/>
          <w:szCs w:val="20"/>
          <w:color w:val="auto"/>
        </w:rPr>
      </w:pPr>
    </w:p>
    <w:p>
      <w:pPr>
        <w:ind w:right="560" w:firstLine="644"/>
        <w:spacing w:after="0" w:line="281" w:lineRule="auto"/>
        <w:rPr>
          <w:sz w:val="20"/>
          <w:szCs w:val="20"/>
          <w:color w:val="auto"/>
        </w:rPr>
      </w:pPr>
      <w:r>
        <w:rPr>
          <w:rFonts w:ascii="Times New Roman" w:cs="Times New Roman" w:eastAsia="Times New Roman" w:hAnsi="Times New Roman"/>
          <w:sz w:val="18"/>
          <w:szCs w:val="18"/>
          <w:color w:val="auto"/>
        </w:rPr>
        <w:t>Revenue is shown net of estimated returns, refunds, and allowances. As of June 30, 2022, and December 31, 2021, the Company has a $0.3 million and $0.2 million, respectively, provision for estimated returns, refunds or allowances.</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tax collected from customers and remitted to governmental authorities is excluded from revenue.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19" w:lineRule="exact"/>
        <w:rPr>
          <w:sz w:val="20"/>
          <w:szCs w:val="20"/>
          <w:color w:val="auto"/>
        </w:rPr>
      </w:pPr>
    </w:p>
    <w:p>
      <w:pPr>
        <w:ind w:firstLine="644"/>
        <w:spacing w:after="0" w:line="295" w:lineRule="auto"/>
        <w:rPr>
          <w:sz w:val="20"/>
          <w:szCs w:val="20"/>
          <w:color w:val="auto"/>
        </w:rPr>
      </w:pPr>
      <w:r>
        <w:rPr>
          <w:rFonts w:ascii="Times New Roman" w:cs="Times New Roman" w:eastAsia="Times New Roman" w:hAnsi="Times New Roman"/>
          <w:sz w:val="17"/>
          <w:szCs w:val="17"/>
          <w:color w:val="auto"/>
        </w:rPr>
        <w:t>Contract liabilities are primarily derived from payments received in advance or at the time an order is placed, for which the associated performance obligations have not been satisfied and revenue has not been recognized based on the Company’s revenue recognition criteria described above.</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the contract liabilities as of December 31, 2021 and June 30, 2022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 at December 31, 2021</w:t>
            </w: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7,863</w:t>
            </w:r>
          </w:p>
        </w:tc>
        <w:tc>
          <w:tcPr>
            <w:tcW w:w="100" w:type="dxa"/>
            <w:vAlign w:val="bottom"/>
            <w:shd w:val="clear" w:color="auto" w:fill="CFF0FC"/>
          </w:tcPr>
          <w:p>
            <w:pPr>
              <w:spacing w:after="0"/>
              <w:rPr>
                <w:sz w:val="18"/>
                <w:szCs w:val="18"/>
                <w:color w:val="auto"/>
              </w:rPr>
            </w:pPr>
          </w:p>
        </w:tc>
      </w:tr>
      <w:tr>
        <w:trPr>
          <w:trHeight w:val="216"/>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7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(79,333 )</w:t>
            </w:r>
          </w:p>
        </w:tc>
      </w:tr>
      <w:tr>
        <w:trPr>
          <w:trHeight w:val="216"/>
        </w:trPr>
        <w:tc>
          <w:tcPr>
            <w:tcW w:w="9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received in advance</w:t>
            </w:r>
          </w:p>
        </w:tc>
        <w:tc>
          <w:tcPr>
            <w:tcW w:w="7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at June 30, 2022</w:t>
            </w: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100" w:type="dxa"/>
            <w:vAlign w:val="bottom"/>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ind w:right="320" w:firstLine="644"/>
        <w:spacing w:after="0" w:line="281" w:lineRule="auto"/>
        <w:rPr>
          <w:sz w:val="20"/>
          <w:szCs w:val="20"/>
          <w:color w:val="auto"/>
        </w:rPr>
      </w:pPr>
      <w:r>
        <w:rPr>
          <w:rFonts w:ascii="Times New Roman" w:cs="Times New Roman" w:eastAsia="Times New Roman" w:hAnsi="Times New Roman"/>
          <w:sz w:val="18"/>
          <w:szCs w:val="18"/>
          <w:color w:val="auto"/>
        </w:rPr>
        <w:t>During the six months ended June 30, 2022, the Company recognized approximately $7.2 million of revenue related to its contract liabilities at December 31, 2021.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Contract Acquisition Costs</w:t>
      </w:r>
    </w:p>
    <w:p>
      <w:pPr>
        <w:spacing w:after="0" w:line="213" w:lineRule="exact"/>
        <w:rPr>
          <w:sz w:val="20"/>
          <w:szCs w:val="20"/>
          <w:color w:val="auto"/>
        </w:rPr>
      </w:pPr>
    </w:p>
    <w:p>
      <w:pPr>
        <w:ind w:right="20" w:firstLine="644"/>
        <w:spacing w:after="0" w:line="259" w:lineRule="auto"/>
        <w:rPr>
          <w:sz w:val="20"/>
          <w:szCs w:val="20"/>
          <w:color w:val="auto"/>
        </w:rPr>
      </w:pPr>
      <w:r>
        <w:rPr>
          <w:rFonts w:ascii="Times New Roman" w:cs="Times New Roman" w:eastAsia="Times New Roman" w:hAnsi="Times New Roman"/>
          <w:sz w:val="17"/>
          <w:szCs w:val="17"/>
          <w:color w:val="auto"/>
        </w:rPr>
        <w:t>The Company’s incremental costs to obtain a contract may include a sales commission which is generally determined on a per order basis. For contracts in excess of one year, the Company amortizes such costs on a straight-line basis over the average customers life of two years for new customers and over the renewal period for existing customers which is generally one year. Sales commissions are included in Xometry’s sales and marketing expenses and cost of revenue in the Condensed Consolidated Statements of Operations and Comprehensive Loss. For the three months and six months ended June 30, 2022, we recognized approximately $(0.7) million and $1.4 million, respectively of amortization related to deferred sales commissions. The three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 amount includes a $1.9 million measurement period benefit related to our acquisition of Thomas. See Note 7 - Acquisitions.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(i)Cost of Revenue</w:t>
      </w:r>
    </w:p>
    <w:p>
      <w:pPr>
        <w:spacing w:after="0" w:line="215" w:lineRule="exact"/>
        <w:rPr>
          <w:sz w:val="20"/>
          <w:szCs w:val="20"/>
          <w:color w:val="auto"/>
        </w:rPr>
      </w:pPr>
    </w:p>
    <w:p>
      <w:pPr>
        <w:ind w:right="200" w:firstLine="644"/>
        <w:spacing w:after="0" w:line="266" w:lineRule="auto"/>
        <w:rPr>
          <w:sz w:val="20"/>
          <w:szCs w:val="20"/>
          <w:color w:val="auto"/>
        </w:rPr>
      </w:pPr>
      <w:r>
        <w:rPr>
          <w:rFonts w:ascii="Times New Roman" w:cs="Times New Roman" w:eastAsia="Times New Roman" w:hAnsi="Times New Roman"/>
          <w:sz w:val="18"/>
          <w:szCs w:val="18"/>
          <w:color w:val="auto"/>
        </w:rPr>
        <w:t>Cost of revenue for marketplace primarily consists of the cost of the products that are manufactured or produced by the Company’s suppliers for delivery to buyers on the Company's platform, internal and external production costs, shipping costs, and certain internal depreciation.</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revenue for supplier services primarily consists of internal and external production costs and website hosting.</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(j)Leases</w:t>
      </w:r>
    </w:p>
    <w:p>
      <w:pPr>
        <w:spacing w:after="0" w:line="107" w:lineRule="exact"/>
        <w:rPr>
          <w:sz w:val="20"/>
          <w:szCs w:val="20"/>
          <w:color w:val="auto"/>
        </w:rPr>
      </w:pPr>
    </w:p>
    <w:p>
      <w:pPr>
        <w:ind w:right="60" w:firstLine="644"/>
        <w:spacing w:after="0" w:line="250"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and the classification of that lease, if applicable, at its inception. Operating leases are included in operating lease right-of-use ("ROU") assets, operating lease liabilities and operating lease liabilities (net of current portion) in the Condensed Consolidated Balance Sheets. The Company has finance leases as detailed in the Long-Lived Assets section above. For leases with terms of twelve months or less, the Company does not recognize ROU assets or lease liabilities on the Condensed Consolidated Balance Sheets. Additionally, the Company elected to use the practical expedient to not separate lease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1" w:name="page12"/>
    <w:bookmarkEnd w:id="11"/>
    <w:p>
      <w:pPr>
        <w:ind w:right="220"/>
        <w:spacing w:after="0" w:line="281" w:lineRule="auto"/>
        <w:rPr>
          <w:sz w:val="20"/>
          <w:szCs w:val="20"/>
          <w:color w:val="auto"/>
        </w:rPr>
      </w:pPr>
      <w:r>
        <w:rPr>
          <w:rFonts w:ascii="Times New Roman" w:cs="Times New Roman" w:eastAsia="Times New Roman" w:hAnsi="Times New Roman"/>
          <w:sz w:val="18"/>
          <w:szCs w:val="18"/>
          <w:color w:val="auto"/>
        </w:rPr>
        <w:t>and non-lease components for leases of real estate, meaning that for these leases, the non-lease components are included in the associated ROU asset and lease liability balances on the Company’s Condensed Consolidated Balance Sheets.</w:t>
      </w:r>
    </w:p>
    <w:p>
      <w:pPr>
        <w:spacing w:after="0" w:line="41" w:lineRule="exact"/>
        <w:rPr>
          <w:sz w:val="20"/>
          <w:szCs w:val="20"/>
          <w:color w:val="auto"/>
        </w:rPr>
      </w:pPr>
    </w:p>
    <w:p>
      <w:pPr>
        <w:ind w:right="20" w:firstLine="644"/>
        <w:spacing w:after="0" w:line="247"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expense for lease payments is recognized on a straight-line basis over the term of the lease.</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(k)Sales and Marketing</w:t>
      </w:r>
    </w:p>
    <w:p>
      <w:pPr>
        <w:spacing w:after="0" w:line="107" w:lineRule="exact"/>
        <w:rPr>
          <w:sz w:val="20"/>
          <w:szCs w:val="20"/>
          <w:color w:val="auto"/>
        </w:rPr>
      </w:pPr>
    </w:p>
    <w:p>
      <w:pPr>
        <w:ind w:right="60" w:firstLine="644"/>
        <w:spacing w:after="0" w:line="250" w:lineRule="auto"/>
        <w:rPr>
          <w:sz w:val="20"/>
          <w:szCs w:val="20"/>
          <w:color w:val="auto"/>
        </w:rPr>
      </w:pPr>
      <w:r>
        <w:rPr>
          <w:rFonts w:ascii="Times New Roman" w:cs="Times New Roman" w:eastAsia="Times New Roman" w:hAnsi="Times New Roman"/>
          <w:sz w:val="18"/>
          <w:szCs w:val="18"/>
          <w:color w:val="auto"/>
        </w:rPr>
        <w:t>Sales and marketing expenses are expensed as incurred and include the costs of digital marketing strategies, branding costs and other advertising costs, certain depreciation and amortization expense, and compensation expenses, including stock-based compensation, to the Company’s sales and marketing employees. For the three and six months ended June 30, 2022, the Company's advertising cost were $7.9 million and $15.0 million, respectively. For the three and six months ended June 30, 2021, the Company's advertising cost were $4.7 million and $8.9 million, respectively.</w:t>
      </w:r>
    </w:p>
    <w:p>
      <w:pPr>
        <w:spacing w:after="0" w:line="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(l)Operations and Support</w:t>
      </w:r>
    </w:p>
    <w:p>
      <w:pPr>
        <w:spacing w:after="0" w:line="107" w:lineRule="exact"/>
        <w:rPr>
          <w:sz w:val="20"/>
          <w:szCs w:val="20"/>
          <w:color w:val="auto"/>
        </w:rPr>
      </w:pPr>
    </w:p>
    <w:p>
      <w:pPr>
        <w:ind w:right="120" w:firstLine="644"/>
        <w:spacing w:after="0" w:line="250" w:lineRule="auto"/>
        <w:rPr>
          <w:sz w:val="20"/>
          <w:szCs w:val="20"/>
          <w:color w:val="auto"/>
        </w:rPr>
      </w:pPr>
      <w:r>
        <w:rPr>
          <w:rFonts w:ascii="Times New Roman" w:cs="Times New Roman" w:eastAsia="Times New Roman" w:hAnsi="Times New Roman"/>
          <w:sz w:val="18"/>
          <w:szCs w:val="18"/>
          <w:color w:val="auto"/>
        </w:rPr>
        <w:t>Operations and support expenses are the costs the Company incurs in support of buyers and suppliers on Xometry’s platforms which are provided by phone, email and chat for purposes of resolving buyer and supplier related matters. These costs primarily consist of compensation expenses of the support staff, including stock-based compensation, certain depreciation and amortization expense and software costs used in delivering buyer and supplier services.</w:t>
      </w:r>
    </w:p>
    <w:p>
      <w:pPr>
        <w:spacing w:after="0" w:line="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(m)Product Development</w:t>
      </w:r>
    </w:p>
    <w:p>
      <w:pPr>
        <w:spacing w:after="0" w:line="121" w:lineRule="exact"/>
        <w:rPr>
          <w:sz w:val="20"/>
          <w:szCs w:val="20"/>
          <w:color w:val="auto"/>
        </w:rPr>
      </w:pPr>
    </w:p>
    <w:p>
      <w:pPr>
        <w:ind w:right="180" w:firstLine="644"/>
        <w:spacing w:after="0" w:line="295" w:lineRule="auto"/>
        <w:rPr>
          <w:sz w:val="20"/>
          <w:szCs w:val="20"/>
          <w:color w:val="auto"/>
        </w:rPr>
      </w:pPr>
      <w:r>
        <w:rPr>
          <w:rFonts w:ascii="Times New Roman" w:cs="Times New Roman" w:eastAsia="Times New Roman" w:hAnsi="Times New Roman"/>
          <w:sz w:val="17"/>
          <w:szCs w:val="17"/>
          <w:color w:val="auto"/>
        </w:rPr>
        <w:t>Product development costs which are not eligible for capitalization are expensed as incurred. This account also includes compensation expenses, including stock-based compensation to the Company’s employees performing these functions and certain depreciation and amortization expense.</w:t>
      </w:r>
    </w:p>
    <w:p>
      <w:pPr>
        <w:spacing w:after="0" w:line="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(n)General and Administrative</w:t>
      </w:r>
    </w:p>
    <w:p>
      <w:pPr>
        <w:spacing w:after="0" w:line="121" w:lineRule="exact"/>
        <w:rPr>
          <w:sz w:val="20"/>
          <w:szCs w:val="20"/>
          <w:color w:val="auto"/>
        </w:rPr>
      </w:pPr>
    </w:p>
    <w:p>
      <w:pPr>
        <w:ind w:right="500" w:firstLine="644"/>
        <w:spacing w:after="0" w:line="295" w:lineRule="auto"/>
        <w:rPr>
          <w:sz w:val="20"/>
          <w:szCs w:val="20"/>
          <w:color w:val="auto"/>
        </w:rPr>
      </w:pPr>
      <w:r>
        <w:rPr>
          <w:rFonts w:ascii="Times New Roman" w:cs="Times New Roman" w:eastAsia="Times New Roman" w:hAnsi="Times New Roman"/>
          <w:sz w:val="17"/>
          <w:szCs w:val="17"/>
          <w:color w:val="auto"/>
        </w:rPr>
        <w:t>General and administrative expenses primarily consist of professional service fees and certain depreciation and amortization expense. It also includes compensation expenses, including stock-based compensation expenses, for executive, finance, legal and other administrative personnel.</w:t>
      </w:r>
    </w:p>
    <w:p>
      <w:pPr>
        <w:spacing w:after="0" w:line="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(o)Stock Based Compensation</w:t>
      </w:r>
    </w:p>
    <w:p>
      <w:pPr>
        <w:spacing w:after="0" w:line="107" w:lineRule="exact"/>
        <w:rPr>
          <w:sz w:val="20"/>
          <w:szCs w:val="20"/>
          <w:color w:val="auto"/>
        </w:rPr>
      </w:pPr>
    </w:p>
    <w:p>
      <w:pPr>
        <w:ind w:right="60" w:firstLine="644"/>
        <w:spacing w:after="0" w:line="250" w:lineRule="auto"/>
        <w:rPr>
          <w:sz w:val="20"/>
          <w:szCs w:val="20"/>
          <w:color w:val="auto"/>
        </w:rPr>
      </w:pPr>
      <w:r>
        <w:rPr>
          <w:rFonts w:ascii="Times New Roman" w:cs="Times New Roman" w:eastAsia="Times New Roman" w:hAnsi="Times New Roman"/>
          <w:sz w:val="18"/>
          <w:szCs w:val="18"/>
          <w:color w:val="auto"/>
        </w:rPr>
        <w:t>All stock-based compensation, including stock options and restricted stock units are measured at the grant date fair value of the award. The Company estimates grant date fair value of stock options using the Black-Scholes option-pricing model. The fair value of stock options and restricted stock units is recognized as compensation expense on a straight-line basis over the requisite service period, which is typically four years. The fair value of the restricted stock units is determined using the fair value of the Company's Class A common stock on the date of grant. Forfeitures are recorded in the period in which they occur.</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Black-Scholes model considers several variables and assumptions in estimating the fair value of stock-based awards.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variables include:</w:t>
      </w:r>
    </w:p>
    <w:p>
      <w:pPr>
        <w:spacing w:after="0" w:line="117" w:lineRule="exact"/>
        <w:rPr>
          <w:sz w:val="20"/>
          <w:szCs w:val="20"/>
          <w:color w:val="auto"/>
        </w:rPr>
      </w:pPr>
    </w:p>
    <w:p>
      <w:pPr>
        <w:ind w:left="1220" w:hanging="568"/>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annual dividend yield;</w:t>
      </w:r>
    </w:p>
    <w:p>
      <w:pPr>
        <w:spacing w:after="0" w:line="103" w:lineRule="exact"/>
        <w:rPr>
          <w:rFonts w:ascii="Times New Roman" w:cs="Times New Roman" w:eastAsia="Times New Roman" w:hAnsi="Times New Roman"/>
          <w:sz w:val="18"/>
          <w:szCs w:val="18"/>
          <w:color w:val="auto"/>
        </w:rPr>
      </w:pPr>
    </w:p>
    <w:p>
      <w:pPr>
        <w:ind w:left="1220" w:hanging="568"/>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over the expected term;</w:t>
      </w:r>
    </w:p>
    <w:p>
      <w:pPr>
        <w:spacing w:after="0" w:line="103" w:lineRule="exact"/>
        <w:rPr>
          <w:rFonts w:ascii="Times New Roman" w:cs="Times New Roman" w:eastAsia="Times New Roman" w:hAnsi="Times New Roman"/>
          <w:sz w:val="18"/>
          <w:szCs w:val="18"/>
          <w:color w:val="auto"/>
        </w:rPr>
      </w:pPr>
    </w:p>
    <w:p>
      <w:pPr>
        <w:ind w:left="1220" w:hanging="568"/>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w:t>
      </w:r>
    </w:p>
    <w:p>
      <w:pPr>
        <w:spacing w:after="0" w:line="116" w:lineRule="exact"/>
        <w:rPr>
          <w:rFonts w:ascii="Times New Roman" w:cs="Times New Roman" w:eastAsia="Times New Roman" w:hAnsi="Times New Roman"/>
          <w:sz w:val="18"/>
          <w:szCs w:val="18"/>
          <w:color w:val="auto"/>
        </w:rPr>
      </w:pPr>
    </w:p>
    <w:p>
      <w:pPr>
        <w:ind w:left="1220" w:hanging="568"/>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interest rate;</w:t>
      </w:r>
    </w:p>
    <w:p>
      <w:pPr>
        <w:spacing w:after="0" w:line="103" w:lineRule="exact"/>
        <w:rPr>
          <w:rFonts w:ascii="Times New Roman" w:cs="Times New Roman" w:eastAsia="Times New Roman" w:hAnsi="Times New Roman"/>
          <w:sz w:val="18"/>
          <w:szCs w:val="18"/>
          <w:color w:val="auto"/>
        </w:rPr>
      </w:pPr>
    </w:p>
    <w:p>
      <w:pPr>
        <w:ind w:left="1220" w:hanging="568"/>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value of the underlying common stock; and</w:t>
      </w:r>
    </w:p>
    <w:p>
      <w:pPr>
        <w:spacing w:after="0" w:line="103" w:lineRule="exact"/>
        <w:rPr>
          <w:rFonts w:ascii="Times New Roman" w:cs="Times New Roman" w:eastAsia="Times New Roman" w:hAnsi="Times New Roman"/>
          <w:sz w:val="18"/>
          <w:szCs w:val="18"/>
          <w:color w:val="auto"/>
        </w:rPr>
      </w:pPr>
    </w:p>
    <w:p>
      <w:pPr>
        <w:ind w:left="1220" w:hanging="568"/>
        <w:spacing w:after="0"/>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w:t>
      </w:r>
    </w:p>
    <w:p>
      <w:pPr>
        <w:spacing w:after="0" w:line="117" w:lineRule="exact"/>
        <w:rPr>
          <w:sz w:val="20"/>
          <w:szCs w:val="20"/>
          <w:color w:val="auto"/>
        </w:rPr>
      </w:pPr>
    </w:p>
    <w:p>
      <w:pPr>
        <w:ind w:firstLine="644"/>
        <w:spacing w:after="0" w:line="245" w:lineRule="auto"/>
        <w:rPr>
          <w:sz w:val="20"/>
          <w:szCs w:val="20"/>
          <w:color w:val="auto"/>
        </w:rPr>
      </w:pPr>
      <w:r>
        <w:rPr>
          <w:rFonts w:ascii="Times New Roman" w:cs="Times New Roman" w:eastAsia="Times New Roman" w:hAnsi="Times New Roman"/>
          <w:sz w:val="18"/>
          <w:szCs w:val="18"/>
          <w:color w:val="auto"/>
        </w:rPr>
        <w:t>For all stock options granted, the Company calculated the expected term using the simplified method for “plain vanilla” stock option awards. The risk-free interest rate is based on the yield available on U.S. Treasury issuances similar in duration to the expected term of the stock-based award. As there was no public market for the Company's common stock prior to the initial public offering (“IPO”), the Company estimates its expected share price volatility based on the historical volatility of publicly traded peer companies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2" w:name="page13"/>
    <w:bookmarkEnd w:id="12"/>
    <w:p>
      <w:pPr>
        <w:ind w:right="540"/>
        <w:spacing w:after="0" w:line="281" w:lineRule="auto"/>
        <w:rPr>
          <w:sz w:val="20"/>
          <w:szCs w:val="20"/>
          <w:color w:val="auto"/>
        </w:rPr>
      </w:pPr>
      <w:r>
        <w:rPr>
          <w:rFonts w:ascii="Times New Roman" w:cs="Times New Roman" w:eastAsia="Times New Roman" w:hAnsi="Times New Roman"/>
          <w:sz w:val="18"/>
          <w:szCs w:val="18"/>
          <w:color w:val="auto"/>
        </w:rPr>
        <w:t>and expects to continue to do so until such time as it has adequate historical data regarding the volatility of its own traded share price. The Company utilized a dividend yield of zero, as it had no history or plan of declaring dividends on its common stock.</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(p)Net Loss Per Share</w:t>
      </w:r>
    </w:p>
    <w:p>
      <w:pPr>
        <w:spacing w:after="0" w:line="107" w:lineRule="exact"/>
        <w:rPr>
          <w:sz w:val="20"/>
          <w:szCs w:val="20"/>
          <w:color w:val="auto"/>
        </w:rPr>
      </w:pPr>
    </w:p>
    <w:p>
      <w:pPr>
        <w:ind w:firstLine="644"/>
        <w:spacing w:after="0" w:line="250"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weighted-average number of shares of common stock outstanding during the period. The diluted net loss per share is computed by giving effect to all potentially dilutive securities outstanding for the period. For periods in which the Company reports net losses, diluted net loss per common share is the same as basic net loss per common share, because all potentially dilutive securities are anti-dilutive. Vested RSUs that have not been settled have been included in the appropriate common share class used to calculate basic net loss per share.</w:t>
      </w:r>
    </w:p>
    <w:p>
      <w:pPr>
        <w:spacing w:after="0" w:line="68" w:lineRule="exact"/>
        <w:rPr>
          <w:sz w:val="20"/>
          <w:szCs w:val="20"/>
          <w:color w:val="auto"/>
        </w:rPr>
      </w:pPr>
    </w:p>
    <w:p>
      <w:pPr>
        <w:ind w:right="20" w:firstLine="644"/>
        <w:spacing w:after="0" w:line="244" w:lineRule="auto"/>
        <w:rPr>
          <w:sz w:val="20"/>
          <w:szCs w:val="20"/>
          <w:color w:val="auto"/>
        </w:rPr>
      </w:pPr>
      <w:r>
        <w:rPr>
          <w:rFonts w:ascii="Times New Roman" w:cs="Times New Roman" w:eastAsia="Times New Roman" w:hAnsi="Times New Roman"/>
          <w:sz w:val="18"/>
          <w:szCs w:val="18"/>
          <w:color w:val="auto"/>
        </w:rPr>
        <w:t>Subsequent to the Company's IPO on July 2, 2021, the Company computes net loss per share using the two-class method required for multiple classes of common stock and participating securities. The two-class method requires income available to common stockholders for the period to be allocated between common stock and participating securities based upon their respective rights to receive dividends as if all income for the period had been distributed. Certain unvested share-based payment awards that contain nonforfeitable rights to dividends are treated as participating securities and therefore included in computing net income per share using the two-class method. The rights, including the liquidation and dividend rights, of the Class A common stock and Class B common stock are substantially identical, other than voting rights. Accordingly, the Class A common stock and Class B common stock shared proportionately in the Company’s net losses.</w:t>
      </w:r>
    </w:p>
    <w:p>
      <w:pPr>
        <w:spacing w:after="0" w:line="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(q)Reclassifications</w:t>
      </w:r>
    </w:p>
    <w:p>
      <w:pPr>
        <w:spacing w:after="0" w:line="107" w:lineRule="exact"/>
        <w:rPr>
          <w:sz w:val="20"/>
          <w:szCs w:val="20"/>
          <w:color w:val="auto"/>
        </w:rPr>
      </w:pPr>
    </w:p>
    <w:p>
      <w:pPr>
        <w:ind w:right="720" w:firstLine="644"/>
        <w:spacing w:after="0" w:line="281" w:lineRule="auto"/>
        <w:rPr>
          <w:sz w:val="20"/>
          <w:szCs w:val="20"/>
          <w:color w:val="auto"/>
        </w:rPr>
      </w:pPr>
      <w:r>
        <w:rPr>
          <w:rFonts w:ascii="Times New Roman" w:cs="Times New Roman" w:eastAsia="Times New Roman" w:hAnsi="Times New Roman"/>
          <w:sz w:val="18"/>
          <w:szCs w:val="18"/>
          <w:color w:val="auto"/>
        </w:rPr>
        <w:t>Certain line items on the Company’s condensed consolidated financial statements have been reclassified to conform to the current period presentation. These reclassifications have not changed the results of operations of prior periods.</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 Recently Issued Accounting Standards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Adopted in the Current Year</w:t>
      </w:r>
    </w:p>
    <w:p>
      <w:pPr>
        <w:spacing w:after="0" w:line="103" w:lineRule="exact"/>
        <w:rPr>
          <w:sz w:val="20"/>
          <w:szCs w:val="20"/>
          <w:color w:val="auto"/>
        </w:rPr>
      </w:pPr>
    </w:p>
    <w:p>
      <w:pPr>
        <w:ind w:right="60" w:firstLine="644"/>
        <w:spacing w:after="0" w:line="269" w:lineRule="auto"/>
        <w:rPr>
          <w:sz w:val="20"/>
          <w:szCs w:val="20"/>
          <w:color w:val="auto"/>
        </w:rPr>
      </w:pPr>
      <w:r>
        <w:rPr>
          <w:rFonts w:ascii="Times New Roman" w:cs="Times New Roman" w:eastAsia="Times New Roman" w:hAnsi="Times New Roman"/>
          <w:sz w:val="17"/>
          <w:szCs w:val="17"/>
          <w:color w:val="auto"/>
        </w:rPr>
        <w:t xml:space="preserve">In August 2020, the FASB issued Accounting Standards Update (“ASU”) 2020-06, </w:t>
      </w:r>
      <w:r>
        <w:rPr>
          <w:rFonts w:ascii="Times New Roman" w:cs="Times New Roman" w:eastAsia="Times New Roman" w:hAnsi="Times New Roman"/>
          <w:sz w:val="17"/>
          <w:szCs w:val="17"/>
          <w:i w:val="1"/>
          <w:iCs w:val="1"/>
          <w:color w:val="auto"/>
        </w:rPr>
        <w:t>Debt—Debt with Conversion and Other Options (Subtopic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470-20) and Derivatives and Hedging — Contracts in Entity’s Own Equity (Subtopic 815-40): Accounting for Convertible Instruments and Contracts in an</w:t>
      </w:r>
    </w:p>
    <w:p>
      <w:pPr>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Entity’s Own Equity </w:t>
      </w:r>
      <w:r>
        <w:rPr>
          <w:rFonts w:ascii="Times New Roman" w:cs="Times New Roman" w:eastAsia="Times New Roman" w:hAnsi="Times New Roman"/>
          <w:sz w:val="18"/>
          <w:szCs w:val="18"/>
          <w:color w:val="auto"/>
        </w:rPr>
        <w:t>(“ASU 2020-06”), which reduced the number of models used to account for convertible instruments, amends the accounting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in an entity’s own equity that would have previously been accounted for as derivatives and modifies the diluted earnings per share calculations for convertible instruments. We adopted ASU 2020-06 on January 1, 2022. As a result of the adoption of ASU 2020-06, the convertible notes issued in February 2022 were considered to be debt with no allocation to equity.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103" w:lineRule="exact"/>
        <w:rPr>
          <w:sz w:val="20"/>
          <w:szCs w:val="20"/>
          <w:color w:val="auto"/>
        </w:rPr>
      </w:pPr>
    </w:p>
    <w:p>
      <w:pPr>
        <w:ind w:right="60" w:firstLine="644"/>
        <w:spacing w:after="0" w:line="244"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w:t>
      </w:r>
      <w:r>
        <w:rPr>
          <w:rFonts w:ascii="Times New Roman" w:cs="Times New Roman" w:eastAsia="Times New Roman" w:hAnsi="Times New Roman"/>
          <w:sz w:val="18"/>
          <w:szCs w:val="18"/>
          <w:i w:val="1"/>
          <w:iCs w:val="1"/>
          <w:color w:val="auto"/>
        </w:rPr>
        <w:t>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Topic 326 changes the impairment model for most financial assets and certain other instruments. Under the new standard, entities holding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Topic 326 was originally effective for the Company on January 1, 2023 given our Emerging Growth Company status. We will lose our Emerging Growth Company status on January 1, 2023 and will file our fiscal year Form 10-K as a non-Emerging Growth Company filer. Therefore, in preparation for fiscal year 2022 reporting, the Company applied Topic 326 as if we were not an Emerging Growth Company on July 1, 2022. The adoption of Topic 326 on July 1, 2022 did not have a material impact on the Company's consolidated financial statements and related disclosures.</w:t>
      </w:r>
    </w:p>
    <w:p>
      <w:pPr>
        <w:spacing w:after="0" w:line="77" w:lineRule="exact"/>
        <w:rPr>
          <w:sz w:val="20"/>
          <w:szCs w:val="20"/>
          <w:color w:val="auto"/>
        </w:rPr>
      </w:pPr>
    </w:p>
    <w:p>
      <w:pPr>
        <w:ind w:right="120" w:firstLine="644"/>
        <w:spacing w:after="0" w:line="266" w:lineRule="auto"/>
        <w:rPr>
          <w:sz w:val="20"/>
          <w:szCs w:val="20"/>
          <w:color w:val="auto"/>
        </w:rPr>
      </w:pPr>
      <w:r>
        <w:rPr>
          <w:rFonts w:ascii="Times New Roman" w:cs="Times New Roman" w:eastAsia="Times New Roman" w:hAnsi="Times New Roman"/>
          <w:sz w:val="18"/>
          <w:szCs w:val="18"/>
          <w:color w:val="auto"/>
        </w:rPr>
        <w:t>There are currently no other accounting standards that have been issued, but not yet adopted, that are expected to have a significant impact on the Company’s consolidated financial position, results of operations or cash flows upon adoption.</w:t>
      </w:r>
    </w:p>
    <w:p>
      <w:pPr>
        <w:spacing w:after="0" w:line="6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Credit Concentrations</w:t>
      </w:r>
    </w:p>
    <w:p>
      <w:pPr>
        <w:spacing w:after="0" w:line="107" w:lineRule="exact"/>
        <w:rPr>
          <w:sz w:val="20"/>
          <w:szCs w:val="20"/>
          <w:color w:val="auto"/>
        </w:rPr>
      </w:pPr>
    </w:p>
    <w:p>
      <w:pPr>
        <w:ind w:right="300" w:firstLine="644"/>
        <w:spacing w:after="0" w:line="250"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primarily of cash and accounts receivable. The Company maintains its cash, which at times may exceed federally insured limits, in deposit accounts at major financial institutions. Most of the Company’s buyers are located in the United States.</w:t>
      </w:r>
    </w:p>
    <w:p>
      <w:pPr>
        <w:spacing w:after="0" w:line="81"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2022 and 2021, no one buyer accounted for more than 10% of the Company's revenue. As of June 30, 2022, and December 31, 2021, no single buyer accounted for more than 10% of the Company’s accounts receivable.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13" w:name="page14"/>
    <w:bookmarkEnd w:id="13"/>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121" w:lineRule="exact"/>
        <w:rPr>
          <w:sz w:val="20"/>
          <w:szCs w:val="20"/>
          <w:color w:val="auto"/>
        </w:rPr>
      </w:pPr>
    </w:p>
    <w:p>
      <w:pPr>
        <w:ind w:right="120" w:firstLine="644"/>
        <w:spacing w:after="0" w:line="250" w:lineRule="auto"/>
        <w:rPr>
          <w:sz w:val="20"/>
          <w:szCs w:val="20"/>
          <w:color w:val="auto"/>
        </w:rPr>
      </w:pPr>
      <w:r>
        <w:rPr>
          <w:rFonts w:ascii="Times New Roman" w:cs="Times New Roman" w:eastAsia="Times New Roman" w:hAnsi="Times New Roman"/>
          <w:sz w:val="18"/>
          <w:szCs w:val="18"/>
          <w:color w:val="auto"/>
        </w:rPr>
        <w:t>Inventory consists of raw materials, work-in-process, tools inventory and finished goods. Raw materials (plastics and metals) become manufactured products in the additive and subtractive manufacturing processes. Work in progress represents manufacturing costs associated with buyer orders that are not yet complete. The tools inventory primarily consists of small consumable machine tools, cutting devices, etc. Finished goods represents product awaiting shipment. Inventory consists of the following as of June 30, 2022 and December 31, 2021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gridSpan w:val="3"/>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8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Tools inventory</w:t>
            </w: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Property and Equipment and Long-Lived Assets</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 of the following as of June 30, 2022 and December 31, 2021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6000" w:type="dxa"/>
            <w:vAlign w:val="bottom"/>
          </w:tcPr>
          <w:p>
            <w:pPr>
              <w:spacing w:after="0"/>
              <w:rPr>
                <w:sz w:val="14"/>
                <w:szCs w:val="14"/>
                <w:color w:val="auto"/>
              </w:rPr>
            </w:pPr>
          </w:p>
        </w:tc>
        <w:tc>
          <w:tcPr>
            <w:tcW w:w="224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000" w:type="dxa"/>
            <w:vAlign w:val="bottom"/>
          </w:tcPr>
          <w:p>
            <w:pPr>
              <w:spacing w:after="0"/>
              <w:rPr>
                <w:sz w:val="14"/>
                <w:szCs w:val="14"/>
                <w:color w:val="auto"/>
              </w:rPr>
            </w:pPr>
          </w:p>
        </w:tc>
        <w:tc>
          <w:tcPr>
            <w:tcW w:w="238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 hardware</w:t>
            </w:r>
          </w:p>
        </w:tc>
        <w:tc>
          <w:tcPr>
            <w:tcW w:w="2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years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2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 years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w:t>
            </w:r>
          </w:p>
        </w:tc>
        <w:tc>
          <w:tcPr>
            <w:tcW w:w="2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years</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2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 years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r>
      <w:tr>
        <w:trPr>
          <w:trHeight w:val="170"/>
        </w:trPr>
        <w:tc>
          <w:tcPr>
            <w:tcW w:w="600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Leasehold improvements</w:t>
            </w:r>
          </w:p>
        </w:tc>
        <w:tc>
          <w:tcPr>
            <w:tcW w:w="2380" w:type="dxa"/>
            <w:vAlign w:val="bottom"/>
            <w:gridSpan w:val="2"/>
            <w:shd w:val="clear" w:color="auto" w:fill="CFF0FC"/>
          </w:tcPr>
          <w:p>
            <w:pPr>
              <w:jc w:val="right"/>
              <w:ind w:right="140"/>
              <w:spacing w:after="0" w:line="170" w:lineRule="exact"/>
              <w:rPr>
                <w:sz w:val="20"/>
                <w:szCs w:val="20"/>
                <w:color w:val="auto"/>
              </w:rPr>
            </w:pPr>
            <w:r>
              <w:rPr>
                <w:rFonts w:ascii="Times New Roman" w:cs="Times New Roman" w:eastAsia="Times New Roman" w:hAnsi="Times New Roman"/>
                <w:sz w:val="18"/>
                <w:szCs w:val="18"/>
                <w:color w:val="auto"/>
              </w:rPr>
              <w:t>Shorter of useful</w:t>
            </w: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6000" w:type="dxa"/>
            <w:vAlign w:val="bottom"/>
            <w:shd w:val="clear" w:color="auto" w:fill="CFF0FC"/>
          </w:tcPr>
          <w:p>
            <w:pPr>
              <w:spacing w:after="0"/>
              <w:rPr>
                <w:sz w:val="20"/>
                <w:szCs w:val="20"/>
                <w:color w:val="auto"/>
              </w:rPr>
            </w:pPr>
          </w:p>
        </w:tc>
        <w:tc>
          <w:tcPr>
            <w:tcW w:w="2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life or lease term</w:t>
            </w: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shd w:val="clear" w:color="auto" w:fill="CFF0FC"/>
          </w:tcPr>
          <w:p>
            <w:pPr>
              <w:spacing w:after="0"/>
              <w:rPr>
                <w:sz w:val="20"/>
                <w:szCs w:val="20"/>
                <w:color w:val="auto"/>
              </w:rPr>
            </w:pP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 years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18"/>
                <w:szCs w:val="18"/>
                <w:color w:val="auto"/>
              </w:rPr>
            </w:pPr>
          </w:p>
        </w:tc>
      </w:tr>
      <w:tr>
        <w:trPr>
          <w:trHeight w:val="209"/>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20,826</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(11,948 )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(10,539 )</w:t>
            </w:r>
          </w:p>
        </w:tc>
      </w:tr>
      <w:tr>
        <w:trPr>
          <w:trHeight w:val="249"/>
        </w:trPr>
        <w:tc>
          <w:tcPr>
            <w:tcW w:w="6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6118860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for the three and six months ended June 30, 2022 and 2021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2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58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4"/>
                <w:szCs w:val="14"/>
                <w:color w:val="auto"/>
              </w:rPr>
            </w:pP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780" w:type="dxa"/>
            <w:vAlign w:val="bottom"/>
            <w:tcBorders>
              <w:top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r>
      <w:tr>
        <w:trPr>
          <w:trHeight w:val="21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Operations and support</w:t>
            </w: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18"/>
                <w:szCs w:val="18"/>
                <w:color w:val="auto"/>
              </w:rPr>
            </w:pPr>
          </w:p>
        </w:tc>
      </w:tr>
      <w:tr>
        <w:trPr>
          <w:trHeight w:val="216"/>
        </w:trPr>
        <w:tc>
          <w:tcPr>
            <w:tcW w:w="5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78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1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-170815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-170815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-170815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ind w:right="200" w:firstLine="644"/>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2022, the Company recorded an impairment of $0.1 million related to abandoned software projects that were previously in development. These impairments were recorded in our U.S. reporting segment.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14" w:name="page15"/>
    <w:bookmarkEnd w:id="14"/>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tab/>
        <w:t>Leases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lease expense for the three and six months ended June 30, 2022 and 2021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2380" w:type="dxa"/>
            <w:vAlign w:val="bottom"/>
            <w:tcBorders>
              <w:bottom w:val="single" w:sz="8" w:color="auto"/>
            </w:tcBorders>
            <w:gridSpan w:val="5"/>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55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60" w:type="dxa"/>
            <w:vAlign w:val="bottom"/>
            <w:gridSpan w:val="2"/>
          </w:tcPr>
          <w:p>
            <w:pPr>
              <w:spacing w:after="0"/>
              <w:rPr>
                <w:sz w:val="14"/>
                <w:szCs w:val="14"/>
                <w:color w:val="auto"/>
              </w:rPr>
            </w:pPr>
          </w:p>
        </w:tc>
        <w:tc>
          <w:tcPr>
            <w:tcW w:w="9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gridSpan w:val="3"/>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78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180" w:type="dxa"/>
            <w:vAlign w:val="bottom"/>
            <w:gridSpan w:val="3"/>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support</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r>
      <w:tr>
        <w:trPr>
          <w:trHeight w:val="216"/>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1,428</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78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1,449</w:t>
            </w:r>
          </w:p>
        </w:tc>
        <w:tc>
          <w:tcPr>
            <w:tcW w:w="1180" w:type="dxa"/>
            <w:vAlign w:val="bottom"/>
            <w:gridSpan w:val="3"/>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4260215</wp:posOffset>
            </wp:positionH>
            <wp:positionV relativeFrom="paragraph">
              <wp:posOffset>-170815</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-170815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-170815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0" w:firstLine="644"/>
        <w:spacing w:after="0" w:line="281" w:lineRule="auto"/>
        <w:rPr>
          <w:sz w:val="20"/>
          <w:szCs w:val="20"/>
          <w:color w:val="auto"/>
        </w:rPr>
      </w:pPr>
      <w:r>
        <w:rPr>
          <w:rFonts w:ascii="Times New Roman" w:cs="Times New Roman" w:eastAsia="Times New Roman" w:hAnsi="Times New Roman"/>
          <w:sz w:val="18"/>
          <w:szCs w:val="18"/>
          <w:color w:val="auto"/>
        </w:rPr>
        <w:t>During the first quarter of 2022, the Company entered into two new office leases. In connection with these leases, the Company recorded non-cash ROU assets and lease liabilities of $0.1 million.</w:t>
      </w:r>
    </w:p>
    <w:p>
      <w:pPr>
        <w:spacing w:after="0" w:line="41" w:lineRule="exact"/>
        <w:rPr>
          <w:sz w:val="20"/>
          <w:szCs w:val="20"/>
          <w:color w:val="auto"/>
        </w:rPr>
      </w:pPr>
    </w:p>
    <w:p>
      <w:pPr>
        <w:ind w:right="500" w:firstLine="644"/>
        <w:spacing w:after="0" w:line="266" w:lineRule="auto"/>
        <w:rPr>
          <w:sz w:val="20"/>
          <w:szCs w:val="20"/>
          <w:color w:val="auto"/>
        </w:rPr>
      </w:pPr>
      <w:r>
        <w:rPr>
          <w:rFonts w:ascii="Times New Roman" w:cs="Times New Roman" w:eastAsia="Times New Roman" w:hAnsi="Times New Roman"/>
          <w:sz w:val="18"/>
          <w:szCs w:val="18"/>
          <w:color w:val="auto"/>
        </w:rPr>
        <w:t>During the first quarter of 2022, the Company also executed a new lease for an office in North Bethesda, Maryland. The lease is expected to commence in the fourth quarter of 2022. The lease has a term of seven years with total cash rental payments of approximately $7.1 million.</w:t>
      </w:r>
    </w:p>
    <w:p>
      <w:pPr>
        <w:spacing w:after="0" w:line="373"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0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Big Blue Saw</w:t>
      </w:r>
    </w:p>
    <w:p>
      <w:pPr>
        <w:spacing w:after="0" w:line="105"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7"/>
          <w:szCs w:val="17"/>
          <w:color w:val="auto"/>
        </w:rPr>
        <w:t>On November 1, 2021, the Company acquired Big Blue Saw subject to an Asset Purchase Agreement. The acquisition of Big Blue Saw extends our marketplace capabilities in water jet and laser cutting. The Company accounted for the acquisition as a business combination. The aggregate non-contingent portion of the purchase price was $1.5 million and was paid in cash and Class A common stock on the acquisition date. In addition, the purchase price included a contingent consideration arrangement to the former owner of Big Blue Saw up to a maximum amount of $1.0 million (undiscounted) in two installments on the first and second anniversary of the acquisition and is based on client conversions. The initial fair value of the contingent consideration of $0.9 million was estimated by applying an income valuation approach. The measurement is based on inputs that are not observable in the market (Level 3 inputs). Key assumptions made include (a) discount rate and (b) probability weighted assumptions about client conversions.</w:t>
      </w:r>
    </w:p>
    <w:p>
      <w:pPr>
        <w:spacing w:after="0" w:line="76" w:lineRule="exact"/>
        <w:rPr>
          <w:sz w:val="20"/>
          <w:szCs w:val="20"/>
          <w:color w:val="auto"/>
        </w:rPr>
      </w:pPr>
    </w:p>
    <w:p>
      <w:pPr>
        <w:ind w:right="60" w:firstLine="644"/>
        <w:spacing w:after="0" w:line="246" w:lineRule="auto"/>
        <w:rPr>
          <w:sz w:val="20"/>
          <w:szCs w:val="20"/>
          <w:color w:val="auto"/>
        </w:rPr>
      </w:pPr>
      <w:r>
        <w:rPr>
          <w:rFonts w:ascii="Times New Roman" w:cs="Times New Roman" w:eastAsia="Times New Roman" w:hAnsi="Times New Roman"/>
          <w:sz w:val="18"/>
          <w:szCs w:val="18"/>
          <w:color w:val="auto"/>
        </w:rPr>
        <w:t>During the six months ended June 30, 2022, the Company recorded an approximate $31 thousand increase to the contingent consideration liability with a corresponding expense recognized in general and administrative expense on our Condensed Consolidated Statement of Operations and Comprehensive Loss. The Company re-evaluated the fair value of the contingent consideration based on current information available to the Company subsequent to our acquisition using a similar methodology as described above. As of June 30, 2022, and December 31, 2021, the total contingent consideration had a fair value of $0.9 million and $0.9 million, respectively.</w:t>
      </w:r>
    </w:p>
    <w:p>
      <w:pPr>
        <w:spacing w:after="0" w:line="72" w:lineRule="exact"/>
        <w:rPr>
          <w:sz w:val="20"/>
          <w:szCs w:val="20"/>
          <w:color w:val="auto"/>
        </w:rPr>
      </w:pPr>
    </w:p>
    <w:p>
      <w:pPr>
        <w:ind w:right="60" w:firstLine="644"/>
        <w:spacing w:after="0" w:line="250" w:lineRule="auto"/>
        <w:rPr>
          <w:sz w:val="20"/>
          <w:szCs w:val="20"/>
          <w:color w:val="auto"/>
        </w:rPr>
      </w:pPr>
      <w:r>
        <w:rPr>
          <w:rFonts w:ascii="Times New Roman" w:cs="Times New Roman" w:eastAsia="Times New Roman" w:hAnsi="Times New Roman"/>
          <w:sz w:val="18"/>
          <w:szCs w:val="18"/>
          <w:color w:val="auto"/>
        </w:rPr>
        <w:t>The Company performed a preliminary valuation analysis of the fair market value of the acquired assets and liabilities of Big Blue Saw during the fourth quarter of 2021. The Company completed its valuation of the acquired assets and liabilities during the second quarter of 2022 and expects to finalize the settlement of the working capital during the third quarter of 2022. The settlement of the working capital, which is not expected to be material, will impact goodwill. No changes to the initial purchase price allocation were made during 2022.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FactoryFour</w:t>
      </w:r>
    </w:p>
    <w:p>
      <w:pPr>
        <w:spacing w:after="0" w:line="119" w:lineRule="exact"/>
        <w:rPr>
          <w:sz w:val="20"/>
          <w:szCs w:val="20"/>
          <w:color w:val="auto"/>
        </w:rPr>
      </w:pPr>
    </w:p>
    <w:p>
      <w:pPr>
        <w:ind w:right="40" w:firstLine="644"/>
        <w:spacing w:after="0" w:line="243" w:lineRule="auto"/>
        <w:rPr>
          <w:sz w:val="20"/>
          <w:szCs w:val="20"/>
          <w:color w:val="auto"/>
        </w:rPr>
      </w:pPr>
      <w:r>
        <w:rPr>
          <w:rFonts w:ascii="Times New Roman" w:cs="Times New Roman" w:eastAsia="Times New Roman" w:hAnsi="Times New Roman"/>
          <w:sz w:val="18"/>
          <w:szCs w:val="18"/>
          <w:color w:val="auto"/>
        </w:rPr>
        <w:t>On November 5, 2021, the Company acquired FactoryFour subject to an Asset Purchase Agreement. FactoryFour provides a SaaS based solution to help manufacturers improve lead times and make strong, data-driven decisions through real-time production tracking. The Company accounted for the acquisition as a business combination. The aggregate non-contingent portion of the purchase price was $3.3 million and was paid in cash and Class A common stock on the acquisition date. In addition, the purchase price includes a contingent consideration arrangement to the former owners of FactoryFour up to a maximum amount of $2.5 million (undiscounted) in three installments on the first, second and third anniversary of the acquisition and is based on gross total orders. The fair value of the initial contingent consideration of $1.5 million was estimated by applying an option pricing model. The measurement is based on inputs that are not observable in the market (Level 3 inputs). Key assumptions made include (a) discount rate, (b) time to expiration, (c) stock price, (d) hurdle rate, (e) risk free rate, (f) volatility, (g) dividend rate and (f) assumptions about gross total orders.</w:t>
      </w:r>
    </w:p>
    <w:p>
      <w:pPr>
        <w:spacing w:after="0" w:line="76" w:lineRule="exact"/>
        <w:rPr>
          <w:sz w:val="20"/>
          <w:szCs w:val="20"/>
          <w:color w:val="auto"/>
        </w:rPr>
      </w:pPr>
    </w:p>
    <w:p>
      <w:pPr>
        <w:ind w:right="40" w:firstLine="644"/>
        <w:spacing w:after="0" w:line="247" w:lineRule="auto"/>
        <w:rPr>
          <w:sz w:val="20"/>
          <w:szCs w:val="20"/>
          <w:color w:val="auto"/>
        </w:rPr>
      </w:pPr>
      <w:r>
        <w:rPr>
          <w:rFonts w:ascii="Times New Roman" w:cs="Times New Roman" w:eastAsia="Times New Roman" w:hAnsi="Times New Roman"/>
          <w:sz w:val="18"/>
          <w:szCs w:val="18"/>
          <w:color w:val="auto"/>
        </w:rPr>
        <w:t>During the six months ended June 30, 2022, the Company recorded an approximate $0.4 million increase to the contingent consideration liability with a corresponding expense recognized in general and administrative expense on our Condensed Consolidated Statement of Operations and Comprehensive Loss. The Company re-evaluated the fair value of the contingent consideration based on current information available to the Company subsequent to our acquisition. To estimate the current fair value, we applied an income valuation approach. The measurement is based on inputs that are not observable in the market (Level 3 inputs). Key assumptions made include (a) discount rate and (b) probability weighted assumptions about gross total orders. As of June 30, 2022, and December 31, 2021, the total contingent consideration had a fair value of $1.9 million and $1.5 million, respectively.</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15" w:name="page16"/>
    <w:bookmarkEnd w:id="15"/>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The Company performed its initial valuation analysis of the fair market value of the acquired assets and liabilities of FactoryFour during the fourth quarter of 2021. The Company finalized its valuation analysis in the first quarter of 2022. No changes to the initial purchase price allocation were made during 2022.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Thomas</w:t>
      </w:r>
    </w:p>
    <w:p>
      <w:pPr>
        <w:spacing w:after="0" w:line="119" w:lineRule="exact"/>
        <w:rPr>
          <w:sz w:val="20"/>
          <w:szCs w:val="20"/>
          <w:color w:val="auto"/>
        </w:rPr>
      </w:pPr>
    </w:p>
    <w:p>
      <w:pPr>
        <w:ind w:right="140" w:firstLine="644"/>
        <w:spacing w:after="0" w:line="243" w:lineRule="auto"/>
        <w:rPr>
          <w:sz w:val="20"/>
          <w:szCs w:val="20"/>
          <w:color w:val="auto"/>
        </w:rPr>
      </w:pPr>
      <w:r>
        <w:rPr>
          <w:rFonts w:ascii="Times New Roman" w:cs="Times New Roman" w:eastAsia="Times New Roman" w:hAnsi="Times New Roman"/>
          <w:sz w:val="18"/>
          <w:szCs w:val="18"/>
          <w:color w:val="auto"/>
        </w:rPr>
        <w:t>On December 9, 2021, the Company acquired Thomas subject to the merger agreement. Xometry leverages Thomas’ marketing and data services to deliver a suite of end-to-end services for suppliers with additional financial services and digital marketing products. The Company accounted for the acquisition as a business combination. The goodwill of $252.0 million arising from the acquisition of Thomas related to certain expected synergies which includes the ability to drive buyers and suppliers on to our platform and provide additional products and services. This goodwill which is included in our U.S. reporting segment is not expected to be deductible for tax purposes. The aggregate non-contingent portion of the purchase price was approximately $276.3 million and was paid in cash and Class A common stock on the acquisition date.</w:t>
      </w:r>
    </w:p>
    <w:p>
      <w:pPr>
        <w:spacing w:after="0" w:line="77" w:lineRule="exact"/>
        <w:rPr>
          <w:sz w:val="20"/>
          <w:szCs w:val="20"/>
          <w:color w:val="auto"/>
        </w:rPr>
      </w:pPr>
    </w:p>
    <w:p>
      <w:pPr>
        <w:ind w:firstLine="644"/>
        <w:spacing w:after="0" w:line="247" w:lineRule="auto"/>
        <w:rPr>
          <w:sz w:val="20"/>
          <w:szCs w:val="20"/>
          <w:color w:val="auto"/>
        </w:rPr>
      </w:pPr>
      <w:r>
        <w:rPr>
          <w:rFonts w:ascii="Times New Roman" w:cs="Times New Roman" w:eastAsia="Times New Roman" w:hAnsi="Times New Roman"/>
          <w:sz w:val="18"/>
          <w:szCs w:val="18"/>
          <w:color w:val="auto"/>
        </w:rPr>
        <w:t>The Company performed a preliminary valuation analysis of the fair market value of the acquired assets and liabilities of Thomas during the fourth quarter of 2021. The final purchase price allocation will be determined when the Company has completed and fully reviewed all information necessary to finalize the fair value of the acquired assets and liabilities. The final allocation could differ materially from the preliminary allocation and may include changes in allocations to current and long-term assets, current and long-term liabilities, deferred tax liabilities and goodwill. During the three months ended March 31, 2022, the Company recorded additional goodwill of approximately $0.6 million in connection with the identification of a deferred tax liability. This deferred tax liability was subsequently recognized into income during the three months ended March 31, 2022.</w:t>
      </w:r>
    </w:p>
    <w:p>
      <w:pPr>
        <w:spacing w:after="0" w:line="70" w:lineRule="exact"/>
        <w:rPr>
          <w:sz w:val="20"/>
          <w:szCs w:val="20"/>
          <w:color w:val="auto"/>
        </w:rPr>
      </w:pPr>
    </w:p>
    <w:p>
      <w:pPr>
        <w:ind w:right="180" w:firstLine="644"/>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2022, the Company recognized measurement period adjustments primarily related to certain other assets and lease intangibles which resulted in additional goodwill of approximately $4.7 million. During the three months ended June 30, 2022, the Company recorded an approximate $1.9 million one-time non-cash benefit in sales and marketing expense.</w:t>
      </w:r>
    </w:p>
    <w:p>
      <w:pPr>
        <w:spacing w:after="0" w:line="61" w:lineRule="exact"/>
        <w:rPr>
          <w:sz w:val="20"/>
          <w:szCs w:val="20"/>
          <w:color w:val="auto"/>
        </w:rPr>
      </w:pPr>
    </w:p>
    <w:p>
      <w:pPr>
        <w:ind w:right="620" w:firstLine="644"/>
        <w:spacing w:after="0" w:line="281" w:lineRule="auto"/>
        <w:rPr>
          <w:sz w:val="20"/>
          <w:szCs w:val="20"/>
          <w:color w:val="auto"/>
        </w:rPr>
      </w:pPr>
      <w:r>
        <w:rPr>
          <w:rFonts w:ascii="Times New Roman" w:cs="Times New Roman" w:eastAsia="Times New Roman" w:hAnsi="Times New Roman"/>
          <w:sz w:val="18"/>
          <w:szCs w:val="18"/>
          <w:color w:val="auto"/>
        </w:rPr>
        <w:t>The following table (in thousands) summarizes the consideration paid for Thomas and the preliminary fair value of the assets acquired and liabilities assumed on the acquisition date: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Purchase Price</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20" w:type="dxa"/>
            <w:vAlign w:val="bottom"/>
          </w:tcPr>
          <w:p>
            <w:pPr>
              <w:spacing w:after="0"/>
              <w:rPr>
                <w:sz w:val="19"/>
                <w:szCs w:val="19"/>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Previously Reported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Allocation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6"/>
              </w:rPr>
              <w:t>As of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8"/>
              </w:rPr>
              <w:t>Measurement Period</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December 31, 2021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Adjustment</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As Adjusted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vMerge w:val="continue"/>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174,838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3"/>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Class A common stock</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of consideration</w:t>
            </w:r>
          </w:p>
        </w:tc>
        <w:tc>
          <w:tcPr>
            <w:tcW w:w="340" w:type="dxa"/>
            <w:vAlign w:val="bottom"/>
            <w:tcBorders>
              <w:top w:val="single" w:sz="8" w:color="auto"/>
              <w:bottom w:val="single" w:sz="8" w:color="auto"/>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276,337</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640" w:type="dxa"/>
            <w:vAlign w:val="bottom"/>
            <w:tcBorders>
              <w:top w:val="single" w:sz="8" w:color="auto"/>
              <w:bottom w:val="single" w:sz="8" w:color="auto"/>
            </w:tcBorders>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276,337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15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18,244</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(5,978 )</w:t>
            </w: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1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15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40,400</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1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24,130</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assets</w:t>
            </w:r>
          </w:p>
        </w:tc>
        <w:tc>
          <w:tcPr>
            <w:tcW w:w="15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(206 )</w:t>
            </w: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unconsolidated joint venture</w:t>
            </w:r>
          </w:p>
        </w:tc>
        <w:tc>
          <w:tcPr>
            <w:tcW w:w="1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5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(18,690 )</w:t>
            </w:r>
          </w:p>
        </w:tc>
        <w:tc>
          <w:tcPr>
            <w:tcW w:w="6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(18,690 )</w:t>
            </w:r>
          </w:p>
        </w:tc>
        <w:tc>
          <w:tcPr>
            <w:tcW w:w="0" w:type="dxa"/>
            <w:vAlign w:val="bottom"/>
          </w:tcPr>
          <w:p>
            <w:pPr>
              <w:spacing w:after="0"/>
              <w:rPr>
                <w:sz w:val="1"/>
                <w:szCs w:val="1"/>
                <w:color w:val="auto"/>
              </w:rPr>
            </w:pPr>
          </w:p>
        </w:tc>
      </w:tr>
      <w:tr>
        <w:trPr>
          <w:trHeight w:val="229"/>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liability</w:t>
            </w:r>
          </w:p>
        </w:tc>
        <w:tc>
          <w:tcPr>
            <w:tcW w:w="1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(559 )</w:t>
            </w:r>
          </w:p>
        </w:tc>
        <w:tc>
          <w:tcPr>
            <w:tcW w:w="4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(559 )</w:t>
            </w: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15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(1,647 )</w:t>
            </w:r>
          </w:p>
        </w:tc>
        <w:tc>
          <w:tcPr>
            <w:tcW w:w="6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(1,647 )</w:t>
            </w:r>
          </w:p>
        </w:tc>
        <w:tc>
          <w:tcPr>
            <w:tcW w:w="0" w:type="dxa"/>
            <w:vAlign w:val="bottom"/>
          </w:tcPr>
          <w:p>
            <w:pPr>
              <w:spacing w:after="0"/>
              <w:rPr>
                <w:sz w:val="1"/>
                <w:szCs w:val="1"/>
                <w:color w:val="auto"/>
              </w:rPr>
            </w:pPr>
          </w:p>
        </w:tc>
      </w:tr>
      <w:tr>
        <w:trPr>
          <w:trHeight w:val="229"/>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(281 )</w:t>
            </w:r>
          </w:p>
        </w:tc>
        <w:tc>
          <w:tcPr>
            <w:tcW w:w="6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(281 )</w:t>
            </w: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Contract liabilities</w:t>
            </w:r>
          </w:p>
        </w:tc>
        <w:tc>
          <w:tcPr>
            <w:tcW w:w="15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(6,634 )</w:t>
            </w:r>
          </w:p>
        </w:tc>
        <w:tc>
          <w:tcPr>
            <w:tcW w:w="6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(6,634 )</w:t>
            </w:r>
          </w:p>
        </w:tc>
        <w:tc>
          <w:tcPr>
            <w:tcW w:w="0" w:type="dxa"/>
            <w:vAlign w:val="bottom"/>
          </w:tcPr>
          <w:p>
            <w:pPr>
              <w:spacing w:after="0"/>
              <w:rPr>
                <w:sz w:val="1"/>
                <w:szCs w:val="1"/>
                <w:color w:val="auto"/>
              </w:rPr>
            </w:pPr>
          </w:p>
        </w:tc>
      </w:tr>
      <w:tr>
        <w:trPr>
          <w:trHeight w:val="229"/>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1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(30,183 )</w:t>
            </w:r>
          </w:p>
        </w:tc>
        <w:tc>
          <w:tcPr>
            <w:tcW w:w="6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(30,183 )</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15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(1,036 )</w:t>
            </w: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(1,036 )</w:t>
            </w: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identifiable net assets assumed</w:t>
            </w:r>
          </w:p>
        </w:tc>
        <w:tc>
          <w:tcPr>
            <w:tcW w:w="1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29,599</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(5,299 )</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5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246,738</w:t>
            </w:r>
          </w:p>
        </w:tc>
        <w:tc>
          <w:tcPr>
            <w:tcW w:w="2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252,037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276,337</w:t>
            </w:r>
          </w:p>
        </w:tc>
        <w:tc>
          <w:tcPr>
            <w:tcW w:w="240" w:type="dxa"/>
            <w:vAlign w:val="bottom"/>
          </w:tcPr>
          <w:p>
            <w:pPr>
              <w:spacing w:after="0"/>
              <w:rPr>
                <w:sz w:val="18"/>
                <w:szCs w:val="18"/>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5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4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40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-872490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-872490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-872490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-581660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-581660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-581660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(in thousands) summarizes the fair value of the identifiable intangible assets:</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Estimated life</w:t>
            </w:r>
          </w:p>
        </w:tc>
        <w:tc>
          <w:tcPr>
            <w:tcW w:w="0" w:type="dxa"/>
            <w:vAlign w:val="bottom"/>
          </w:tcPr>
          <w:p>
            <w:pPr>
              <w:spacing w:after="0"/>
              <w:rPr>
                <w:sz w:val="1"/>
                <w:szCs w:val="1"/>
                <w:color w:val="auto"/>
              </w:rPr>
            </w:pPr>
          </w:p>
        </w:tc>
      </w:tr>
      <w:tr>
        <w:trPr>
          <w:trHeight w:val="202"/>
        </w:trPr>
        <w:tc>
          <w:tcPr>
            <w:tcW w:w="8180" w:type="dxa"/>
            <w:vAlign w:val="bottom"/>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Customer relationships</w:t>
            </w:r>
          </w:p>
        </w:tc>
        <w:tc>
          <w:tcPr>
            <w:tcW w:w="112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Database</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Trade name</w:t>
            </w:r>
          </w:p>
        </w:tc>
        <w:tc>
          <w:tcPr>
            <w:tcW w:w="1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3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6"/>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Developed technology</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6"/>
        </w:trPr>
        <w:tc>
          <w:tcPr>
            <w:tcW w:w="8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intangible assets</w:t>
            </w:r>
          </w:p>
        </w:tc>
        <w:tc>
          <w:tcPr>
            <w:tcW w:w="11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34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9"/>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41,844</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6281420</wp:posOffset>
            </wp:positionH>
            <wp:positionV relativeFrom="paragraph">
              <wp:posOffset>-170815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3" w:lineRule="exact"/>
        <w:rPr>
          <w:sz w:val="20"/>
          <w:szCs w:val="20"/>
          <w:color w:val="auto"/>
        </w:rPr>
      </w:pPr>
    </w:p>
    <w:p>
      <w:pPr>
        <w:ind w:right="240" w:firstLine="644"/>
        <w:spacing w:after="0" w:line="220" w:lineRule="exact"/>
        <w:rPr>
          <w:sz w:val="20"/>
          <w:szCs w:val="20"/>
          <w:color w:val="auto"/>
        </w:rPr>
      </w:pPr>
      <w:r>
        <w:rPr>
          <w:rFonts w:ascii="Times New Roman" w:cs="Times New Roman" w:eastAsia="Times New Roman" w:hAnsi="Times New Roman"/>
          <w:sz w:val="18"/>
          <w:szCs w:val="18"/>
          <w:color w:val="auto"/>
        </w:rPr>
        <w:t>The estimated fair value of the intangible assets acquired was determined by the Company. The Company engaged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expert to assist with the valuation analysis. The Company used a relief from royalty method to estimate the fair values of the developed technology, database and tradename and a multi-period excess earnings method to estimate the fair value of the customer relationships. To estimate the fair value of the lease intangible assets the company used a discounted cash flow analysis. To measure the fair value of the noncontrolling interest, the Company used a market approach which considered historical revenues of the investee and market multiples (Level 3 inputs).</w:t>
      </w:r>
    </w:p>
    <w:p>
      <w:pPr>
        <w:spacing w:after="0" w:line="80" w:lineRule="exact"/>
        <w:rPr>
          <w:sz w:val="20"/>
          <w:szCs w:val="20"/>
          <w:color w:val="auto"/>
        </w:rPr>
      </w:pPr>
    </w:p>
    <w:p>
      <w:pPr>
        <w:ind w:right="180" w:firstLine="644"/>
        <w:spacing w:after="0" w:line="250" w:lineRule="auto"/>
        <w:rPr>
          <w:sz w:val="20"/>
          <w:szCs w:val="20"/>
          <w:color w:val="auto"/>
        </w:rPr>
      </w:pPr>
      <w:r>
        <w:rPr>
          <w:rFonts w:ascii="Times New Roman" w:cs="Times New Roman" w:eastAsia="Times New Roman" w:hAnsi="Times New Roman"/>
          <w:sz w:val="18"/>
          <w:szCs w:val="18"/>
          <w:color w:val="auto"/>
        </w:rPr>
        <w:t>Thomas’ results of operations were included in the Company's consolidated financial statements from the date of acquisition, December 9, 2021. The following unaudited pro forma condensed combined financial information gives effect to the acquisition of Thomas as if it was consummated on January 1, 2021 (the beginning of the comparable prior reporting period), and includes pro forma adjustments related to the amortization of acquired intangible assets.</w:t>
      </w:r>
    </w:p>
    <w:p>
      <w:pPr>
        <w:spacing w:after="0" w:line="68" w:lineRule="exact"/>
        <w:rPr>
          <w:sz w:val="20"/>
          <w:szCs w:val="20"/>
          <w:color w:val="auto"/>
        </w:rPr>
      </w:pPr>
    </w:p>
    <w:p>
      <w:pPr>
        <w:ind w:right="220" w:firstLine="644"/>
        <w:spacing w:after="0" w:line="247" w:lineRule="auto"/>
        <w:rPr>
          <w:sz w:val="20"/>
          <w:szCs w:val="20"/>
          <w:color w:val="auto"/>
        </w:rPr>
      </w:pPr>
      <w:r>
        <w:rPr>
          <w:rFonts w:ascii="Times New Roman" w:cs="Times New Roman" w:eastAsia="Times New Roman" w:hAnsi="Times New Roman"/>
          <w:sz w:val="18"/>
          <w:szCs w:val="18"/>
          <w:color w:val="auto"/>
        </w:rPr>
        <w:t>This unaudited data is presented for informational purposes only and is not intended to represent or be indicative of the results of operations that would have been reported had the acquisition occurred on January 1, 2021. It should not be taken as representative of future results of operations of the combined companies. The following table presents the unaudited pro forma condensed combined financial information:</w:t>
      </w:r>
    </w:p>
    <w:tbl>
      <w:tblPr>
        <w:tblLayout w:type="fixed"/>
        <w:tblInd w:w="0" w:type="dxa"/>
        <w:tblCellMar>
          <w:top w:w="0" w:type="dxa"/>
          <w:left w:w="0" w:type="dxa"/>
          <w:bottom w:w="0" w:type="dxa"/>
          <w:right w:w="0" w:type="dxa"/>
        </w:tblCellMar>
      </w:tblPr>
      <w:tr>
        <w:trPr>
          <w:trHeight w:val="166"/>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2"/>
          </w:tcPr>
          <w:p>
            <w:pPr>
              <w:jc w:val="center"/>
              <w:ind w:right="400"/>
              <w:spacing w:after="0" w:line="166" w:lineRule="exact"/>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720" w:type="dxa"/>
            <w:vAlign w:val="bottom"/>
            <w:gridSpan w:val="3"/>
          </w:tcPr>
          <w:p>
            <w:pPr>
              <w:jc w:val="right"/>
              <w:ind w:right="220"/>
              <w:spacing w:after="0" w:line="166" w:lineRule="exact"/>
              <w:rPr>
                <w:sz w:val="20"/>
                <w:szCs w:val="20"/>
                <w:color w:val="auto"/>
              </w:rPr>
            </w:pPr>
            <w:r>
              <w:rPr>
                <w:rFonts w:ascii="Times New Roman" w:cs="Times New Roman" w:eastAsia="Times New Roman" w:hAnsi="Times New Roman"/>
                <w:sz w:val="18"/>
                <w:szCs w:val="18"/>
                <w:b w:val="1"/>
                <w:bCs w:val="1"/>
                <w:color w:val="auto"/>
              </w:rPr>
              <w:t>For the Six Months Ended June</w:t>
            </w:r>
          </w:p>
        </w:tc>
      </w:tr>
      <w:tr>
        <w:trPr>
          <w:trHeight w:val="238"/>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40" w:type="dxa"/>
            <w:vAlign w:val="bottom"/>
          </w:tcPr>
          <w:p>
            <w:pPr>
              <w:spacing w:after="0"/>
              <w:rPr>
                <w:sz w:val="20"/>
                <w:szCs w:val="20"/>
                <w:color w:val="auto"/>
              </w:rPr>
            </w:pPr>
          </w:p>
        </w:tc>
        <w:tc>
          <w:tcPr>
            <w:tcW w:w="188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20"/>
                <w:szCs w:val="20"/>
                <w:color w:val="auto"/>
              </w:rPr>
            </w:pPr>
          </w:p>
        </w:tc>
      </w:tr>
      <w:tr>
        <w:trPr>
          <w:trHeight w:val="209"/>
        </w:trPr>
        <w:tc>
          <w:tcPr>
            <w:tcW w:w="57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4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40" w:type="dxa"/>
            <w:vAlign w:val="bottom"/>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67,321</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127,952</w:t>
            </w:r>
          </w:p>
        </w:tc>
        <w:tc>
          <w:tcPr>
            <w:tcW w:w="100" w:type="dxa"/>
            <w:vAlign w:val="bottom"/>
            <w:shd w:val="clear" w:color="auto" w:fill="CFF0FC"/>
          </w:tcPr>
          <w:p>
            <w:pPr>
              <w:spacing w:after="0"/>
              <w:rPr>
                <w:sz w:val="18"/>
                <w:szCs w:val="18"/>
                <w:color w:val="auto"/>
              </w:rPr>
            </w:pPr>
          </w:p>
        </w:tc>
      </w:tr>
      <w:tr>
        <w:trPr>
          <w:trHeight w:val="234"/>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tcPr>
          <w:p>
            <w:pPr>
              <w:spacing w:after="0"/>
              <w:rPr>
                <w:sz w:val="20"/>
                <w:szCs w:val="20"/>
                <w:color w:val="auto"/>
              </w:rPr>
            </w:pPr>
          </w:p>
        </w:tc>
        <w:tc>
          <w:tcPr>
            <w:tcW w:w="2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(12,653 )</w:t>
            </w:r>
          </w:p>
        </w:tc>
        <w:tc>
          <w:tcPr>
            <w:tcW w:w="740" w:type="dxa"/>
            <w:vAlign w:val="bottom"/>
          </w:tcPr>
          <w:p>
            <w:pPr>
              <w:spacing w:after="0"/>
              <w:rPr>
                <w:sz w:val="20"/>
                <w:szCs w:val="20"/>
                <w:color w:val="auto"/>
              </w:rPr>
            </w:pP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(24,023 )</w:t>
            </w:r>
          </w:p>
        </w:tc>
      </w:tr>
    </w:tbl>
    <w:p>
      <w:pPr>
        <w:spacing w:after="0" w:line="26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Disaggregated Revenue Information</w:t>
      </w:r>
    </w:p>
    <w:p>
      <w:pPr>
        <w:spacing w:after="0" w:line="121" w:lineRule="exact"/>
        <w:rPr>
          <w:sz w:val="20"/>
          <w:szCs w:val="20"/>
          <w:color w:val="auto"/>
        </w:rPr>
      </w:pPr>
    </w:p>
    <w:p>
      <w:pPr>
        <w:ind w:right="40" w:firstLine="644"/>
        <w:spacing w:after="0" w:line="250" w:lineRule="auto"/>
        <w:rPr>
          <w:sz w:val="20"/>
          <w:szCs w:val="20"/>
          <w:color w:val="auto"/>
        </w:rPr>
      </w:pPr>
      <w:r>
        <w:rPr>
          <w:rFonts w:ascii="Times New Roman" w:cs="Times New Roman" w:eastAsia="Times New Roman" w:hAnsi="Times New Roman"/>
          <w:sz w:val="18"/>
          <w:szCs w:val="18"/>
          <w:color w:val="auto"/>
        </w:rPr>
        <w:t>The following table present our revenues disaggregated by line of business. Revenue from our marketplace primarily reflects the sales of parts and assemblies on our platform. Revenue from supplier services primarily includes the sale of advertising and to a lesser extent supplies, financial service products and SaaS products.</w:t>
      </w:r>
    </w:p>
    <w:p>
      <w:pPr>
        <w:spacing w:after="0" w:line="81"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Revenue is presented in the following tables for the three and six months ended June 30, 2022 (in thousands, supplier service revenue for the three and six months ended June 30, 2021, was not considered material):</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8"/>
                <w:szCs w:val="18"/>
                <w:color w:val="auto"/>
              </w:rPr>
            </w:pPr>
          </w:p>
        </w:tc>
        <w:tc>
          <w:tcPr>
            <w:tcW w:w="282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For The Six Months</w:t>
            </w:r>
          </w:p>
        </w:tc>
        <w:tc>
          <w:tcPr>
            <w:tcW w:w="100" w:type="dxa"/>
            <w:vAlign w:val="bottom"/>
          </w:tcPr>
          <w:p>
            <w:pPr>
              <w:spacing w:after="0"/>
              <w:rPr>
                <w:sz w:val="18"/>
                <w:szCs w:val="18"/>
                <w:color w:val="auto"/>
              </w:rPr>
            </w:pPr>
          </w:p>
        </w:tc>
      </w:tr>
      <w:tr>
        <w:trPr>
          <w:trHeight w:val="220"/>
        </w:trPr>
        <w:tc>
          <w:tcPr>
            <w:tcW w:w="3860" w:type="dxa"/>
            <w:vAlign w:val="bottom"/>
          </w:tcPr>
          <w:p>
            <w:pPr>
              <w:spacing w:after="0"/>
              <w:rPr>
                <w:sz w:val="19"/>
                <w:szCs w:val="19"/>
                <w:color w:val="auto"/>
              </w:rPr>
            </w:pPr>
          </w:p>
        </w:tc>
        <w:tc>
          <w:tcPr>
            <w:tcW w:w="282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9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100" w:type="dxa"/>
            <w:vAlign w:val="bottom"/>
          </w:tcPr>
          <w:p>
            <w:pPr>
              <w:spacing w:after="0"/>
              <w:rPr>
                <w:sz w:val="19"/>
                <w:szCs w:val="19"/>
                <w:color w:val="auto"/>
              </w:rPr>
            </w:pPr>
          </w:p>
        </w:tc>
      </w:tr>
      <w:tr>
        <w:trPr>
          <w:trHeight w:val="238"/>
        </w:trPr>
        <w:tc>
          <w:tcPr>
            <w:tcW w:w="3860" w:type="dxa"/>
            <w:vAlign w:val="bottom"/>
          </w:tcPr>
          <w:p>
            <w:pPr>
              <w:spacing w:after="0"/>
              <w:rPr>
                <w:sz w:val="20"/>
                <w:szCs w:val="20"/>
                <w:color w:val="auto"/>
              </w:rPr>
            </w:pPr>
          </w:p>
        </w:tc>
        <w:tc>
          <w:tcPr>
            <w:tcW w:w="282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7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r>
      <w:tr>
        <w:trPr>
          <w:trHeight w:val="209"/>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Marketplace revenue</w:t>
            </w:r>
          </w:p>
        </w:tc>
        <w:tc>
          <w:tcPr>
            <w:tcW w:w="2820" w:type="dxa"/>
            <w:vAlign w:val="bottom"/>
            <w:shd w:val="clear" w:color="auto" w:fill="CFF0FC"/>
          </w:tcPr>
          <w:p>
            <w:pPr>
              <w:jc w:val="right"/>
              <w:ind w:right="26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75,598</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140,013</w:t>
            </w:r>
          </w:p>
        </w:tc>
        <w:tc>
          <w:tcPr>
            <w:tcW w:w="100" w:type="dxa"/>
            <w:vAlign w:val="bottom"/>
            <w:shd w:val="clear" w:color="auto" w:fill="CFF0FC"/>
          </w:tcPr>
          <w:p>
            <w:pPr>
              <w:spacing w:after="0"/>
              <w:rPr>
                <w:sz w:val="18"/>
                <w:szCs w:val="18"/>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service revenue</w:t>
            </w:r>
          </w:p>
        </w:tc>
        <w:tc>
          <w:tcPr>
            <w:tcW w:w="28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20,017</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39,273</w:t>
            </w:r>
          </w:p>
        </w:tc>
        <w:tc>
          <w:tcPr>
            <w:tcW w:w="100" w:type="dxa"/>
            <w:vAlign w:val="bottom"/>
          </w:tcPr>
          <w:p>
            <w:pPr>
              <w:spacing w:after="0"/>
              <w:rPr>
                <w:sz w:val="18"/>
                <w:szCs w:val="18"/>
                <w:color w:val="auto"/>
              </w:rPr>
            </w:pPr>
          </w:p>
        </w:tc>
      </w:tr>
      <w:tr>
        <w:trPr>
          <w:trHeight w:val="249"/>
        </w:trPr>
        <w:tc>
          <w:tcPr>
            <w:tcW w:w="3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20" w:type="dxa"/>
            <w:vAlign w:val="bottom"/>
            <w:tcBorders>
              <w:bottom w:val="single" w:sz="8" w:color="auto"/>
            </w:tcBorders>
            <w:shd w:val="clear" w:color="auto" w:fill="CFF0FC"/>
          </w:tcPr>
          <w:p>
            <w:pPr>
              <w:jc w:val="right"/>
              <w:ind w:right="26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95,615</w:t>
            </w:r>
          </w:p>
        </w:tc>
        <w:tc>
          <w:tcPr>
            <w:tcW w:w="2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179,286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-24765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-7620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Investment in Unconsolidated Joint Venture</w:t>
      </w:r>
    </w:p>
    <w:p>
      <w:pPr>
        <w:spacing w:after="0" w:line="107"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7"/>
          <w:szCs w:val="17"/>
          <w:color w:val="auto"/>
        </w:rPr>
        <w:t>In connection with the Company's acquisition of Thomas on December 9, 2021, the Company assumed a 50% interest in Industrial Media, LLC ("IM, LLC") with the other 50% owned by Rich Media Group, LLC. IM, LLC primarily manages content creation, advertising sales, and marketing initiatives for the Industrial Engineering News brand, certain magazines, videos, website and associated electronic media products for industrial engineers. The Company’s ownership interest in the net assets of IM, LLC approximated $5.2 million. We estimated the fair value of the net assets using market approach which considered market multiples and revenue assumptions based on historical operating results (Level 3 inputs). The Company estimated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difference of approximately $4.2 million which is accounted for as equity method goodwill and not subject to amortization.</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(10) Stock Based Compensation</w:t>
      </w:r>
    </w:p>
    <w:p>
      <w:pPr>
        <w:spacing w:after="0" w:line="121" w:lineRule="exact"/>
        <w:rPr>
          <w:sz w:val="20"/>
          <w:szCs w:val="20"/>
          <w:color w:val="auto"/>
        </w:rPr>
      </w:pPr>
    </w:p>
    <w:p>
      <w:pPr>
        <w:ind w:firstLine="644"/>
        <w:spacing w:after="0" w:line="250" w:lineRule="auto"/>
        <w:rPr>
          <w:sz w:val="20"/>
          <w:szCs w:val="20"/>
          <w:color w:val="auto"/>
        </w:rPr>
      </w:pPr>
      <w:r>
        <w:rPr>
          <w:rFonts w:ascii="Times New Roman" w:cs="Times New Roman" w:eastAsia="Times New Roman" w:hAnsi="Times New Roman"/>
          <w:sz w:val="18"/>
          <w:szCs w:val="18"/>
          <w:color w:val="auto"/>
        </w:rPr>
        <w:t>In 2014, the Company adopted a stock compensation plan (the "2014 Equity Incentive Plan") pursuant to which the Company may grant stock options, stock purchase rights, restricted stock awards, or stock awards to employees, directors and consultants (including prospective employees, directors, and consultants). This plan was terminated in February 2016. No additional awards may be granted under the 2014 Equity Incentive Plan, however, outstanding awards continue in full effect in accordance with their existing terms.</w:t>
      </w:r>
    </w:p>
    <w:p>
      <w:pPr>
        <w:spacing w:after="0" w:line="68" w:lineRule="exact"/>
        <w:rPr>
          <w:sz w:val="20"/>
          <w:szCs w:val="20"/>
          <w:color w:val="auto"/>
        </w:rPr>
      </w:pPr>
    </w:p>
    <w:p>
      <w:pPr>
        <w:ind w:firstLine="644"/>
        <w:spacing w:after="0" w:line="250" w:lineRule="auto"/>
        <w:rPr>
          <w:sz w:val="20"/>
          <w:szCs w:val="20"/>
          <w:color w:val="auto"/>
        </w:rPr>
      </w:pPr>
      <w:r>
        <w:rPr>
          <w:rFonts w:ascii="Times New Roman" w:cs="Times New Roman" w:eastAsia="Times New Roman" w:hAnsi="Times New Roman"/>
          <w:sz w:val="18"/>
          <w:szCs w:val="18"/>
          <w:color w:val="auto"/>
        </w:rPr>
        <w:t>In 2016, the Company adopted a stock compensation plan (the “2016 Equity Incentive Plan”) pursuant to which the Company may grant stock options, stock purchase rights, restricted stock awards, or stock awards to employees, directors and consultants (including prospective employees, directors, and consultants). No additional awards may be granted under the 2016 Equity Incentive Plan, however, outstanding awards continue in full effect in accordance with their existing terms.</w:t>
      </w:r>
    </w:p>
    <w:p>
      <w:pPr>
        <w:spacing w:after="0" w:line="68" w:lineRule="exact"/>
        <w:rPr>
          <w:sz w:val="20"/>
          <w:szCs w:val="20"/>
          <w:color w:val="auto"/>
        </w:rPr>
      </w:pPr>
    </w:p>
    <w:p>
      <w:pPr>
        <w:ind w:right="20" w:firstLine="644"/>
        <w:spacing w:after="0" w:line="246" w:lineRule="auto"/>
        <w:rPr>
          <w:sz w:val="20"/>
          <w:szCs w:val="20"/>
          <w:color w:val="auto"/>
        </w:rPr>
      </w:pPr>
      <w:r>
        <w:rPr>
          <w:rFonts w:ascii="Times New Roman" w:cs="Times New Roman" w:eastAsia="Times New Roman" w:hAnsi="Times New Roman"/>
          <w:sz w:val="18"/>
          <w:szCs w:val="18"/>
          <w:color w:val="auto"/>
        </w:rPr>
        <w:t>In connection with the IPO on July 2, 2021, the Company's board of directors adopted the 2021 Equity Incentive Plan (the "2021 Equity Incentive Plan"). The 2021 Equity Incentive Plan provides for the grant of incentive stock options ("ISOs"), nonstatutory stock options ("NSOs"), stock appreciation rights, restricted stock awards, restricted stock unit awards, performance-based awards and other awards, or collectively, awards. ISOs may be granted only to Xometry employees, including Xometry officers, and the employees of Xometry affiliates. All other awards may be granted to Xometry employees, including our officers, Xometry non-employee directors and consultants and the employees and consultants of Xometry affiliates.</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2022, there were 5,151,493 shares available for the Company to grant under the 2021 Equity Incentive Plan.</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7"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160" w:firstLine="644"/>
        <w:spacing w:after="0" w:line="246" w:lineRule="auto"/>
        <w:rPr>
          <w:sz w:val="20"/>
          <w:szCs w:val="20"/>
          <w:color w:val="auto"/>
        </w:rPr>
      </w:pPr>
      <w:r>
        <w:rPr>
          <w:rFonts w:ascii="Times New Roman" w:cs="Times New Roman" w:eastAsia="Times New Roman" w:hAnsi="Times New Roman"/>
          <w:sz w:val="18"/>
          <w:szCs w:val="18"/>
          <w:color w:val="auto"/>
        </w:rPr>
        <w:t>Prior to the Company's IPO on July 2, 2021, the fair value of the Company’s common stock was estimated by management as there was no public market for the Company’s common stock. Xometry’s market-based methodology considered a number of objective and subjective factors including third-party valuations of its common stock, the valuation of comparable companies, sales of the Company’s convertible preferred stock to outside investors in arms-length transactions, the Company’s operating and financial performance, the lack of marketability, and general and industry specific economic outlook, amongst others.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assumptions for the six months ended June 30, 2022 and 2021 are provided in the following table.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0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volatility</w:t>
            </w:r>
          </w:p>
        </w:tc>
        <w:tc>
          <w:tcPr>
            <w:tcW w:w="10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66 %</w:t>
            </w:r>
          </w:p>
        </w:tc>
        <w:tc>
          <w:tcPr>
            <w:tcW w:w="10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term (years)</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1.9 %</w:t>
            </w:r>
          </w:p>
        </w:tc>
        <w:tc>
          <w:tcPr>
            <w:tcW w:w="10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4"/>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share</w:t>
            </w:r>
          </w:p>
        </w:tc>
        <w:tc>
          <w:tcPr>
            <w:tcW w:w="1040" w:type="dxa"/>
            <w:vAlign w:val="bottom"/>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260" w:type="dxa"/>
            <w:vAlign w:val="bottom"/>
          </w:tcPr>
          <w:p>
            <w:pPr>
              <w:spacing w:after="0"/>
              <w:rPr>
                <w:sz w:val="20"/>
                <w:szCs w:val="20"/>
                <w:color w:val="auto"/>
              </w:rPr>
            </w:pP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323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6" w:lineRule="exact"/>
        <w:rPr>
          <w:sz w:val="20"/>
          <w:szCs w:val="20"/>
          <w:color w:val="auto"/>
        </w:rPr>
      </w:pPr>
    </w:p>
    <w:p>
      <w:pPr>
        <w:ind w:right="400" w:firstLine="644"/>
        <w:spacing w:after="0" w:line="266" w:lineRule="auto"/>
        <w:rPr>
          <w:sz w:val="20"/>
          <w:szCs w:val="20"/>
          <w:color w:val="auto"/>
        </w:rPr>
      </w:pPr>
      <w:r>
        <w:rPr>
          <w:rFonts w:ascii="Times New Roman" w:cs="Times New Roman" w:eastAsia="Times New Roman" w:hAnsi="Times New Roman"/>
          <w:sz w:val="18"/>
          <w:szCs w:val="18"/>
          <w:color w:val="auto"/>
        </w:rPr>
        <w:t>A summary of the status of the Company’s stock option activity and the changes during the six months ended June 30, 2022, are as follows (in millions, except share and per share amounts):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3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0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680" w:type="dxa"/>
            <w:vAlign w:val="bottom"/>
          </w:tcPr>
          <w:p>
            <w:pPr>
              <w:spacing w:after="0"/>
              <w:rPr>
                <w:sz w:val="16"/>
                <w:szCs w:val="16"/>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10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Exercisable at December 31,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987,622</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3,286,870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321,649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(465,826 )</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(131,375 )</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(1,591 )</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3,009,727</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4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Exercisable at June 30,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1,222,056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-173990</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-156845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75" w:lineRule="exact"/>
        <w:rPr>
          <w:sz w:val="20"/>
          <w:szCs w:val="20"/>
          <w:color w:val="auto"/>
        </w:rPr>
      </w:pPr>
    </w:p>
    <w:p>
      <w:pPr>
        <w:jc w:val="both"/>
        <w:ind w:right="560" w:firstLine="644"/>
        <w:spacing w:after="0" w:line="250"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six months ended June 30, 2022 and 2021, was $21.08 and $18.73, respectively. The total intrinsic value of options exercised during the six months ended June 30, 2022 and 2021, was $15.8 million and $23.7 million, respectively.</w:t>
      </w:r>
    </w:p>
    <w:p>
      <w:pPr>
        <w:spacing w:after="0" w:line="81" w:lineRule="exact"/>
        <w:rPr>
          <w:sz w:val="20"/>
          <w:szCs w:val="20"/>
          <w:color w:val="auto"/>
        </w:rPr>
      </w:pPr>
    </w:p>
    <w:p>
      <w:pPr>
        <w:ind w:right="80" w:firstLine="644"/>
        <w:spacing w:after="0" w:line="250" w:lineRule="auto"/>
        <w:rPr>
          <w:sz w:val="20"/>
          <w:szCs w:val="20"/>
          <w:color w:val="auto"/>
        </w:rPr>
      </w:pPr>
      <w:r>
        <w:rPr>
          <w:rFonts w:ascii="Times New Roman" w:cs="Times New Roman" w:eastAsia="Times New Roman" w:hAnsi="Times New Roman"/>
          <w:sz w:val="18"/>
          <w:szCs w:val="18"/>
          <w:color w:val="auto"/>
        </w:rPr>
        <w:t>At June 30, 2022 and 2021, there was approximately $22.7 million and $26.3 million, respectively of total unrecognized compensation cost related to unvested stock options. That cost is expected to be recognized over a weighted average period of approximately three years as of June 30, 2022 and approximately four years as of June 30, 2021.</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currently uses authorized and unissued shares to satisfy share award exercises.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07" w:lineRule="exact"/>
        <w:rPr>
          <w:sz w:val="20"/>
          <w:szCs w:val="20"/>
          <w:color w:val="auto"/>
        </w:rPr>
      </w:pPr>
    </w:p>
    <w:p>
      <w:pPr>
        <w:ind w:right="160" w:firstLine="644"/>
        <w:spacing w:after="0" w:line="281" w:lineRule="auto"/>
        <w:rPr>
          <w:sz w:val="20"/>
          <w:szCs w:val="20"/>
          <w:color w:val="auto"/>
        </w:rPr>
      </w:pPr>
      <w:r>
        <w:rPr>
          <w:rFonts w:ascii="Times New Roman" w:cs="Times New Roman" w:eastAsia="Times New Roman" w:hAnsi="Times New Roman"/>
          <w:sz w:val="18"/>
          <w:szCs w:val="18"/>
          <w:color w:val="auto"/>
        </w:rPr>
        <w:t>A summary of the status of the Company’s restricted stock unit activity and the changes during the six months ended June 30, 2022 are as follows (in millions, except share and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spacing w:after="0"/>
              <w:rPr>
                <w:sz w:val="18"/>
                <w:szCs w:val="18"/>
                <w:color w:val="auto"/>
              </w:rPr>
            </w:pPr>
          </w:p>
        </w:tc>
        <w:tc>
          <w:tcPr>
            <w:tcW w:w="3100" w:type="dxa"/>
            <w:vAlign w:val="bottom"/>
            <w:gridSpan w:val="2"/>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RSUs as of December 31, 2021</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186,480</w:t>
            </w:r>
          </w:p>
        </w:tc>
        <w:tc>
          <w:tcPr>
            <w:tcW w:w="3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773,945</w:t>
            </w: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34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(35,666 )</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 and cancelled</w:t>
            </w:r>
          </w:p>
        </w:tc>
        <w:tc>
          <w:tcPr>
            <w:tcW w:w="148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(74,138 )</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Unvested RSUs as of June 30, 2022</w:t>
            </w:r>
          </w:p>
        </w:tc>
        <w:tc>
          <w:tcPr>
            <w:tcW w:w="1480" w:type="dxa"/>
            <w:vAlign w:val="bottom"/>
            <w:tcBorders>
              <w:top w:val="single" w:sz="8" w:color="CFF0FC"/>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850,621</w:t>
            </w:r>
          </w:p>
        </w:tc>
        <w:tc>
          <w:tcPr>
            <w:tcW w:w="38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36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42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28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-572770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427" w:right="279" w:bottom="1440" w:gutter="0" w:footer="0" w:header="0"/>
        </w:sectPr>
      </w:pPr>
    </w:p>
    <w:bookmarkStart w:id="19" w:name="page20"/>
    <w:bookmarkEnd w:id="19"/>
    <w:p>
      <w:pPr>
        <w:ind w:right="20" w:firstLine="644"/>
        <w:spacing w:after="0" w:line="250" w:lineRule="auto"/>
        <w:rPr>
          <w:sz w:val="20"/>
          <w:szCs w:val="20"/>
          <w:color w:val="auto"/>
        </w:rPr>
      </w:pPr>
      <w:r>
        <w:rPr>
          <w:rFonts w:ascii="Times New Roman" w:cs="Times New Roman" w:eastAsia="Times New Roman" w:hAnsi="Times New Roman"/>
          <w:sz w:val="18"/>
          <w:szCs w:val="18"/>
          <w:color w:val="auto"/>
        </w:rPr>
        <w:t>At June 30, 2022, there was approximately $33.9 million of total unrecognized compensation cost related to unvested restricted stock units granted under the 2021 Equity Incentive Plan. That cost is expected to be recognized over a weighted average period of approximately four years as of June 30, 2022. No restricted stock units were granted during the three and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stock-based compensation cost for the three and six months ended June 30, 2022 and 2021 were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20" w:type="dxa"/>
            <w:vAlign w:val="bottom"/>
          </w:tcPr>
          <w:p>
            <w:pPr>
              <w:spacing w:after="0"/>
              <w:rPr>
                <w:sz w:val="15"/>
                <w:szCs w:val="15"/>
                <w:color w:val="auto"/>
              </w:rPr>
            </w:pPr>
          </w:p>
        </w:tc>
        <w:tc>
          <w:tcPr>
            <w:tcW w:w="272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5"/>
                <w:szCs w:val="15"/>
                <w:color w:val="auto"/>
              </w:rPr>
            </w:pPr>
          </w:p>
        </w:tc>
      </w:tr>
      <w:tr>
        <w:trPr>
          <w:trHeight w:val="169"/>
        </w:trPr>
        <w:tc>
          <w:tcPr>
            <w:tcW w:w="4620" w:type="dxa"/>
            <w:vAlign w:val="bottom"/>
          </w:tcPr>
          <w:p>
            <w:pPr>
              <w:spacing w:after="0"/>
              <w:rPr>
                <w:sz w:val="14"/>
                <w:szCs w:val="14"/>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gridSpan w:val="2"/>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4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5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support</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9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18"/>
                <w:szCs w:val="18"/>
                <w:color w:val="auto"/>
              </w:rPr>
            </w:pPr>
          </w:p>
        </w:tc>
      </w:tr>
      <w:tr>
        <w:trPr>
          <w:trHeight w:val="249"/>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2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8,935</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-24765</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-7620</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309" w:lineRule="exact"/>
        <w:rPr>
          <w:sz w:val="20"/>
          <w:szCs w:val="20"/>
          <w:color w:val="auto"/>
        </w:rPr>
      </w:pPr>
    </w:p>
    <w:p>
      <w:pPr>
        <w:ind w:right="100" w:firstLine="644"/>
        <w:spacing w:after="0" w:line="281" w:lineRule="auto"/>
        <w:rPr>
          <w:sz w:val="20"/>
          <w:szCs w:val="20"/>
          <w:color w:val="auto"/>
        </w:rPr>
      </w:pPr>
      <w:r>
        <w:rPr>
          <w:rFonts w:ascii="Times New Roman" w:cs="Times New Roman" w:eastAsia="Times New Roman" w:hAnsi="Times New Roman"/>
          <w:sz w:val="18"/>
          <w:szCs w:val="18"/>
          <w:color w:val="auto"/>
        </w:rPr>
        <w:t>A full valuation allowance has been established against our net U.S. federal and state deferred tax assets and foreign deferred tax assets, including net operating loss carryforwards.</w:t>
      </w:r>
    </w:p>
    <w:p>
      <w:pPr>
        <w:spacing w:after="0" w:line="41" w:lineRule="exact"/>
        <w:rPr>
          <w:sz w:val="20"/>
          <w:szCs w:val="20"/>
          <w:color w:val="auto"/>
        </w:rPr>
      </w:pPr>
    </w:p>
    <w:p>
      <w:pPr>
        <w:ind w:right="60" w:firstLine="644"/>
        <w:spacing w:after="0" w:line="250" w:lineRule="auto"/>
        <w:rPr>
          <w:sz w:val="20"/>
          <w:szCs w:val="20"/>
          <w:color w:val="auto"/>
        </w:rPr>
      </w:pPr>
      <w:r>
        <w:rPr>
          <w:rFonts w:ascii="Times New Roman" w:cs="Times New Roman" w:eastAsia="Times New Roman" w:hAnsi="Times New Roman"/>
          <w:sz w:val="18"/>
          <w:szCs w:val="18"/>
          <w:color w:val="auto"/>
        </w:rPr>
        <w:t>During the six months ended June 30, 2022, the Company has a $0.6 million income tax benefit in the U.S. The Company had no current or deferred income tax benefit or expense in the U.S. or outside the U.S. for the three and six months ended June 30, 2021. This estimated annual effective tax rate of 0%, which excludes the impact of the $0.6 million discrete adjustment, differs from the U.S. federal statutory rate primarily due to the effects of certain permanent items, foreign tax rate differences, and increases in the valuation allowance against deferred tax assets.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Operating Loss and Credit Carryforwards</w:t>
      </w:r>
    </w:p>
    <w:p>
      <w:pPr>
        <w:spacing w:after="0" w:line="119" w:lineRule="exact"/>
        <w:rPr>
          <w:sz w:val="20"/>
          <w:szCs w:val="20"/>
          <w:color w:val="auto"/>
        </w:rPr>
      </w:pPr>
    </w:p>
    <w:p>
      <w:pPr>
        <w:ind w:right="120" w:firstLine="644"/>
        <w:spacing w:after="0" w:line="243" w:lineRule="auto"/>
        <w:rPr>
          <w:sz w:val="20"/>
          <w:szCs w:val="20"/>
          <w:color w:val="auto"/>
        </w:rPr>
      </w:pPr>
      <w:r>
        <w:rPr>
          <w:rFonts w:ascii="Times New Roman" w:cs="Times New Roman" w:eastAsia="Times New Roman" w:hAnsi="Times New Roman"/>
          <w:sz w:val="18"/>
          <w:szCs w:val="18"/>
          <w:color w:val="auto"/>
        </w:rPr>
        <w:t>As of December 31, 2021, the Company has net operating loss (“NOL”) carryforwards for U.S. federal income tax purposes, and similar state amounts, of approximately $195.7 million available to reduce future income subject to income taxes before limitations. As of December 31, 2021, the Company had a net operating loss carryforward for tax purposes related to its foreign subsidiary of $20.5 million. U.S. federal net operating carryforwards generated prior to 2018 in the approximate amount of $71.9 million will begin to expire, if not utilized, in 2022. Our non-U.S. net operating loss and U.S. federal net operating losses post 2017 have an indefinite life. The Company expects $128.4 million of legacy Xometry U.S. federal net operating losses to be available to offset future taxable income. Management has not yet completed its evaluation of any limitations on the ability to use the acquired Thomas subsidiary net operating loss carryforward of $67.3 million. The Company plans to complete this analysis during the third quarter of 2022 and the results may impact the net operating loss deferred tax asset, acquisition accounting and income tax provision.</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 Attributable to Common Stockholders</w:t>
      </w:r>
    </w:p>
    <w:p>
      <w:pPr>
        <w:spacing w:after="0" w:line="121" w:lineRule="exact"/>
        <w:rPr>
          <w:sz w:val="20"/>
          <w:szCs w:val="20"/>
          <w:color w:val="auto"/>
        </w:rPr>
      </w:pPr>
    </w:p>
    <w:p>
      <w:pPr>
        <w:ind w:right="260" w:firstLine="644"/>
        <w:spacing w:after="0" w:line="250" w:lineRule="auto"/>
        <w:rPr>
          <w:sz w:val="20"/>
          <w:szCs w:val="20"/>
          <w:color w:val="auto"/>
        </w:rPr>
      </w:pPr>
      <w:r>
        <w:rPr>
          <w:rFonts w:ascii="Times New Roman" w:cs="Times New Roman" w:eastAsia="Times New Roman" w:hAnsi="Times New Roman"/>
          <w:sz w:val="18"/>
          <w:szCs w:val="18"/>
          <w:color w:val="auto"/>
        </w:rPr>
        <w:t>The Company computes net loss per share of Class A common stock, Class B common stock and participating securities using the two-class method. Basic and diluted EPS are the same for each class of common stock and participating securities because they are entitled to the same liquidation and dividend rights. The following table sets forth the computation of basic and diluted net loss per share attributable to common stockholders (in thousands, except share and per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6"/>
                <w:szCs w:val="16"/>
                <w:color w:val="auto"/>
              </w:rPr>
            </w:pPr>
          </w:p>
        </w:tc>
        <w:tc>
          <w:tcPr>
            <w:tcW w:w="2360" w:type="dxa"/>
            <w:vAlign w:val="bottom"/>
            <w:gridSpan w:val="5"/>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(16,549</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(12,264</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(36,544</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(16,553</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(12,264</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(36,565</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51"/>
        </w:trPr>
        <w:tc>
          <w:tcPr>
            <w:tcW w:w="5980" w:type="dxa"/>
            <w:vAlign w:val="bottom"/>
          </w:tcPr>
          <w:p>
            <w:pPr>
              <w:ind w:left="20"/>
              <w:spacing w:after="0" w:line="151" w:lineRule="exact"/>
              <w:rPr>
                <w:sz w:val="20"/>
                <w:szCs w:val="20"/>
                <w:color w:val="auto"/>
              </w:rPr>
            </w:pPr>
            <w:r>
              <w:rPr>
                <w:rFonts w:ascii="Times New Roman" w:cs="Times New Roman" w:eastAsia="Times New Roman" w:hAnsi="Times New Roman"/>
                <w:sz w:val="17"/>
                <w:szCs w:val="17"/>
                <w:color w:val="auto"/>
              </w:rPr>
              <w:t>Weighted-average number of shares outstanding used to compute net loss per</w:t>
            </w:r>
          </w:p>
        </w:tc>
        <w:tc>
          <w:tcPr>
            <w:tcW w:w="2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47,074,246</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8,390,088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46,932,702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8,158,753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9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share attributable to common stockholders, basic and diluted</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(0.78</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20"/>
        </w:trPr>
        <w:tc>
          <w:tcPr>
            <w:tcW w:w="59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9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-855345</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-838200</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-855345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-838200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-855345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-838200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-855345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-436245</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-419100</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-436245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-419100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-436245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-419100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20" w:name="page21"/>
    <w:bookmarkEnd w:id="20"/>
    <w:p>
      <w:pPr>
        <w:ind w:right="540" w:firstLine="644"/>
        <w:spacing w:after="0" w:line="266"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because including them would have had an anti-dilutive effect, or issuance of such shares is contingent upon the occurrence of an event:</w:t>
      </w:r>
    </w:p>
    <w:p>
      <w:pPr>
        <w:spacing w:after="0" w:line="169"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120" w:type="dxa"/>
            <w:vAlign w:val="bottom"/>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top w:val="single" w:sz="8" w:color="auto"/>
            </w:tcBorders>
          </w:tcPr>
          <w:p>
            <w:pPr>
              <w:spacing w:after="0"/>
              <w:rPr>
                <w:sz w:val="14"/>
                <w:szCs w:val="14"/>
                <w:color w:val="auto"/>
              </w:rPr>
            </w:pPr>
          </w:p>
        </w:tc>
        <w:tc>
          <w:tcPr>
            <w:tcW w:w="2160" w:type="dxa"/>
            <w:vAlign w:val="bottom"/>
            <w:tcBorders>
              <w:top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27,758,941</w:t>
            </w:r>
          </w:p>
        </w:tc>
        <w:tc>
          <w:tcPr>
            <w:tcW w:w="100" w:type="dxa"/>
            <w:vAlign w:val="bottom"/>
          </w:tcPr>
          <w:p>
            <w:pPr>
              <w:spacing w:after="0"/>
              <w:rPr>
                <w:sz w:val="18"/>
                <w:szCs w:val="18"/>
                <w:color w:val="auto"/>
              </w:rPr>
            </w:pPr>
          </w:p>
        </w:tc>
      </w:tr>
      <w:tr>
        <w:trPr>
          <w:trHeight w:val="216"/>
        </w:trPr>
        <w:tc>
          <w:tcPr>
            <w:tcW w:w="8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3,009,727</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3,553,190</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850,621</w:t>
            </w:r>
          </w:p>
        </w:tc>
        <w:tc>
          <w:tcPr>
            <w:tcW w:w="3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8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 outstanding</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87,784</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112,026</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reserved for charitable contribution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322,126</w:t>
            </w:r>
          </w:p>
        </w:tc>
        <w:tc>
          <w:tcPr>
            <w:tcW w:w="3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5,123,624</w:t>
            </w:r>
          </w:p>
        </w:tc>
        <w:tc>
          <w:tcPr>
            <w:tcW w:w="300" w:type="dxa"/>
            <w:vAlign w:val="bottom"/>
            <w:tcBorders>
              <w:bottom w:val="single" w:sz="8" w:color="CFF0FC"/>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9,393,882</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31,424,157</w:t>
            </w:r>
          </w:p>
        </w:tc>
        <w:tc>
          <w:tcPr>
            <w:tcW w:w="100" w:type="dxa"/>
            <w:vAlign w:val="bottom"/>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-170815</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8"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Commitments and Contingencies</w:t>
      </w:r>
    </w:p>
    <w:p>
      <w:pPr>
        <w:spacing w:after="0" w:line="10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2027 Convertible Notes</w:t>
      </w:r>
    </w:p>
    <w:p>
      <w:pPr>
        <w:spacing w:after="0" w:line="119" w:lineRule="exact"/>
        <w:rPr>
          <w:sz w:val="20"/>
          <w:szCs w:val="20"/>
          <w:color w:val="auto"/>
        </w:rPr>
      </w:pPr>
    </w:p>
    <w:p>
      <w:pPr>
        <w:ind w:right="20" w:firstLine="644"/>
        <w:spacing w:after="0" w:line="243" w:lineRule="auto"/>
        <w:rPr>
          <w:sz w:val="20"/>
          <w:szCs w:val="20"/>
          <w:color w:val="auto"/>
        </w:rPr>
      </w:pPr>
      <w:r>
        <w:rPr>
          <w:rFonts w:ascii="Times New Roman" w:cs="Times New Roman" w:eastAsia="Times New Roman" w:hAnsi="Times New Roman"/>
          <w:sz w:val="18"/>
          <w:szCs w:val="18"/>
          <w:color w:val="auto"/>
        </w:rPr>
        <w:t>In February 2022, we entered into a purchase agreement with certain counterparties for the sale of an aggregate of $287.5 million principal amount of convertible senior notes due in 2027 (the “2027 Notes”) in a private offering to qualified institutional buyers pursuant to Rule 144A under the Securities Act of 1933, as amended (the “Securities Act”). The 2027 Notes consisted of a $250 million initial placement and an over-allotment option that provided the initial purchasers of the 2027 Notes with the option to purchase an additional $37.5 million aggregate principal amount of the 2027 Notes, which was fully exercised. The 2027 Notes were issued pursuant to an indenture dated February 4, 2022. The net proceeds from the issuance of the 2027 Notes were $278.2 million, net of debt issuance costs. The debt issuance costs are amortized to interest expense using the effective interest rate method.</w:t>
      </w:r>
    </w:p>
    <w:p>
      <w:pPr>
        <w:spacing w:after="0" w:line="77" w:lineRule="exact"/>
        <w:rPr>
          <w:sz w:val="20"/>
          <w:szCs w:val="20"/>
          <w:color w:val="auto"/>
        </w:rPr>
      </w:pPr>
    </w:p>
    <w:p>
      <w:pPr>
        <w:ind w:right="220" w:firstLine="644"/>
        <w:spacing w:after="0" w:line="281" w:lineRule="auto"/>
        <w:rPr>
          <w:sz w:val="20"/>
          <w:szCs w:val="20"/>
          <w:color w:val="auto"/>
        </w:rPr>
      </w:pPr>
      <w:r>
        <w:rPr>
          <w:rFonts w:ascii="Times New Roman" w:cs="Times New Roman" w:eastAsia="Times New Roman" w:hAnsi="Times New Roman"/>
          <w:sz w:val="18"/>
          <w:szCs w:val="18"/>
          <w:color w:val="auto"/>
        </w:rPr>
        <w:t>The 2027 Notes are unsecured obligations which bear regular interest at 1% per annum and for which the principal balance will not accrete. The 2027 Notes will mature on February 1, 2027 unless repurchased, redeemed, or converted in accordance with their terms prior to such date.</w:t>
      </w:r>
    </w:p>
    <w:p>
      <w:pPr>
        <w:spacing w:after="0" w:line="41" w:lineRule="exact"/>
        <w:rPr>
          <w:sz w:val="20"/>
          <w:szCs w:val="20"/>
          <w:color w:val="auto"/>
        </w:rPr>
      </w:pPr>
    </w:p>
    <w:p>
      <w:pPr>
        <w:ind w:right="20" w:firstLine="644"/>
        <w:spacing w:after="0" w:line="250" w:lineRule="auto"/>
        <w:rPr>
          <w:sz w:val="20"/>
          <w:szCs w:val="20"/>
          <w:color w:val="auto"/>
        </w:rPr>
      </w:pPr>
      <w:r>
        <w:rPr>
          <w:rFonts w:ascii="Times New Roman" w:cs="Times New Roman" w:eastAsia="Times New Roman" w:hAnsi="Times New Roman"/>
          <w:sz w:val="18"/>
          <w:szCs w:val="18"/>
          <w:color w:val="auto"/>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w:t>
      </w:r>
    </w:p>
    <w:p>
      <w:pPr>
        <w:spacing w:after="0" w:line="68"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We may redeem for cash all or any portion of the 2027 Notes, at our option, on or after February 5, 2025 if the last reported sale price of our Class A common stock has been at least 130% of the conversion price then in effect for at least 20 trading days at a redemption price equal to 100% of the principal amount of the 2027 Notes to be redeemed, plus accrued and unpaid interest or additional interest, if any.</w:t>
      </w:r>
    </w:p>
    <w:p>
      <w:pPr>
        <w:spacing w:after="0" w:line="61" w:lineRule="exact"/>
        <w:rPr>
          <w:sz w:val="20"/>
          <w:szCs w:val="20"/>
          <w:color w:val="auto"/>
        </w:rPr>
      </w:pPr>
    </w:p>
    <w:p>
      <w:pPr>
        <w:ind w:right="520" w:firstLine="644"/>
        <w:spacing w:after="0" w:line="281" w:lineRule="auto"/>
        <w:rPr>
          <w:sz w:val="20"/>
          <w:szCs w:val="20"/>
          <w:color w:val="auto"/>
        </w:rPr>
      </w:pPr>
      <w:r>
        <w:rPr>
          <w:rFonts w:ascii="Times New Roman" w:cs="Times New Roman" w:eastAsia="Times New Roman" w:hAnsi="Times New Roman"/>
          <w:sz w:val="18"/>
          <w:szCs w:val="18"/>
          <w:color w:val="auto"/>
        </w:rPr>
        <w:t>Holders of the 2027 Notes may convert all or a portion of their 2027 Notes at their option prior to November 1, 2026, in multiples of $1,000 principal amounts, only under the following circumstances:</w:t>
      </w:r>
    </w:p>
    <w:p>
      <w:pPr>
        <w:spacing w:after="0" w:line="41" w:lineRule="exact"/>
        <w:rPr>
          <w:sz w:val="20"/>
          <w:szCs w:val="20"/>
          <w:color w:val="auto"/>
        </w:rPr>
      </w:pPr>
    </w:p>
    <w:p>
      <w:pPr>
        <w:jc w:val="both"/>
        <w:ind w:left="1020" w:hanging="504"/>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spacing w:after="0" w:line="81" w:lineRule="exact"/>
        <w:rPr>
          <w:rFonts w:ascii="Times New Roman" w:cs="Times New Roman" w:eastAsia="Times New Roman" w:hAnsi="Times New Roman"/>
          <w:sz w:val="18"/>
          <w:szCs w:val="18"/>
          <w:color w:val="auto"/>
        </w:rPr>
      </w:pPr>
    </w:p>
    <w:p>
      <w:pPr>
        <w:jc w:val="both"/>
        <w:ind w:left="1020" w:hanging="504"/>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w:t>
      </w:r>
    </w:p>
    <w:p>
      <w:pPr>
        <w:spacing w:after="0" w:line="81" w:lineRule="exact"/>
        <w:rPr>
          <w:rFonts w:ascii="Times New Roman" w:cs="Times New Roman" w:eastAsia="Times New Roman" w:hAnsi="Times New Roman"/>
          <w:sz w:val="18"/>
          <w:szCs w:val="18"/>
          <w:color w:val="auto"/>
        </w:rPr>
      </w:pPr>
    </w:p>
    <w:p>
      <w:pPr>
        <w:jc w:val="both"/>
        <w:ind w:left="1020" w:hanging="504"/>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spacing w:after="0" w:line="8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305" w:lineRule="exact"/>
        <w:rPr>
          <w:sz w:val="20"/>
          <w:szCs w:val="20"/>
          <w:color w:val="auto"/>
        </w:rPr>
      </w:pPr>
    </w:p>
    <w:p>
      <w:pPr>
        <w:ind w:right="720" w:firstLine="644"/>
        <w:spacing w:after="0" w:line="281" w:lineRule="auto"/>
        <w:rPr>
          <w:sz w:val="20"/>
          <w:szCs w:val="20"/>
          <w:color w:val="auto"/>
        </w:rPr>
      </w:pPr>
      <w:r>
        <w:rPr>
          <w:rFonts w:ascii="Times New Roman" w:cs="Times New Roman" w:eastAsia="Times New Roman" w:hAnsi="Times New Roman"/>
          <w:sz w:val="18"/>
          <w:szCs w:val="18"/>
          <w:color w:val="auto"/>
        </w:rPr>
        <w:t>On or after November 1, 2026, the 2027 Notes are convertible at any time until the close of business on the second scheduled trading day immediately preceding the maturity date.</w:t>
      </w:r>
    </w:p>
    <w:p>
      <w:pPr>
        <w:spacing w:after="0" w:line="41" w:lineRule="exact"/>
        <w:rPr>
          <w:sz w:val="20"/>
          <w:szCs w:val="20"/>
          <w:color w:val="auto"/>
        </w:rPr>
      </w:pPr>
    </w:p>
    <w:p>
      <w:pPr>
        <w:ind w:right="680" w:firstLine="644"/>
        <w:spacing w:after="0" w:line="266" w:lineRule="auto"/>
        <w:rPr>
          <w:sz w:val="20"/>
          <w:szCs w:val="20"/>
          <w:color w:val="auto"/>
        </w:rPr>
      </w:pPr>
      <w:r>
        <w:rPr>
          <w:rFonts w:ascii="Times New Roman" w:cs="Times New Roman" w:eastAsia="Times New Roman" w:hAnsi="Times New Roman"/>
          <w:sz w:val="18"/>
          <w:szCs w:val="18"/>
          <w:color w:val="auto"/>
        </w:rPr>
        <w:t>Holders of the 2027 Notes who convert the 2027 Notes in connection with a make-whole fundamental change, as defined in the indenture governing the 2027 Notes, or in connection with a redemption are entitled to an increase in the conversion rate.</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21" w:name="page22"/>
    <w:bookmarkEnd w:id="21"/>
    <w:p>
      <w:pPr>
        <w:ind w:right="380"/>
        <w:spacing w:after="0" w:line="281" w:lineRule="auto"/>
        <w:rPr>
          <w:sz w:val="20"/>
          <w:szCs w:val="20"/>
          <w:color w:val="auto"/>
        </w:rPr>
      </w:pPr>
      <w:r>
        <w:rPr>
          <w:rFonts w:ascii="Times New Roman" w:cs="Times New Roman" w:eastAsia="Times New Roman" w:hAnsi="Times New Roman"/>
          <w:sz w:val="18"/>
          <w:szCs w:val="18"/>
          <w:color w:val="auto"/>
        </w:rPr>
        <w:t>Additionally, in the event of a fundamental change, holders of the 2027 Notes may require us to repurchase all or a portion of the 2027 Notes at a price equal to 100% of the principal amount of 2027 Notes, plus any accrued and unpaid special interest, if any.</w:t>
      </w:r>
    </w:p>
    <w:p>
      <w:pPr>
        <w:spacing w:after="0" w:line="41" w:lineRule="exact"/>
        <w:rPr>
          <w:sz w:val="20"/>
          <w:szCs w:val="20"/>
          <w:color w:val="auto"/>
        </w:rPr>
      </w:pPr>
    </w:p>
    <w:p>
      <w:pPr>
        <w:ind w:right="640" w:firstLine="644"/>
        <w:spacing w:after="0" w:line="266" w:lineRule="auto"/>
        <w:rPr>
          <w:sz w:val="20"/>
          <w:szCs w:val="20"/>
          <w:color w:val="auto"/>
        </w:rPr>
      </w:pPr>
      <w:r>
        <w:rPr>
          <w:rFonts w:ascii="Times New Roman" w:cs="Times New Roman" w:eastAsia="Times New Roman" w:hAnsi="Times New Roman"/>
          <w:sz w:val="18"/>
          <w:szCs w:val="18"/>
          <w:color w:val="auto"/>
        </w:rPr>
        <w:t>We accounted for the issuance of the 2027 Notes as a single liability measured at its amortized cost, as no other embedded features require bifurcation and recognition as derivatives.</w:t>
      </w:r>
    </w:p>
    <w:p>
      <w:pPr>
        <w:spacing w:after="0" w:line="3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outstanding principal amount and carrying value of the 2027 Notes as of the dates indicated (in thousands):</w:t>
      </w:r>
    </w:p>
    <w:p>
      <w:pPr>
        <w:sectPr>
          <w:pgSz w:w="11900" w:h="16838" w:orient="portrait"/>
          <w:cols w:equalWidth="0" w:num="1">
            <w:col w:w="11240"/>
          </w:cols>
          <w:pgMar w:left="320" w:top="4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carrying value</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1817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181735" cy="8255"/>
                    </a:xfrm>
                    <a:prstGeom prst="rect">
                      <a:avLst/>
                    </a:prstGeom>
                    <a:noFill/>
                  </pic:spPr>
                </pic:pic>
              </a:graphicData>
            </a:graphic>
          </wp:anchor>
        </w:drawing>
      </w:r>
    </w:p>
    <w:p>
      <w:pPr>
        <w:spacing w:after="0" w:line="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1817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81735" cy="8255"/>
                    </a:xfrm>
                    <a:prstGeom prst="rect">
                      <a:avLst/>
                    </a:prstGeom>
                    <a:noFill/>
                  </pic:spPr>
                </pic:pic>
              </a:graphicData>
            </a:graphic>
          </wp:anchor>
        </w:drawing>
      </w:r>
    </w:p>
    <w:p>
      <w:pPr>
        <w:spacing w:after="0" w:line="7" w:lineRule="exact"/>
        <w:rPr>
          <w:sz w:val="20"/>
          <w:szCs w:val="20"/>
          <w:color w:val="auto"/>
        </w:rPr>
      </w:pPr>
    </w:p>
    <w:p>
      <w:pPr>
        <w:ind w:left="1260" w:hanging="1255"/>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287,500</w:t>
      </w:r>
    </w:p>
    <w:p>
      <w:pPr>
        <w:spacing w:after="0" w:line="20"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(7,906 )</w:t>
      </w:r>
    </w:p>
    <w:p>
      <w:pPr>
        <w:spacing w:after="0" w:line="20"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(622 )</w:t>
      </w:r>
    </w:p>
    <w:p>
      <w:pPr>
        <w:spacing w:after="0" w:line="20" w:lineRule="exact"/>
        <w:rPr>
          <w:sz w:val="20"/>
          <w:szCs w:val="20"/>
          <w:color w:val="auto"/>
        </w:rPr>
      </w:pPr>
    </w:p>
    <w:p>
      <w:pPr>
        <w:ind w:left="1260" w:hanging="1255"/>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278,972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1817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817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11817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817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60" w:space="720"/>
            <w:col w:w="1960"/>
          </w:cols>
          <w:pgMar w:left="320" w:top="431" w:right="339" w:bottom="1440" w:gutter="0" w:footer="0" w:header="0"/>
          <w:type w:val="continuous"/>
        </w:sectPr>
      </w:pPr>
    </w:p>
    <w:p>
      <w:pPr>
        <w:spacing w:after="0" w:line="262" w:lineRule="exact"/>
        <w:rPr>
          <w:sz w:val="20"/>
          <w:szCs w:val="20"/>
          <w:color w:val="auto"/>
        </w:rPr>
      </w:pPr>
    </w:p>
    <w:p>
      <w:pPr>
        <w:ind w:right="80" w:firstLine="644"/>
        <w:spacing w:after="0" w:line="266" w:lineRule="auto"/>
        <w:rPr>
          <w:sz w:val="20"/>
          <w:szCs w:val="20"/>
          <w:color w:val="auto"/>
        </w:rPr>
      </w:pPr>
      <w:r>
        <w:rPr>
          <w:rFonts w:ascii="Times New Roman" w:cs="Times New Roman" w:eastAsia="Times New Roman" w:hAnsi="Times New Roman"/>
          <w:sz w:val="18"/>
          <w:szCs w:val="18"/>
          <w:color w:val="auto"/>
        </w:rPr>
        <w:t>The annual effective interest rate for the 2027 Notes was approximately 1.6%. Interest expense related to the 2027 Notes for the periods presented below was as follows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r>
      <w:tr>
        <w:trPr>
          <w:trHeight w:val="187"/>
        </w:trPr>
        <w:tc>
          <w:tcPr>
            <w:tcW w:w="7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6"/>
                <w:szCs w:val="16"/>
                <w:color w:val="auto"/>
              </w:rPr>
            </w:pPr>
          </w:p>
        </w:tc>
      </w:tr>
      <w:tr>
        <w:trPr>
          <w:trHeight w:val="169"/>
        </w:trPr>
        <w:tc>
          <w:tcPr>
            <w:tcW w:w="7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0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Coupon interest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00" w:type="dxa"/>
            <w:vAlign w:val="bottom"/>
            <w:gridSpan w:val="2"/>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transaction costs</w:t>
            </w:r>
          </w:p>
        </w:tc>
        <w:tc>
          <w:tcPr>
            <w:tcW w:w="1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5938520</wp:posOffset>
            </wp:positionH>
            <wp:positionV relativeFrom="paragraph">
              <wp:posOffset>-170815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340" w:firstLine="539"/>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the 2027 Notes with inputs that are observable in the market. The following table presents the carrying value and estimated fair value of the 2027 Notes as of the date indicated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7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2027 Notes</w:t>
            </w: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4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520" w:type="dxa"/>
            <w:vAlign w:val="bottom"/>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09"/>
        </w:trPr>
        <w:tc>
          <w:tcPr>
            <w:tcW w:w="590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278,972</w:t>
            </w:r>
          </w:p>
        </w:tc>
        <w:tc>
          <w:tcPr>
            <w:tcW w:w="42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285,789</w:t>
            </w: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560" w:firstLine="8"/>
        <w:spacing w:after="0" w:line="26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is estimated using a discounted cash flow analysis, using interest rate that we believe are offered for similar borrowings (a Level 3 measurement).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ind w:right="60" w:firstLine="644"/>
        <w:spacing w:after="0" w:line="246" w:lineRule="auto"/>
        <w:rPr>
          <w:sz w:val="20"/>
          <w:szCs w:val="20"/>
          <w:color w:val="auto"/>
        </w:rPr>
      </w:pPr>
      <w:r>
        <w:rPr>
          <w:rFonts w:ascii="Times New Roman" w:cs="Times New Roman" w:eastAsia="Times New Roman" w:hAnsi="Times New Roman"/>
          <w:sz w:val="18"/>
          <w:szCs w:val="18"/>
          <w:color w:val="auto"/>
        </w:rPr>
        <w:t>The Company was party to an amended and restated loan and security agreement ("Amended Loan and Security Agreement") with Hercules Capital, Inc. (“Hercules”) for a term loan ("the Term Loan Facility"). Under the Amended Loan and Security Agreement, effective January 30, 2020, the Company could borrow up to $15 million under the Term Loan Facility, all of which became available to the Company immediately on the agreement date. On July 9, 2021, the Company repaid the full amount of its term loan with Hercules with proceeds from the IPO. In connection with the debt extinguishment, the Company paid Hercules $16.1 million and recorded a loss on debt extinguishment of approximately $0.3 million.</w:t>
      </w:r>
    </w:p>
    <w:p>
      <w:pPr>
        <w:spacing w:after="0" w:line="72" w:lineRule="exact"/>
        <w:rPr>
          <w:sz w:val="20"/>
          <w:szCs w:val="20"/>
          <w:color w:val="auto"/>
        </w:rPr>
      </w:pPr>
    </w:p>
    <w:p>
      <w:pPr>
        <w:ind w:right="40" w:firstLine="734"/>
        <w:spacing w:after="0" w:line="258" w:lineRule="auto"/>
        <w:rPr>
          <w:sz w:val="20"/>
          <w:szCs w:val="20"/>
          <w:color w:val="auto"/>
        </w:rPr>
      </w:pPr>
      <w:r>
        <w:rPr>
          <w:rFonts w:ascii="Times New Roman" w:cs="Times New Roman" w:eastAsia="Times New Roman" w:hAnsi="Times New Roman"/>
          <w:sz w:val="18"/>
          <w:szCs w:val="18"/>
          <w:color w:val="auto"/>
        </w:rPr>
        <w:t>Prior to its repayment, the term loan accrued interest at the greater of (i) 8.7% per annum or (ii) 8.7% per annum plus the prime rate minus 4.75% per annum. The term loan agreement required a maximum $1.2 million end of term fee due and payable on the maturity date of May 1, 2022, however, if the term loan was repaid prior to November 1, 2021, the amount owed would be $0.9 million.</w:t>
      </w:r>
    </w:p>
    <w:p>
      <w:pPr>
        <w:spacing w:after="0" w:line="61" w:lineRule="exact"/>
        <w:rPr>
          <w:sz w:val="20"/>
          <w:szCs w:val="20"/>
          <w:color w:val="auto"/>
        </w:rPr>
      </w:pPr>
    </w:p>
    <w:p>
      <w:pPr>
        <w:ind w:right="220" w:firstLine="644"/>
        <w:spacing w:after="0" w:line="258" w:lineRule="auto"/>
        <w:rPr>
          <w:sz w:val="20"/>
          <w:szCs w:val="20"/>
          <w:color w:val="auto"/>
        </w:rPr>
      </w:pPr>
      <w:r>
        <w:rPr>
          <w:rFonts w:ascii="Times New Roman" w:cs="Times New Roman" w:eastAsia="Times New Roman" w:hAnsi="Times New Roman"/>
          <w:sz w:val="18"/>
          <w:szCs w:val="18"/>
          <w:color w:val="auto"/>
        </w:rPr>
        <w:t>As part of the initial term loan agreement with Hercules, the Company issued a warrant to purchase 87,784 shares of the Company’s Series B Convertible Preferred Stock with a strike price of $5.13 per share that expires in May 2025. Upon closing of the IPO on July 2, 2021, the warrant held by Hercules may only be exercised for shares of Class A common stock.</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05" w:lineRule="exact"/>
        <w:rPr>
          <w:sz w:val="20"/>
          <w:szCs w:val="20"/>
          <w:color w:val="auto"/>
        </w:rPr>
      </w:pPr>
    </w:p>
    <w:p>
      <w:pPr>
        <w:jc w:val="both"/>
        <w:ind w:right="420" w:firstLine="644"/>
        <w:spacing w:after="0" w:line="250" w:lineRule="auto"/>
        <w:rPr>
          <w:sz w:val="20"/>
          <w:szCs w:val="20"/>
          <w:color w:val="auto"/>
        </w:rPr>
      </w:pPr>
      <w:r>
        <w:rPr>
          <w:rFonts w:ascii="Times New Roman" w:cs="Times New Roman" w:eastAsia="Times New Roman" w:hAnsi="Times New Roman"/>
          <w:sz w:val="18"/>
          <w:szCs w:val="18"/>
          <w:color w:val="auto"/>
        </w:rPr>
        <w:t>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(14) Segments</w:t>
      </w:r>
    </w:p>
    <w:p>
      <w:pPr>
        <w:spacing w:after="0" w:line="121" w:lineRule="exact"/>
        <w:rPr>
          <w:sz w:val="20"/>
          <w:szCs w:val="20"/>
          <w:color w:val="auto"/>
        </w:rPr>
      </w:pPr>
    </w:p>
    <w:p>
      <w:pPr>
        <w:ind w:right="100" w:firstLine="644"/>
        <w:spacing w:after="0" w:line="244" w:lineRule="auto"/>
        <w:rPr>
          <w:sz w:val="20"/>
          <w:szCs w:val="20"/>
          <w:color w:val="auto"/>
        </w:rPr>
      </w:pPr>
      <w:r>
        <w:rPr>
          <w:rFonts w:ascii="Times New Roman" w:cs="Times New Roman" w:eastAsia="Times New Roman" w:hAnsi="Times New Roman"/>
          <w:sz w:val="18"/>
          <w:szCs w:val="18"/>
          <w:color w:val="auto"/>
        </w:rPr>
        <w:t>Xometry is organized in two segments referred to as: (1) the U.S. and (2) International (formerly referred to as Europe). Xometry’s operating segments are also the Company’s reportable segments. Xometry’s reportable segments, whose products and offerings are generally the same, are managed separately based on geography. Xometry’s two segments are defined based on the reporting and review process used by the chief operating decision maker (“CODM”), the Chief Executive Officer. The Company evaluates the performance of the operating segments primarily based on revenue and segment “profits/loss” which is largely the results of the segment before income taxes. The Company has not allocated certain general and administrative expenses to the International segment. The Company’s CODM monitors assets of the consolidated Company, but does not use assets, by operating segment when assessing performance or making operating segment resource decisions.</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reflect certain segment information for the three and the six months ended June 30, 2022 and 2021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2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9"/>
        </w:trPr>
        <w:tc>
          <w:tcPr>
            <w:tcW w:w="60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r>
      <w:tr>
        <w:trPr>
          <w:trHeight w:val="209"/>
        </w:trPr>
        <w:tc>
          <w:tcPr>
            <w:tcW w:w="60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87,675</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2"/>
              </w:rPr>
              <w:t>47,228</w:t>
            </w:r>
          </w:p>
        </w:tc>
        <w:tc>
          <w:tcPr>
            <w:tcW w:w="24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163,724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88,526</w:t>
            </w:r>
          </w:p>
        </w:tc>
        <w:tc>
          <w:tcPr>
            <w:tcW w:w="100" w:type="dxa"/>
            <w:vAlign w:val="bottom"/>
          </w:tcPr>
          <w:p>
            <w:pPr>
              <w:spacing w:after="0"/>
              <w:rPr>
                <w:sz w:val="18"/>
                <w:szCs w:val="18"/>
                <w:color w:val="auto"/>
              </w:rPr>
            </w:pPr>
          </w:p>
        </w:tc>
      </w:tr>
      <w:tr>
        <w:trPr>
          <w:trHeight w:val="216"/>
        </w:trPr>
        <w:tc>
          <w:tcPr>
            <w:tcW w:w="602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right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3"/>
              </w:rPr>
              <w:t>3,361</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right w:val="single" w:sz="8" w:color="CFF0FC"/>
            </w:tcBorders>
            <w:shd w:val="clear" w:color="auto" w:fill="CFF0FC"/>
          </w:tcPr>
          <w:p>
            <w:pPr>
              <w:jc w:val="center"/>
              <w:ind w:left="237"/>
              <w:spacing w:after="0"/>
              <w:rPr>
                <w:sz w:val="20"/>
                <w:szCs w:val="20"/>
                <w:color w:val="auto"/>
              </w:rPr>
            </w:pPr>
            <w:r>
              <w:rPr>
                <w:rFonts w:ascii="Times New Roman" w:cs="Times New Roman" w:eastAsia="Times New Roman" w:hAnsi="Times New Roman"/>
                <w:sz w:val="18"/>
                <w:szCs w:val="18"/>
                <w:color w:val="auto"/>
              </w:rPr>
              <w:t>15,562</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95,615</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2"/>
              </w:rPr>
              <w:t>50,589</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179,286</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94,510</w:t>
            </w:r>
          </w:p>
        </w:tc>
        <w:tc>
          <w:tcPr>
            <w:tcW w:w="10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1"/>
        </w:trPr>
        <w:tc>
          <w:tcPr>
            <w:tcW w:w="6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24"/>
                <w:szCs w:val="24"/>
                <w:color w:val="auto"/>
              </w:rPr>
            </w:pPr>
          </w:p>
        </w:tc>
        <w:tc>
          <w:tcPr>
            <w:tcW w:w="22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60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60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Losses</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(11,222 )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(9,440 )</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center"/>
              <w:ind w:left="37"/>
              <w:spacing w:after="0"/>
              <w:rPr>
                <w:sz w:val="20"/>
                <w:szCs w:val="20"/>
                <w:color w:val="auto"/>
              </w:rPr>
            </w:pPr>
            <w:r>
              <w:rPr>
                <w:rFonts w:ascii="Times New Roman" w:cs="Times New Roman" w:eastAsia="Times New Roman" w:hAnsi="Times New Roman"/>
                <w:sz w:val="18"/>
                <w:szCs w:val="18"/>
                <w:color w:val="auto"/>
                <w:w w:val="96"/>
              </w:rPr>
              <w:t>(26,245 )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(17,602 )</w:t>
            </w:r>
          </w:p>
        </w:tc>
      </w:tr>
      <w:tr>
        <w:trPr>
          <w:trHeight w:val="216"/>
        </w:trPr>
        <w:tc>
          <w:tcPr>
            <w:tcW w:w="60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(5,331 )</w:t>
            </w:r>
          </w:p>
        </w:tc>
        <w:tc>
          <w:tcPr>
            <w:tcW w:w="260" w:type="dxa"/>
            <w:vAlign w:val="bottom"/>
            <w:shd w:val="clear" w:color="auto" w:fill="CFF0FC"/>
          </w:tcPr>
          <w:p>
            <w:pPr>
              <w:spacing w:after="0"/>
              <w:rPr>
                <w:sz w:val="18"/>
                <w:szCs w:val="18"/>
                <w:color w:val="auto"/>
              </w:rPr>
            </w:pPr>
          </w:p>
        </w:tc>
        <w:tc>
          <w:tcPr>
            <w:tcW w:w="1100" w:type="dxa"/>
            <w:vAlign w:val="bottom"/>
            <w:tcBorders>
              <w:right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(2,824 )</w:t>
            </w:r>
          </w:p>
        </w:tc>
        <w:tc>
          <w:tcPr>
            <w:tcW w:w="22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8"/>
                <w:szCs w:val="18"/>
                <w:color w:val="auto"/>
                <w:w w:val="96"/>
              </w:rPr>
              <w:t>(10,320 )</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(5,163 )</w:t>
            </w:r>
          </w:p>
        </w:tc>
      </w:tr>
      <w:tr>
        <w:trPr>
          <w:trHeight w:val="20"/>
        </w:trPr>
        <w:tc>
          <w:tcPr>
            <w:tcW w:w="602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(16,553 )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(12,264 )</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center"/>
              <w:ind w:left="37"/>
              <w:spacing w:after="0"/>
              <w:rPr>
                <w:sz w:val="20"/>
                <w:szCs w:val="20"/>
                <w:color w:val="auto"/>
              </w:rPr>
            </w:pPr>
            <w:r>
              <w:rPr>
                <w:rFonts w:ascii="Times New Roman" w:cs="Times New Roman" w:eastAsia="Times New Roman" w:hAnsi="Times New Roman"/>
                <w:sz w:val="18"/>
                <w:szCs w:val="18"/>
                <w:color w:val="auto"/>
                <w:w w:val="96"/>
              </w:rPr>
              <w:t>(36,565 )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(22,765 )</w:t>
            </w:r>
          </w:p>
        </w:tc>
      </w:tr>
      <w:tr>
        <w:trPr>
          <w:trHeight w:val="20"/>
        </w:trPr>
        <w:tc>
          <w:tcPr>
            <w:tcW w:w="6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-1146810</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-1146810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-1146810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-1146810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-170815</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-170815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-170815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Goodwill and Intangible Assets</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Company’s intangible assets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020" w:type="dxa"/>
            <w:vAlign w:val="bottom"/>
          </w:tcPr>
          <w:p>
            <w:pPr>
              <w:jc w:val="center"/>
              <w:ind w:left="12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0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02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600" w:type="dxa"/>
            <w:vAlign w:val="bottom"/>
          </w:tcPr>
          <w:p>
            <w:pPr>
              <w:spacing w:after="0"/>
              <w:rPr>
                <w:sz w:val="13"/>
                <w:szCs w:val="13"/>
                <w:color w:val="auto"/>
              </w:rPr>
            </w:pPr>
          </w:p>
        </w:tc>
        <w:tc>
          <w:tcPr>
            <w:tcW w:w="1020" w:type="dxa"/>
            <w:vAlign w:val="bottom"/>
          </w:tcPr>
          <w:p>
            <w:pPr>
              <w:jc w:val="center"/>
              <w:ind w:left="128"/>
              <w:spacing w:after="0" w:line="159" w:lineRule="exact"/>
              <w:rPr>
                <w:sz w:val="20"/>
                <w:szCs w:val="20"/>
                <w:color w:val="auto"/>
              </w:rPr>
            </w:pPr>
            <w:r>
              <w:rPr>
                <w:rFonts w:ascii="Times New Roman" w:cs="Times New Roman" w:eastAsia="Times New Roman" w:hAnsi="Times New Roman"/>
                <w:sz w:val="14"/>
                <w:szCs w:val="14"/>
                <w:b w:val="1"/>
                <w:bCs w:val="1"/>
                <w:color w:val="auto"/>
                <w:w w:val="99"/>
              </w:rPr>
              <w:t>period in</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center"/>
              <w:ind w:right="116"/>
              <w:spacing w:after="0" w:line="15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34"/>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ind w:right="175"/>
              <w:spacing w:after="0" w:line="15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10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36,652</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Vendor Relationships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Database</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In-place Lease Intangible Asset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Above Market Lease Intangible Asset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43,918</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ind w:left="554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66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6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5185410</wp:posOffset>
            </wp:positionH>
            <wp:positionV relativeFrom="paragraph">
              <wp:posOffset>-572770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-572770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-572770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7"/>
        </w:trPr>
        <w:tc>
          <w:tcPr>
            <w:tcW w:w="56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680" w:type="dxa"/>
            <w:vAlign w:val="bottom"/>
          </w:tcPr>
          <w:p>
            <w:pPr>
              <w:spacing w:after="0"/>
              <w:rPr>
                <w:sz w:val="11"/>
                <w:szCs w:val="11"/>
                <w:color w:val="auto"/>
              </w:rPr>
            </w:pPr>
          </w:p>
        </w:tc>
        <w:tc>
          <w:tcPr>
            <w:tcW w:w="1060" w:type="dxa"/>
            <w:vAlign w:val="bottom"/>
          </w:tcPr>
          <w:p>
            <w:pPr>
              <w:jc w:val="center"/>
              <w:ind w:left="12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06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06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680" w:type="dxa"/>
            <w:vAlign w:val="bottom"/>
          </w:tcPr>
          <w:p>
            <w:pPr>
              <w:spacing w:after="0"/>
              <w:rPr>
                <w:sz w:val="13"/>
                <w:szCs w:val="13"/>
                <w:color w:val="auto"/>
              </w:rPr>
            </w:pPr>
          </w:p>
        </w:tc>
        <w:tc>
          <w:tcPr>
            <w:tcW w:w="1060" w:type="dxa"/>
            <w:vAlign w:val="bottom"/>
          </w:tcPr>
          <w:p>
            <w:pPr>
              <w:jc w:val="center"/>
              <w:ind w:left="128"/>
              <w:spacing w:after="0" w:line="159" w:lineRule="exact"/>
              <w:rPr>
                <w:sz w:val="20"/>
                <w:szCs w:val="20"/>
                <w:color w:val="auto"/>
              </w:rPr>
            </w:pPr>
            <w:r>
              <w:rPr>
                <w:rFonts w:ascii="Times New Roman" w:cs="Times New Roman" w:eastAsia="Times New Roman" w:hAnsi="Times New Roman"/>
                <w:sz w:val="14"/>
                <w:szCs w:val="14"/>
                <w:b w:val="1"/>
                <w:bCs w:val="1"/>
                <w:color w:val="auto"/>
                <w:w w:val="99"/>
              </w:rPr>
              <w:t>period in</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117"/>
              <w:spacing w:after="0" w:line="15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95"/>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136"/>
              <w:spacing w:after="0" w:line="15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680" w:type="dxa"/>
            <w:vAlign w:val="bottom"/>
          </w:tcPr>
          <w:p>
            <w:pPr>
              <w:spacing w:after="0"/>
              <w:rPr>
                <w:sz w:val="16"/>
                <w:szCs w:val="16"/>
                <w:color w:val="auto"/>
              </w:rPr>
            </w:pPr>
          </w:p>
        </w:tc>
        <w:tc>
          <w:tcPr>
            <w:tcW w:w="106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37,139</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Vendor Relationships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Database</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43,418</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-170815</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-170815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provides a roll forward of the carrying amount of goodwill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goodwill</w:t>
            </w: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257,746</w:t>
            </w:r>
          </w:p>
        </w:tc>
        <w:tc>
          <w:tcPr>
            <w:tcW w:w="140" w:type="dxa"/>
            <w:vAlign w:val="bottom"/>
          </w:tcPr>
          <w:p>
            <w:pPr>
              <w:spacing w:after="0"/>
              <w:rPr>
                <w:sz w:val="18"/>
                <w:szCs w:val="18"/>
                <w:color w:val="auto"/>
              </w:rPr>
            </w:pPr>
          </w:p>
        </w:tc>
        <w:tc>
          <w:tcPr>
            <w:tcW w:w="7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00" w:type="dxa"/>
            <w:vAlign w:val="bottom"/>
          </w:tcPr>
          <w:p>
            <w:pPr>
              <w:spacing w:after="0"/>
              <w:rPr>
                <w:sz w:val="18"/>
                <w:szCs w:val="18"/>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impairments</w:t>
            </w:r>
          </w:p>
        </w:tc>
        <w:tc>
          <w:tcPr>
            <w:tcW w:w="10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(3,074 )</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(3,074 )</w:t>
            </w:r>
          </w:p>
        </w:tc>
      </w:tr>
      <w:tr>
        <w:trPr>
          <w:trHeight w:val="209"/>
        </w:trPr>
        <w:tc>
          <w:tcPr>
            <w:tcW w:w="72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goodwill as of January 1</w:t>
            </w:r>
          </w:p>
        </w:tc>
        <w:tc>
          <w:tcPr>
            <w:tcW w:w="10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254,672</w:t>
            </w:r>
          </w:p>
        </w:tc>
        <w:tc>
          <w:tcPr>
            <w:tcW w:w="14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top w:val="single" w:sz="8" w:color="CFF0FC"/>
            </w:tcBorders>
          </w:tcPr>
          <w:p>
            <w:pPr>
              <w:spacing w:after="0"/>
              <w:rPr>
                <w:sz w:val="18"/>
                <w:szCs w:val="18"/>
                <w:color w:val="auto"/>
              </w:rPr>
            </w:pPr>
          </w:p>
        </w:tc>
      </w:tr>
      <w:tr>
        <w:trPr>
          <w:trHeight w:val="216"/>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adjustment during the year</w:t>
            </w:r>
          </w:p>
        </w:tc>
        <w:tc>
          <w:tcPr>
            <w:tcW w:w="10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2"/>
                <w:szCs w:val="12"/>
                <w:color w:val="auto"/>
              </w:rPr>
              <w:t>(1)</w:t>
            </w: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253,839</w:t>
            </w:r>
          </w:p>
        </w:tc>
        <w:tc>
          <w:tcPr>
            <w:tcW w:w="100" w:type="dxa"/>
            <w:vAlign w:val="bottom"/>
            <w:shd w:val="clear" w:color="auto" w:fill="CFF0FC"/>
          </w:tcPr>
          <w:p>
            <w:pPr>
              <w:spacing w:after="0"/>
              <w:rPr>
                <w:sz w:val="18"/>
                <w:szCs w:val="18"/>
                <w:color w:val="auto"/>
              </w:rPr>
            </w:pPr>
          </w:p>
        </w:tc>
      </w:tr>
      <w:tr>
        <w:trPr>
          <w:trHeight w:val="209"/>
        </w:trPr>
        <w:tc>
          <w:tcPr>
            <w:tcW w:w="7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goodwill as of June 30, 2022, and December 31, 2021</w:t>
            </w:r>
          </w:p>
        </w:tc>
        <w:tc>
          <w:tcPr>
            <w:tcW w:w="10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259,971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254,672</w:t>
            </w:r>
          </w:p>
        </w:tc>
        <w:tc>
          <w:tcPr>
            <w:tcW w:w="100" w:type="dxa"/>
            <w:vAlign w:val="bottom"/>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-453390</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See Note 7 - Acquisitions.</w:t>
      </w:r>
    </w:p>
    <w:p>
      <w:pPr>
        <w:spacing w:after="0" w:line="117" w:lineRule="exact"/>
        <w:rPr>
          <w:sz w:val="20"/>
          <w:szCs w:val="20"/>
          <w:color w:val="auto"/>
        </w:rPr>
      </w:pPr>
    </w:p>
    <w:p>
      <w:pPr>
        <w:ind w:right="320" w:firstLine="644"/>
        <w:spacing w:after="0" w:line="266" w:lineRule="auto"/>
        <w:rPr>
          <w:sz w:val="20"/>
          <w:szCs w:val="20"/>
          <w:color w:val="auto"/>
        </w:rPr>
      </w:pPr>
      <w:r>
        <w:rPr>
          <w:rFonts w:ascii="Times New Roman" w:cs="Times New Roman" w:eastAsia="Times New Roman" w:hAnsi="Times New Roman"/>
          <w:sz w:val="18"/>
          <w:szCs w:val="18"/>
          <w:color w:val="auto"/>
        </w:rPr>
        <w:t>As of June 30, 2022, and December 31, 2021, Xometry’s goodwill of $260.0 million and $254.7 million, respectively, is part of the Company's U.S. operating segment.</w:t>
      </w:r>
    </w:p>
    <w:p>
      <w:pPr>
        <w:spacing w:after="0" w:line="54" w:lineRule="exact"/>
        <w:rPr>
          <w:sz w:val="20"/>
          <w:szCs w:val="20"/>
          <w:color w:val="auto"/>
        </w:rPr>
      </w:pPr>
    </w:p>
    <w:p>
      <w:pPr>
        <w:ind w:right="340" w:firstLine="644"/>
        <w:spacing w:after="0" w:line="281" w:lineRule="auto"/>
        <w:rPr>
          <w:sz w:val="20"/>
          <w:szCs w:val="20"/>
          <w:color w:val="auto"/>
        </w:rPr>
      </w:pPr>
      <w:r>
        <w:rPr>
          <w:rFonts w:ascii="Times New Roman" w:cs="Times New Roman" w:eastAsia="Times New Roman" w:hAnsi="Times New Roman"/>
          <w:sz w:val="18"/>
          <w:szCs w:val="18"/>
          <w:color w:val="auto"/>
        </w:rPr>
        <w:t>As of June 30, 2022, estimated amortization expense for the remainder of 2022 and the next five years is: $1.9 million in 2022, $3.6 million in 2023, $3.6 million in 2024, $3.6 million in 2025, $3.2 million in 2026 and $2.6 million in 2027.</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for the three and six months ended June 30, 2022 and 2021 was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4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2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gridSpan w:val="2"/>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1,064</w:t>
            </w:r>
          </w:p>
        </w:tc>
        <w:tc>
          <w:tcPr>
            <w:tcW w:w="11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2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376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6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-709930</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-709930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-709930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-709930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6" w:lineRule="exact"/>
        <w:rPr>
          <w:sz w:val="20"/>
          <w:szCs w:val="20"/>
          <w:color w:val="auto"/>
        </w:rPr>
      </w:pPr>
    </w:p>
    <w:p>
      <w:pPr>
        <w:ind w:right="160" w:firstLine="689"/>
        <w:spacing w:after="0" w:line="264" w:lineRule="auto"/>
        <w:rPr>
          <w:sz w:val="20"/>
          <w:szCs w:val="20"/>
          <w:color w:val="auto"/>
        </w:rPr>
      </w:pPr>
      <w:r>
        <w:rPr>
          <w:rFonts w:ascii="Times New Roman" w:cs="Times New Roman" w:eastAsia="Times New Roman" w:hAnsi="Times New Roman"/>
          <w:sz w:val="17"/>
          <w:szCs w:val="17"/>
          <w:i w:val="1"/>
          <w:iCs w:val="1"/>
          <w:color w:val="auto"/>
        </w:rPr>
        <w:t>The following discussion and analysis should be read in conjunction with our unaudited consolidated financial statements and the related notes thereto included elsewhere in this Quarterly Report on Form 10-Q.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in Part II, Item 1A, "Risk Factors" in our Annual Report on Form 10-K for the year ended December 31, 2021. Our historical results are not necessarily indicative of the results that may be expected in the future and our current quarterly results are not necessarily indicative of the results expected for the full year or any other period.</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380" w:firstLine="644"/>
        <w:spacing w:after="0" w:line="250" w:lineRule="auto"/>
        <w:rPr>
          <w:sz w:val="20"/>
          <w:szCs w:val="20"/>
          <w:color w:val="auto"/>
        </w:rPr>
      </w:pPr>
      <w:r>
        <w:rPr>
          <w:rFonts w:ascii="Times New Roman" w:cs="Times New Roman" w:eastAsia="Times New Roman" w:hAnsi="Times New Roman"/>
          <w:sz w:val="18"/>
          <w:szCs w:val="18"/>
          <w:color w:val="auto"/>
        </w:rPr>
        <w:t>Xometry, Inc. (“Xometry”, “Company”, “our” or “we”) was incorporated in the State of Delaware in May 2013. Xometry is a global online marketplace connecting enterprise buyers with suppliers of manufacturing services, transforming one of the largest industries in the world. We use our proprietary technology to create a marketplace that enables buyers to efficiently source manufactured parts and assemblies, and empower suppliers of manufacturing services to grow their businesses. Xometry's corporate headquarters is located in Derwood, Maryland.</w:t>
      </w:r>
    </w:p>
    <w:p>
      <w:pPr>
        <w:spacing w:after="0" w:line="149" w:lineRule="exact"/>
        <w:rPr>
          <w:sz w:val="20"/>
          <w:szCs w:val="20"/>
          <w:color w:val="auto"/>
        </w:rPr>
      </w:pPr>
    </w:p>
    <w:p>
      <w:pPr>
        <w:ind w:right="20" w:firstLine="644"/>
        <w:spacing w:after="0" w:line="250" w:lineRule="auto"/>
        <w:rPr>
          <w:sz w:val="20"/>
          <w:szCs w:val="20"/>
          <w:color w:val="auto"/>
        </w:rPr>
      </w:pPr>
      <w:r>
        <w:rPr>
          <w:rFonts w:ascii="Times New Roman" w:cs="Times New Roman" w:eastAsia="Times New Roman" w:hAnsi="Times New Roman"/>
          <w:sz w:val="18"/>
          <w:szCs w:val="18"/>
          <w:color w:val="auto"/>
        </w:rPr>
        <w:t>Xometry uses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aftermarket parts for its buyers.</w:t>
      </w:r>
    </w:p>
    <w:p>
      <w:pPr>
        <w:spacing w:after="0" w:line="149" w:lineRule="exact"/>
        <w:rPr>
          <w:sz w:val="20"/>
          <w:szCs w:val="20"/>
          <w:color w:val="auto"/>
        </w:rPr>
      </w:pPr>
    </w:p>
    <w:p>
      <w:pPr>
        <w:ind w:right="300" w:firstLine="644"/>
        <w:spacing w:after="0" w:line="266" w:lineRule="auto"/>
        <w:rPr>
          <w:sz w:val="20"/>
          <w:szCs w:val="20"/>
          <w:color w:val="auto"/>
        </w:rPr>
      </w:pPr>
      <w:r>
        <w:rPr>
          <w:rFonts w:ascii="Times New Roman" w:cs="Times New Roman" w:eastAsia="Times New Roman" w:hAnsi="Times New Roman"/>
          <w:sz w:val="18"/>
          <w:szCs w:val="18"/>
          <w:color w:val="auto"/>
        </w:rPr>
        <w:t>Our mission is to accelerate innovation by providing real time, equitable access to global manufacturing capacity and demand. Our vision is to drive efficiency, sustainability and innovation for industries worldwide by lowering the barriers to entry to the manufacturing ecosystem.</w:t>
      </w:r>
    </w:p>
    <w:p>
      <w:pPr>
        <w:spacing w:after="0" w:line="134" w:lineRule="exact"/>
        <w:rPr>
          <w:sz w:val="20"/>
          <w:szCs w:val="20"/>
          <w:color w:val="auto"/>
        </w:rPr>
      </w:pPr>
    </w:p>
    <w:p>
      <w:pPr>
        <w:ind w:firstLine="644"/>
        <w:spacing w:after="0" w:line="246" w:lineRule="auto"/>
        <w:rPr>
          <w:sz w:val="20"/>
          <w:szCs w:val="20"/>
          <w:color w:val="auto"/>
        </w:rPr>
      </w:pPr>
      <w:r>
        <w:rPr>
          <w:rFonts w:ascii="Times New Roman" w:cs="Times New Roman" w:eastAsia="Times New Roman" w:hAnsi="Times New Roman"/>
          <w:sz w:val="18"/>
          <w:szCs w:val="18"/>
          <w:color w:val="auto"/>
        </w:rPr>
        <w:t>We empower suppliers to grow their manufacturing businesses and improve machine uptime by providing access to an extensive, diverse base of buyers. We also offer suppliers supporting products and services to meet their unique needs. Our suite of supplier services includes a cloud-based manufacturing execution system, access to competitively priced tools, materials and supplies from leading brands and financial service products to stabilize and enhance cash flow. In addition, we offer suppliers digital marketing and data solutions and SaaS based solutions to help suppliers optimize their productivity.</w:t>
      </w:r>
    </w:p>
    <w:p>
      <w:pPr>
        <w:spacing w:after="0" w:line="139" w:lineRule="exact"/>
        <w:rPr>
          <w:sz w:val="20"/>
          <w:szCs w:val="20"/>
          <w:color w:val="auto"/>
        </w:rPr>
      </w:pPr>
    </w:p>
    <w:p>
      <w:pPr>
        <w:ind w:right="180" w:firstLine="644"/>
        <w:spacing w:after="0" w:line="247" w:lineRule="auto"/>
        <w:rPr>
          <w:sz w:val="20"/>
          <w:szCs w:val="20"/>
          <w:color w:val="auto"/>
        </w:rPr>
      </w:pPr>
      <w:r>
        <w:rPr>
          <w:rFonts w:ascii="Times New Roman" w:cs="Times New Roman" w:eastAsia="Times New Roman" w:hAnsi="Times New Roman"/>
          <w:sz w:val="18"/>
          <w:szCs w:val="18"/>
          <w:color w:val="auto"/>
        </w:rPr>
        <w:t>We define “buyers” as individuals who have placed an order to purchase on-demand parts or assemblies on our marketplace.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platform for a buyer or have utilized our supplier services, including our financial services or the purchase of supplies.</w:t>
      </w:r>
    </w:p>
    <w:p>
      <w:pPr>
        <w:spacing w:after="0" w:line="151" w:lineRule="exact"/>
        <w:rPr>
          <w:sz w:val="20"/>
          <w:szCs w:val="20"/>
          <w:color w:val="auto"/>
        </w:rPr>
      </w:pPr>
    </w:p>
    <w:p>
      <w:pPr>
        <w:ind w:right="60" w:firstLine="644"/>
        <w:spacing w:after="0" w:line="259" w:lineRule="auto"/>
        <w:rPr>
          <w:sz w:val="20"/>
          <w:szCs w:val="20"/>
          <w:color w:val="auto"/>
        </w:rPr>
      </w:pPr>
      <w:r>
        <w:rPr>
          <w:rFonts w:ascii="Times New Roman" w:cs="Times New Roman" w:eastAsia="Times New Roman" w:hAnsi="Times New Roman"/>
          <w:sz w:val="17"/>
          <w:szCs w:val="17"/>
          <w:color w:val="auto"/>
        </w:rPr>
        <w:t>The majority of our revenue is derived from the sale of part(s) and assemblies to our customers on our marketplace, which we refer to as marketplace revenue. The suppliers on our platform offer a diversified mix of manufacturing processes. These manufacturing processes include computer numerical control (“CNC”) manufacturing, sheet metal forming, sheet cutting, 3D printing (including fused deposition modeling, direct metal laser sintering, PolyJet, stereolithography, selective laser sintering, binder jetting, carbon digital light synthesis and multi jet fusion), die casting, stamping, injection molding, urethane casting, tube cutting, tube bending, as well as finishing services, rapid prototyping and high-volume production. We enable buyers to source these processes to meet complex and specific design and order needs across several industries, including Defense, Aerospace, Healthcare,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Automotive, Consumer Goods, Industrial, Robotics, Government, and Education.</w:t>
      </w:r>
    </w:p>
    <w:p>
      <w:pPr>
        <w:spacing w:after="0" w:line="184" w:lineRule="exact"/>
        <w:rPr>
          <w:sz w:val="20"/>
          <w:szCs w:val="20"/>
          <w:color w:val="auto"/>
        </w:rPr>
      </w:pPr>
    </w:p>
    <w:p>
      <w:pPr>
        <w:jc w:val="both"/>
        <w:ind w:right="240" w:firstLine="644"/>
        <w:spacing w:after="0" w:line="258" w:lineRule="auto"/>
        <w:rPr>
          <w:sz w:val="20"/>
          <w:szCs w:val="20"/>
          <w:color w:val="auto"/>
        </w:rPr>
      </w:pPr>
      <w:r>
        <w:rPr>
          <w:rFonts w:ascii="Times New Roman" w:cs="Times New Roman" w:eastAsia="Times New Roman" w:hAnsi="Times New Roman"/>
          <w:sz w:val="18"/>
          <w:szCs w:val="18"/>
          <w:color w:val="auto"/>
        </w:rPr>
        <w:t>During the second quarter of 2022, we launched the Industrial Buying Engine™ (“IBE”) which helps customers source and purchase from the more than 500,000 suppliers on Thomasnet.com. The IBE provides buyer choice including instant quote “buy-it-now” functionality and digitizes the old and time-consuming request-for-quote process. Through the IBE, buyers can request quotes for products and services from suppliers.</w:t>
      </w:r>
    </w:p>
    <w:p>
      <w:pPr>
        <w:spacing w:after="0" w:line="142" w:lineRule="exact"/>
        <w:rPr>
          <w:sz w:val="20"/>
          <w:szCs w:val="20"/>
          <w:color w:val="auto"/>
        </w:rPr>
      </w:pPr>
    </w:p>
    <w:p>
      <w:pPr>
        <w:ind w:right="40" w:firstLine="644"/>
        <w:spacing w:after="0" w:line="243" w:lineRule="auto"/>
        <w:rPr>
          <w:sz w:val="20"/>
          <w:szCs w:val="20"/>
          <w:color w:val="auto"/>
        </w:rPr>
      </w:pPr>
      <w:r>
        <w:rPr>
          <w:rFonts w:ascii="Times New Roman" w:cs="Times New Roman" w:eastAsia="Times New Roman" w:hAnsi="Times New Roman"/>
          <w:sz w:val="18"/>
          <w:szCs w:val="18"/>
          <w:color w:val="auto"/>
        </w:rPr>
        <w:t>Our supplier services revenue primarily includes the sale of advertising and marketing services and to a lesser extent, supplies and financial service products that help our customers better manage cash flow at all stages of job production. Our financial services products, such as Xometry Pay, enable suppliers to stabilize and enhance their cash flows, supply discounts that allow suppliers to lower their operating costs, and resource management tools to optimize their businesses. In 2021, we acquired Thomas Publishing Company (“Thomas”) and Fusiform, Inc. (d.b.a FactoryFour) (“FactoryFour”), expanding our basket of supplier services to include advertising and marketing services and to a lesser extent SaaS based solutions to help suppliers optimize their productivity. Our revenue from Thomas is primarily advertising revenue.</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25" w:name="page26"/>
    <w:bookmarkEnd w:id="25"/>
    <w:p>
      <w:pPr>
        <w:ind w:right="20" w:firstLine="644"/>
        <w:spacing w:after="0" w:line="250" w:lineRule="auto"/>
        <w:rPr>
          <w:sz w:val="20"/>
          <w:szCs w:val="20"/>
          <w:color w:val="auto"/>
        </w:rPr>
      </w:pPr>
      <w:r>
        <w:rPr>
          <w:rFonts w:ascii="Times New Roman" w:cs="Times New Roman" w:eastAsia="Times New Roman" w:hAnsi="Times New Roman"/>
          <w:sz w:val="18"/>
          <w:szCs w:val="18"/>
          <w:color w:val="auto"/>
        </w:rPr>
        <w:t>During the second quarter of 2022, we introduced Workcenter which gives suppliers a one-stop view into all of their Xometry and non-Xometry work. A cloud-based manufacturing execution system, Workcenter brings the job board and financial services into one, easy-to-use platform. With Workcenter, shop owners can build and manage workflows for all their projects, including those from non-Xometry customers, and also quote new projects from Xometry and Thomas.</w:t>
      </w:r>
    </w:p>
    <w:p>
      <w:pPr>
        <w:spacing w:after="0" w:line="68" w:lineRule="exact"/>
        <w:rPr>
          <w:sz w:val="20"/>
          <w:szCs w:val="20"/>
          <w:color w:val="auto"/>
        </w:rPr>
      </w:pPr>
    </w:p>
    <w:p>
      <w:pPr>
        <w:ind w:firstLine="637"/>
        <w:spacing w:after="0" w:line="246" w:lineRule="auto"/>
        <w:rPr>
          <w:sz w:val="20"/>
          <w:szCs w:val="20"/>
          <w:color w:val="auto"/>
        </w:rPr>
      </w:pPr>
      <w:r>
        <w:rPr>
          <w:rFonts w:ascii="Times New Roman" w:cs="Times New Roman" w:eastAsia="Times New Roman" w:hAnsi="Times New Roman"/>
          <w:sz w:val="18"/>
          <w:szCs w:val="18"/>
          <w:color w:val="auto"/>
        </w:rPr>
        <w:t>Our business benefits from a virtuous network liquidity effect, because adding buyers to our platform generates greater demand on our marketplace which in turn attracts more suppliers to the platform, allowing us to rapidly scale and increase the number of manufacturing processes offered on our platform. In order to continue to meet the needs of buyers and remain highly competitive, we expect to continue to add suppliers to our platform that have new and innovative manufacturing processes. Thus, our platform is unbounded by the in-house manufacturing capacity and processes of our current suppliers.</w:t>
      </w:r>
    </w:p>
    <w:p>
      <w:pPr>
        <w:spacing w:after="0" w:line="72" w:lineRule="exact"/>
        <w:rPr>
          <w:sz w:val="20"/>
          <w:szCs w:val="20"/>
          <w:color w:val="auto"/>
        </w:rPr>
      </w:pPr>
    </w:p>
    <w:p>
      <w:pPr>
        <w:ind w:right="120" w:firstLine="637"/>
        <w:spacing w:after="0" w:line="250" w:lineRule="auto"/>
        <w:rPr>
          <w:sz w:val="20"/>
          <w:szCs w:val="20"/>
          <w:color w:val="auto"/>
        </w:rPr>
      </w:pPr>
      <w:r>
        <w:rPr>
          <w:rFonts w:ascii="Times New Roman" w:cs="Times New Roman" w:eastAsia="Times New Roman" w:hAnsi="Times New Roman"/>
          <w:sz w:val="18"/>
          <w:szCs w:val="18"/>
          <w:color w:val="auto"/>
        </w:rPr>
        <w:t>The on-going COVID-19 pandemic has globally resulted in loss of life, and business closures impacting our buyers and suppliers. Even after the COVID-19 pandemic subsides, it may have a continued and lasting impact on the global economy, including our business. Future shelter-in-place orders and similar regulations impact the ability of our buyers and suppliers to operate their businesses. Any limitations on or disruptions or closures of buyers’ and suppliers’ businesses could adversely affect our business.</w:t>
      </w:r>
    </w:p>
    <w:p>
      <w:pPr>
        <w:spacing w:after="0" w:line="81" w:lineRule="exact"/>
        <w:rPr>
          <w:sz w:val="20"/>
          <w:szCs w:val="20"/>
          <w:color w:val="auto"/>
        </w:rPr>
      </w:pPr>
    </w:p>
    <w:p>
      <w:pPr>
        <w:ind w:right="220" w:firstLine="637"/>
        <w:spacing w:after="0" w:line="266" w:lineRule="auto"/>
        <w:rPr>
          <w:sz w:val="20"/>
          <w:szCs w:val="20"/>
          <w:color w:val="auto"/>
        </w:rPr>
      </w:pPr>
      <w:r>
        <w:rPr>
          <w:rFonts w:ascii="Times New Roman" w:cs="Times New Roman" w:eastAsia="Times New Roman" w:hAnsi="Times New Roman"/>
          <w:sz w:val="18"/>
          <w:szCs w:val="18"/>
          <w:color w:val="auto"/>
        </w:rPr>
        <w:t>The COVID-19 pandemic to date has not significantly adversely impacted the growth of our business. We believe the COVID-19 pandemic has validated our platform, highlighting the need for resilient supply chains, and reshaping the way buyers source their manufacturing needs.</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Marketplace Operational and Business Metrics</w:t>
      </w:r>
    </w:p>
    <w:p>
      <w:pPr>
        <w:spacing w:after="0" w:line="229" w:lineRule="exact"/>
        <w:rPr>
          <w:sz w:val="20"/>
          <w:szCs w:val="20"/>
          <w:color w:val="auto"/>
        </w:rPr>
      </w:pPr>
    </w:p>
    <w:p>
      <w:pPr>
        <w:ind w:right="220" w:firstLine="644"/>
        <w:spacing w:after="0" w:line="250" w:lineRule="auto"/>
        <w:rPr>
          <w:sz w:val="20"/>
          <w:szCs w:val="20"/>
          <w:color w:val="auto"/>
        </w:rPr>
      </w:pPr>
      <w:r>
        <w:rPr>
          <w:rFonts w:ascii="Times New Roman" w:cs="Times New Roman" w:eastAsia="Times New Roman" w:hAnsi="Times New Roman"/>
          <w:sz w:val="18"/>
          <w:szCs w:val="18"/>
          <w:color w:val="auto"/>
        </w:rPr>
        <w:t>In addition to the measures presented in our condensed consolidated financial statements included elsewhere in this filing, we use the following key operational and business metrics to help us evaluate our marketplace business, measure our performance, identify trends affecting our business, formulate business plans and develop forecasts, and make strategic decisions:</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2"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Active Buyers</w:t>
      </w:r>
    </w:p>
    <w:p>
      <w:pPr>
        <w:spacing w:after="0" w:line="121" w:lineRule="exact"/>
        <w:rPr>
          <w:sz w:val="20"/>
          <w:szCs w:val="20"/>
          <w:color w:val="auto"/>
        </w:rPr>
      </w:pPr>
    </w:p>
    <w:p>
      <w:pPr>
        <w:ind w:right="300" w:firstLine="637"/>
        <w:spacing w:after="0" w:line="266" w:lineRule="auto"/>
        <w:rPr>
          <w:sz w:val="20"/>
          <w:szCs w:val="20"/>
          <w:color w:val="auto"/>
        </w:rPr>
      </w:pPr>
      <w:r>
        <w:rPr>
          <w:rFonts w:ascii="Times New Roman" w:cs="Times New Roman" w:eastAsia="Times New Roman" w:hAnsi="Times New Roman"/>
          <w:sz w:val="18"/>
          <w:szCs w:val="18"/>
          <w:color w:val="auto"/>
        </w:rPr>
        <w:t>We define Active Buyers as the number of buyers who have made at least one purchase on our marketplace during the last twelve months. An increase or decrease in the number of Active Buyers is a key indicator of our ability to attract, retain and engage buyers on our platform.</w:t>
      </w:r>
    </w:p>
    <w:p>
      <w:pPr>
        <w:spacing w:after="0" w:line="161"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18"/>
          <w:szCs w:val="18"/>
          <w:color w:val="auto"/>
        </w:rPr>
        <w:t>Active Buyers has consistently grown over time. The number of Active Buyers on our platform reached 33,491 as of June 30, 2022, up 40% from 23,942 as of June 30, 2021. The key drivers of Active Buyer growth are continued account and buyer engagement and the success of our strategy to attract new buyers.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43"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Percentage of Revenue from Existing Accounts</w:t>
      </w:r>
    </w:p>
    <w:p>
      <w:pPr>
        <w:spacing w:after="0" w:line="121" w:lineRule="exact"/>
        <w:rPr>
          <w:sz w:val="20"/>
          <w:szCs w:val="20"/>
          <w:color w:val="auto"/>
        </w:rPr>
      </w:pPr>
    </w:p>
    <w:p>
      <w:pPr>
        <w:ind w:firstLine="637"/>
        <w:spacing w:after="0" w:line="243" w:lineRule="auto"/>
        <w:rPr>
          <w:sz w:val="20"/>
          <w:szCs w:val="20"/>
          <w:color w:val="auto"/>
        </w:rPr>
      </w:pPr>
      <w:r>
        <w:rPr>
          <w:rFonts w:ascii="Times New Roman" w:cs="Times New Roman" w:eastAsia="Times New Roman" w:hAnsi="Times New Roman"/>
          <w:sz w:val="18"/>
          <w:szCs w:val="18"/>
          <w:color w:val="auto"/>
        </w:rPr>
        <w:t>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w:t>
      </w:r>
    </w:p>
    <w:p>
      <w:pPr>
        <w:spacing w:after="0" w:line="199" w:lineRule="exact"/>
        <w:rPr>
          <w:sz w:val="20"/>
          <w:szCs w:val="20"/>
          <w:color w:val="auto"/>
        </w:rPr>
      </w:pPr>
    </w:p>
    <w:p>
      <w:pPr>
        <w:ind w:right="400" w:firstLine="644"/>
        <w:spacing w:after="0" w:line="266" w:lineRule="auto"/>
        <w:rPr>
          <w:sz w:val="20"/>
          <w:szCs w:val="20"/>
          <w:color w:val="auto"/>
        </w:rPr>
      </w:pPr>
      <w:r>
        <w:rPr>
          <w:rFonts w:ascii="Times New Roman" w:cs="Times New Roman" w:eastAsia="Times New Roman" w:hAnsi="Times New Roman"/>
          <w:sz w:val="18"/>
          <w:szCs w:val="18"/>
          <w:color w:val="auto"/>
        </w:rPr>
        <w:t>For the quarter ended June 30, 2022, 95% of our revenue was generated from existing accounts. We believe the repeat purchase activity from existing accounts reflects the underlying strength of our business and provides us with substantial revenue visibility and predictability.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1195070</wp:posOffset>
            </wp:positionH>
            <wp:positionV relativeFrom="paragraph">
              <wp:posOffset>139700</wp:posOffset>
            </wp:positionV>
            <wp:extent cx="4718050" cy="32448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718050" cy="324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3"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with Last Twelve-Month Spend of At Least $50,000</w:t>
      </w:r>
    </w:p>
    <w:p>
      <w:pPr>
        <w:spacing w:after="0" w:line="121" w:lineRule="exact"/>
        <w:rPr>
          <w:sz w:val="20"/>
          <w:szCs w:val="20"/>
          <w:color w:val="auto"/>
        </w:rPr>
      </w:pPr>
    </w:p>
    <w:p>
      <w:pPr>
        <w:ind w:firstLine="644"/>
        <w:spacing w:after="0" w:line="250" w:lineRule="auto"/>
        <w:rPr>
          <w:sz w:val="20"/>
          <w:szCs w:val="20"/>
          <w:color w:val="auto"/>
        </w:rPr>
      </w:pPr>
      <w:r>
        <w:rPr>
          <w:rFonts w:ascii="Times New Roman" w:cs="Times New Roman" w:eastAsia="Times New Roman" w:hAnsi="Times New Roman"/>
          <w:sz w:val="18"/>
          <w:szCs w:val="18"/>
          <w:color w:val="auto"/>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894 as of June 30, 2022, up 76% from 508 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1195070</wp:posOffset>
            </wp:positionH>
            <wp:positionV relativeFrom="paragraph">
              <wp:posOffset>140335</wp:posOffset>
            </wp:positionV>
            <wp:extent cx="4718050" cy="32537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718050" cy="325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07" w:lineRule="exact"/>
        <w:rPr>
          <w:sz w:val="20"/>
          <w:szCs w:val="20"/>
          <w:color w:val="auto"/>
        </w:rPr>
      </w:pPr>
    </w:p>
    <w:p>
      <w:pPr>
        <w:ind w:right="160" w:firstLine="637"/>
        <w:spacing w:after="0" w:line="243" w:lineRule="auto"/>
        <w:rPr>
          <w:sz w:val="20"/>
          <w:szCs w:val="20"/>
          <w:color w:val="auto"/>
        </w:rPr>
      </w:pPr>
      <w:r>
        <w:rPr>
          <w:rFonts w:ascii="Times New Roman" w:cs="Times New Roman" w:eastAsia="Times New Roman" w:hAnsi="Times New Roman"/>
          <w:sz w:val="18"/>
          <w:szCs w:val="18"/>
          <w:color w:val="auto"/>
        </w:rPr>
        <w:t>We define Adjusted EBITDA as net income (loss), adjusted for interest expense, interest and dividend income, income tax (expense) benefit, and certain other non-cash or non-recurring items impacting net loss from time to time, principally comprised of depreciation and amortization, stock-based compensation, charitable contributions of common stock, income from an unconsolidated joint venture, impairment charges and acquisition and other adjustments not reflective of the Company's ongoing business, such as adjustments related to purchase accounting, the revaluation of contingent consideration and transaction costs. Adjusted EBITDA is a performance measure that we use to assess our operating performance and the operating leverage in our business. Adjusted EBITDA Margin is calculated by dividing Adjusted EBITDA for a period by revenue for the same period.</w:t>
      </w:r>
    </w:p>
    <w:p>
      <w:pPr>
        <w:spacing w:after="0" w:line="91" w:lineRule="exact"/>
        <w:rPr>
          <w:sz w:val="20"/>
          <w:szCs w:val="20"/>
          <w:color w:val="auto"/>
        </w:rPr>
      </w:pPr>
    </w:p>
    <w:p>
      <w:pPr>
        <w:ind w:right="120" w:firstLine="644"/>
        <w:spacing w:after="0" w:line="250" w:lineRule="auto"/>
        <w:rPr>
          <w:sz w:val="20"/>
          <w:szCs w:val="20"/>
          <w:color w:val="auto"/>
        </w:rPr>
      </w:pPr>
      <w:r>
        <w:rPr>
          <w:rFonts w:ascii="Times New Roman" w:cs="Times New Roman" w:eastAsia="Times New Roman" w:hAnsi="Times New Roman"/>
          <w:sz w:val="18"/>
          <w:szCs w:val="18"/>
          <w:color w:val="auto"/>
        </w:rPr>
        <w:t>For the three months ended June 30, 2022, Adjusted EBITDA loss decreased to $(8.3) million, as compared to Adjusted EBITDA loss of $(9.1) million for the same quarter in 2021. For the quarter ended June 30, 2022, Adjusted EBITDA Margin decreased to (9)% of revenue, as compared to (18)% of revenue for the same quarter in 2021, driven primarily by increased operating efficiencies as we continue to grow our revenue and margins faster than our expenses.</w:t>
      </w:r>
    </w:p>
    <w:p>
      <w:pPr>
        <w:spacing w:after="0" w:line="68" w:lineRule="exact"/>
        <w:rPr>
          <w:sz w:val="20"/>
          <w:szCs w:val="20"/>
          <w:color w:val="auto"/>
        </w:rPr>
      </w:pPr>
    </w:p>
    <w:p>
      <w:pPr>
        <w:ind w:right="160" w:firstLine="644"/>
        <w:spacing w:after="0" w:line="250" w:lineRule="auto"/>
        <w:rPr>
          <w:sz w:val="20"/>
          <w:szCs w:val="20"/>
          <w:color w:val="auto"/>
        </w:rPr>
      </w:pPr>
      <w:r>
        <w:rPr>
          <w:rFonts w:ascii="Times New Roman" w:cs="Times New Roman" w:eastAsia="Times New Roman" w:hAnsi="Times New Roman"/>
          <w:sz w:val="18"/>
          <w:szCs w:val="18"/>
          <w:color w:val="auto"/>
        </w:rPr>
        <w:t>For the six months ended June 30, 2022, Adjusted EBITDA loss increased to $(21.0) million, as compared to Adjusted EBITDA loss of $(17.9) million for the same period in 2021. For the six months ended June 30, 2022, Adjusted EBITDA Margin decreased to (12)% of revenue, as compared to (19)% of revenue for the same period in 2021, driven primarily by increased operating efficiencies as we continue to grow our revenue and margins faster than our expenses</w:t>
      </w:r>
      <w:r>
        <w:rPr>
          <w:rFonts w:ascii="Times New Roman" w:cs="Times New Roman" w:eastAsia="Times New Roman" w:hAnsi="Times New Roman"/>
          <w:sz w:val="18"/>
          <w:szCs w:val="18"/>
          <w:color w:val="FF0000"/>
        </w:rPr>
        <w: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560" w:type="dxa"/>
            <w:vAlign w:val="bottom"/>
            <w:gridSpan w:val="5"/>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3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(16,549</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(36,544</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Addback (deduct)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interest and dividend income and other expenses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lease intangible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Pr>
          <w:p>
            <w:pPr>
              <w:spacing w:after="0"/>
              <w:rPr>
                <w:sz w:val="18"/>
                <w:szCs w:val="18"/>
                <w:color w:val="auto"/>
              </w:rPr>
            </w:pP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(559 )</w:t>
            </w:r>
          </w:p>
        </w:tc>
        <w:tc>
          <w:tcPr>
            <w:tcW w:w="30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other</w:t>
            </w:r>
          </w:p>
        </w:tc>
        <w:tc>
          <w:tcPr>
            <w:tcW w:w="280" w:type="dxa"/>
            <w:vAlign w:val="bottom"/>
          </w:tcPr>
          <w:p>
            <w:pPr>
              <w:spacing w:after="0"/>
              <w:rPr>
                <w:sz w:val="18"/>
                <w:szCs w:val="18"/>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(1,923 )</w:t>
            </w:r>
          </w:p>
        </w:tc>
        <w:tc>
          <w:tcPr>
            <w:tcW w:w="30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(1,284 )</w:t>
            </w:r>
          </w:p>
        </w:tc>
        <w:tc>
          <w:tcPr>
            <w:tcW w:w="30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Charitable contribution of common stock</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280" w:type="dxa"/>
            <w:vAlign w:val="bottom"/>
          </w:tcPr>
          <w:p>
            <w:pPr>
              <w:spacing w:after="0"/>
              <w:rPr>
                <w:sz w:val="18"/>
                <w:szCs w:val="18"/>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(269 )</w:t>
            </w:r>
          </w:p>
        </w:tc>
        <w:tc>
          <w:tcPr>
            <w:tcW w:w="30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(303 )</w:t>
            </w:r>
          </w:p>
        </w:tc>
        <w:tc>
          <w:tcPr>
            <w:tcW w:w="30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(8,300 )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(9,073 )</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(21,026 )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(17,882 )</w:t>
            </w:r>
          </w:p>
        </w:tc>
      </w:tr>
      <w:tr>
        <w:trPr>
          <w:trHeight w:val="20"/>
        </w:trPr>
        <w:tc>
          <w:tcPr>
            <w:tcW w:w="5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-170815</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-170815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-170815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Loss</w:t>
      </w:r>
    </w:p>
    <w:p>
      <w:pPr>
        <w:spacing w:after="0" w:line="107" w:lineRule="exact"/>
        <w:rPr>
          <w:sz w:val="20"/>
          <w:szCs w:val="20"/>
          <w:color w:val="auto"/>
        </w:rPr>
      </w:pPr>
    </w:p>
    <w:p>
      <w:pPr>
        <w:ind w:right="100" w:firstLine="689"/>
        <w:spacing w:after="0" w:line="244" w:lineRule="auto"/>
        <w:rPr>
          <w:sz w:val="20"/>
          <w:szCs w:val="20"/>
          <w:color w:val="auto"/>
        </w:rPr>
      </w:pPr>
      <w:r>
        <w:rPr>
          <w:rFonts w:ascii="Times New Roman" w:cs="Times New Roman" w:eastAsia="Times New Roman" w:hAnsi="Times New Roman"/>
          <w:sz w:val="18"/>
          <w:szCs w:val="18"/>
          <w:color w:val="auto"/>
        </w:rPr>
        <w:t>We define Non-GAAP net loss, as net income (loss) adjusted for depreciation and amortization, stock-based compensation expense, amortization of debt discount and issuance costs on convertible notes, unrealized loss on marketable securities, charitable contributions of common stock, impairment charges, and acquisition and other adjustments not reflective of the Company's ongoing business, such as adjustments related to purchase accounting, the revaluation of contingent consideration and transaction costs.</w:t>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5"/>
          </w:tcPr>
          <w:p>
            <w:pPr>
              <w:jc w:val="right"/>
              <w:ind w:right="720"/>
              <w:spacing w:after="0" w:line="165" w:lineRule="exact"/>
              <w:rPr>
                <w:sz w:val="20"/>
                <w:szCs w:val="20"/>
                <w:color w:val="auto"/>
              </w:rPr>
            </w:pPr>
            <w:r>
              <w:rPr>
                <w:rFonts w:ascii="Times New Roman" w:cs="Times New Roman" w:eastAsia="Times New Roman" w:hAnsi="Times New Roman"/>
                <w:sz w:val="18"/>
                <w:szCs w:val="18"/>
                <w:b w:val="1"/>
                <w:bCs w:val="1"/>
                <w:color w:val="auto"/>
              </w:rPr>
              <w:t>For the Three Months</w:t>
            </w:r>
          </w:p>
        </w:tc>
        <w:tc>
          <w:tcPr>
            <w:tcW w:w="260" w:type="dxa"/>
            <w:vAlign w:val="bottom"/>
          </w:tcPr>
          <w:p>
            <w:pPr>
              <w:spacing w:after="0"/>
              <w:rPr>
                <w:sz w:val="14"/>
                <w:szCs w:val="14"/>
                <w:color w:val="auto"/>
              </w:rPr>
            </w:pPr>
          </w:p>
        </w:tc>
        <w:tc>
          <w:tcPr>
            <w:tcW w:w="2500" w:type="dxa"/>
            <w:vAlign w:val="bottom"/>
            <w:gridSpan w:val="5"/>
          </w:tcPr>
          <w:p>
            <w:pPr>
              <w:jc w:val="right"/>
              <w:ind w:right="700"/>
              <w:spacing w:after="0" w:line="165" w:lineRule="exact"/>
              <w:rPr>
                <w:sz w:val="20"/>
                <w:szCs w:val="20"/>
                <w:color w:val="auto"/>
              </w:rPr>
            </w:pPr>
            <w:r>
              <w:rPr>
                <w:rFonts w:ascii="Times New Roman" w:cs="Times New Roman" w:eastAsia="Times New Roman" w:hAnsi="Times New Roman"/>
                <w:sz w:val="18"/>
                <w:szCs w:val="18"/>
                <w:b w:val="1"/>
                <w:bCs w:val="1"/>
                <w:color w:val="auto"/>
              </w:rPr>
              <w:t>For the Six Months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2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260" w:type="dxa"/>
            <w:vAlign w:val="bottom"/>
          </w:tcPr>
          <w:p>
            <w:pPr>
              <w:spacing w:after="0"/>
              <w:rPr>
                <w:sz w:val="20"/>
                <w:szCs w:val="20"/>
                <w:color w:val="auto"/>
              </w:rPr>
            </w:pPr>
          </w:p>
        </w:tc>
        <w:tc>
          <w:tcPr>
            <w:tcW w:w="250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Net Loss:</w:t>
            </w:r>
          </w:p>
        </w:tc>
        <w:tc>
          <w:tcPr>
            <w:tcW w:w="9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0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shd w:val="clear" w:color="auto" w:fill="CFF0FC"/>
          </w:tcPr>
          <w:p>
            <w:pPr>
              <w:jc w:val="center"/>
              <w:ind w:left="6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(16,549 )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(12,264 )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(36,544 )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(22,765 )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(deduct):</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lease intangible</w:t>
            </w: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deferred costs on convertible notes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and other</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(1,923 )</w:t>
            </w: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(1,284 )</w:t>
            </w: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loss on sale of property and equipment</w:t>
            </w: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Charitable contribution of common stock</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46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9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Non-GAAP Net Loss</w:t>
            </w:r>
          </w:p>
        </w:tc>
        <w:tc>
          <w:tcPr>
            <w:tcW w:w="920" w:type="dxa"/>
            <w:vAlign w:val="bottom"/>
          </w:tcPr>
          <w:p>
            <w:pPr>
              <w:spacing w:after="0"/>
              <w:rPr>
                <w:sz w:val="18"/>
                <w:szCs w:val="18"/>
                <w:color w:val="auto"/>
              </w:rPr>
            </w:pPr>
          </w:p>
        </w:tc>
        <w:tc>
          <w:tcPr>
            <w:tcW w:w="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(8,447 )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(9,538 )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(20,974 )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4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27</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29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-589915</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-589915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-589915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-589915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2" w:right="339" w:bottom="1440" w:gutter="0" w:footer="0" w:header="0"/>
        </w:sectPr>
      </w:pPr>
    </w:p>
    <w:bookmarkStart w:id="30" w:name="page31"/>
    <w:bookmarkEnd w:id="30"/>
    <w:p>
      <w:pPr>
        <w:jc w:val="both"/>
        <w:ind w:right="100" w:firstLine="644"/>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2022, Non-GAAP net loss decreased to $(8.4) million, as compared to Non-GAAP net loss of $(9.5) million for the same quarter in 2021. For the quarter ended June 30, 2022, Non-GAAP net loss decreased to (9)% of revenue, as compared to (19)% of revenue for the same quarter in 2021.</w:t>
      </w:r>
    </w:p>
    <w:p>
      <w:pPr>
        <w:spacing w:after="0" w:line="168"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2022, Non-GAAP net loss increased to $(21.0) million, as compared to Non-GAAP net loss of $(18.8) million for the same period in 2021. For the six months ended June 30, 2022, Non-GAAP net loss decreased to (12)% of revenue, as compared to (20)% of revenue for the same period in 2021.</w:t>
      </w:r>
    </w:p>
    <w:p>
      <w:pPr>
        <w:spacing w:after="0" w:line="168" w:lineRule="exact"/>
        <w:rPr>
          <w:sz w:val="20"/>
          <w:szCs w:val="20"/>
          <w:color w:val="auto"/>
        </w:rPr>
      </w:pPr>
    </w:p>
    <w:p>
      <w:pPr>
        <w:ind w:firstLine="644"/>
        <w:spacing w:after="0" w:line="244" w:lineRule="auto"/>
        <w:rPr>
          <w:sz w:val="20"/>
          <w:szCs w:val="20"/>
          <w:color w:val="auto"/>
        </w:rPr>
      </w:pPr>
      <w:r>
        <w:rPr>
          <w:rFonts w:ascii="Times New Roman" w:cs="Times New Roman" w:eastAsia="Times New Roman" w:hAnsi="Times New Roman"/>
          <w:sz w:val="18"/>
          <w:szCs w:val="18"/>
          <w:color w:val="auto"/>
        </w:rPr>
        <w:t>Adjusted EBITDA and Non-GAAP net loss are non-GAAP financial measures that we use, in addition to our GAAP financial measures, to evaluate our business. We have included Adjusted EBITDA and Non-GAAP net loss in this filing because they are key measures used by our management to evaluate our operating performance. Accordingly, we believe that Adjusted EBITDA and Non-GAAP net loss provide useful information to investors and others in understanding and evaluating our operating results in the same manner as our management team and board of directors. Our calculation of Adjusted EBITDA and Non-GAAP net loss may differ from similarly titled non-GAAP measures, if any, reported by our peer companies and therefore may not serve as an accurate basis of comparison among companies. Adjusted EBITDA and Non-GAAP net loss should not be considered in isolation from, or as a substitute for, financial information prepared in accordance with GAAP.</w:t>
      </w: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7" w:lineRule="exact"/>
        <w:rPr>
          <w:sz w:val="20"/>
          <w:szCs w:val="20"/>
          <w:color w:val="auto"/>
        </w:rPr>
      </w:pPr>
    </w:p>
    <w:p>
      <w:pPr>
        <w:ind w:right="220" w:firstLine="637"/>
        <w:spacing w:after="0" w:line="250" w:lineRule="auto"/>
        <w:rPr>
          <w:sz w:val="20"/>
          <w:szCs w:val="20"/>
          <w:color w:val="auto"/>
        </w:rPr>
      </w:pPr>
      <w:r>
        <w:rPr>
          <w:rFonts w:ascii="Times New Roman" w:cs="Times New Roman" w:eastAsia="Times New Roman" w:hAnsi="Times New Roman"/>
          <w:sz w:val="18"/>
          <w:szCs w:val="18"/>
          <w:color w:val="auto"/>
        </w:rPr>
        <w:t>Our marketplace revenue is primarily comprised of sales to customers through our platform. Buyers purchase specialized CNC manufacturing, sheet metal manufacturing, 3D printing, injection molding, urethane casting, tube cutting, tube bending and finishing services. Customer purchases range from rapid prototyping of single parts to high-volume production on our marketplace. These products are primarily manufactured by our network of suppliers.</w:t>
      </w:r>
    </w:p>
    <w:p>
      <w:pPr>
        <w:spacing w:after="0" w:line="68" w:lineRule="exact"/>
        <w:rPr>
          <w:sz w:val="20"/>
          <w:szCs w:val="20"/>
          <w:color w:val="auto"/>
        </w:rPr>
      </w:pPr>
    </w:p>
    <w:p>
      <w:pPr>
        <w:ind w:right="160" w:firstLine="637"/>
        <w:spacing w:after="0" w:line="281" w:lineRule="auto"/>
        <w:rPr>
          <w:sz w:val="20"/>
          <w:szCs w:val="20"/>
          <w:color w:val="auto"/>
        </w:rPr>
      </w:pPr>
      <w:r>
        <w:rPr>
          <w:rFonts w:ascii="Times New Roman" w:cs="Times New Roman" w:eastAsia="Times New Roman" w:hAnsi="Times New Roman"/>
          <w:sz w:val="18"/>
          <w:szCs w:val="18"/>
          <w:color w:val="auto"/>
        </w:rPr>
        <w:t>Supplier services revenue includes the sale of marketing and advertising services, and to a lesser extent SaaS based solutions, the sale of supplies and financial service products.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07" w:lineRule="exact"/>
        <w:rPr>
          <w:sz w:val="20"/>
          <w:szCs w:val="20"/>
          <w:color w:val="auto"/>
        </w:rPr>
      </w:pPr>
    </w:p>
    <w:p>
      <w:pPr>
        <w:ind w:right="20" w:firstLine="637"/>
        <w:spacing w:after="0" w:line="250" w:lineRule="auto"/>
        <w:rPr>
          <w:sz w:val="20"/>
          <w:szCs w:val="20"/>
          <w:color w:val="auto"/>
        </w:rPr>
      </w:pPr>
      <w:r>
        <w:rPr>
          <w:rFonts w:ascii="Times New Roman" w:cs="Times New Roman" w:eastAsia="Times New Roman" w:hAnsi="Times New Roman"/>
          <w:sz w:val="18"/>
          <w:szCs w:val="18"/>
          <w:color w:val="auto"/>
        </w:rPr>
        <w:t>Marketplace cost of revenue primarily consists of the cost to us of the products that are manufactured or produced by us or our suppliers for delivery to buyers on our platform, internal and external production costs, shipping costs and certain internal depreciation. We expect cost of revenue to increase in absolute dollars to the extent our revenue increases and transaction volume increases. As we grow and add suppliers to our platform, we are able to improve our pricing efficiency, we expect cost of revenue to decline as a percentage of revenue over time.</w:t>
      </w:r>
    </w:p>
    <w:p>
      <w:pPr>
        <w:spacing w:after="0" w:line="68" w:lineRule="exact"/>
        <w:rPr>
          <w:sz w:val="20"/>
          <w:szCs w:val="20"/>
          <w:color w:val="auto"/>
        </w:rPr>
      </w:pPr>
    </w:p>
    <w:p>
      <w:pPr>
        <w:ind w:right="2160" w:firstLine="637"/>
        <w:spacing w:after="0" w:line="367" w:lineRule="auto"/>
        <w:rPr>
          <w:sz w:val="20"/>
          <w:szCs w:val="20"/>
          <w:color w:val="auto"/>
        </w:rPr>
      </w:pPr>
      <w:r>
        <w:rPr>
          <w:rFonts w:ascii="Times New Roman" w:cs="Times New Roman" w:eastAsia="Times New Roman" w:hAnsi="Times New Roman"/>
          <w:sz w:val="18"/>
          <w:szCs w:val="18"/>
          <w:color w:val="auto"/>
        </w:rPr>
        <w:t xml:space="preserve">Cost of revenue for supplier services primarily consists of internal and external production costs and website hosting. </w:t>
      </w:r>
      <w:r>
        <w:rPr>
          <w:rFonts w:ascii="Times New Roman" w:cs="Times New Roman" w:eastAsia="Times New Roman" w:hAnsi="Times New Roman"/>
          <w:sz w:val="18"/>
          <w:szCs w:val="18"/>
          <w:b w:val="1"/>
          <w:bCs w:val="1"/>
          <w:i w:val="1"/>
          <w:iCs w:val="1"/>
          <w:color w:val="auto"/>
        </w:rPr>
        <w:t>Gross Profit</w:t>
      </w:r>
    </w:p>
    <w:p>
      <w:pPr>
        <w:spacing w:after="0" w:line="1" w:lineRule="exact"/>
        <w:rPr>
          <w:sz w:val="20"/>
          <w:szCs w:val="20"/>
          <w:color w:val="auto"/>
        </w:rPr>
      </w:pPr>
    </w:p>
    <w:p>
      <w:pPr>
        <w:ind w:right="120" w:firstLine="637"/>
        <w:spacing w:after="0" w:line="258" w:lineRule="auto"/>
        <w:rPr>
          <w:sz w:val="20"/>
          <w:szCs w:val="20"/>
          <w:color w:val="auto"/>
        </w:rPr>
      </w:pPr>
      <w:r>
        <w:rPr>
          <w:rFonts w:ascii="Times New Roman" w:cs="Times New Roman" w:eastAsia="Times New Roman" w:hAnsi="Times New Roman"/>
          <w:sz w:val="18"/>
          <w:szCs w:val="18"/>
          <w:color w:val="auto"/>
        </w:rPr>
        <w:t>Gross profit, or revenue less cost of revenue, is primarily affected by the growth of our revenue. Our gross profit margin is primarily affected by liquidity of our suppliers’ network and the efficiency of our pricing and will be benefited by increasing the use of existing supplier services and the variety of supplier services offerings over time.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operating expenses consist of sales and marketing, operations and support, product development and general and administrative functions.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07" w:lineRule="exact"/>
        <w:rPr>
          <w:sz w:val="20"/>
          <w:szCs w:val="20"/>
          <w:color w:val="auto"/>
        </w:rPr>
      </w:pPr>
    </w:p>
    <w:p>
      <w:pPr>
        <w:ind w:right="60" w:firstLine="637"/>
        <w:spacing w:after="0" w:line="247" w:lineRule="auto"/>
        <w:rPr>
          <w:sz w:val="20"/>
          <w:szCs w:val="20"/>
          <w:color w:val="auto"/>
        </w:rPr>
      </w:pPr>
      <w:r>
        <w:rPr>
          <w:rFonts w:ascii="Times New Roman" w:cs="Times New Roman" w:eastAsia="Times New Roman" w:hAnsi="Times New Roman"/>
          <w:sz w:val="18"/>
          <w:szCs w:val="18"/>
          <w:color w:val="auto"/>
        </w:rPr>
        <w:t>Sales and marketing expenses are expensed as incurred and include the costs of our digital marketing strategies, branding costs and other advertising costs, certain depreciation and amortization expense, and compensation expenses, including stock-based compensation, to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near-term sales and marketing expenses may fluctuate from period to period based on the timing of our investments in our sales and marketing functions as these investments may vary in scope and scale over future periods.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Support</w:t>
      </w:r>
    </w:p>
    <w:p>
      <w:pPr>
        <w:spacing w:after="0" w:line="107" w:lineRule="exact"/>
        <w:rPr>
          <w:sz w:val="20"/>
          <w:szCs w:val="20"/>
          <w:color w:val="auto"/>
        </w:rPr>
      </w:pPr>
    </w:p>
    <w:p>
      <w:pPr>
        <w:ind w:right="60" w:firstLine="637"/>
        <w:spacing w:after="0" w:line="250" w:lineRule="auto"/>
        <w:rPr>
          <w:sz w:val="20"/>
          <w:szCs w:val="20"/>
          <w:color w:val="auto"/>
        </w:rPr>
      </w:pPr>
      <w:r>
        <w:rPr>
          <w:rFonts w:ascii="Times New Roman" w:cs="Times New Roman" w:eastAsia="Times New Roman" w:hAnsi="Times New Roman"/>
          <w:sz w:val="18"/>
          <w:szCs w:val="18"/>
          <w:color w:val="auto"/>
        </w:rPr>
        <w:t>Operations and support expenses are the costs we incur in support of the buyers and suppliers on our platform which are provided by phone, email and chat for purposes of resolving buyer and suppliers related matters. These costs primarily consist of compensation expenses of the support staff, including stock-based compensation, certain depreciation and amortization expense and software costs used in delivering buyer and suppliers services. We expect operations and support expense to increase in absolute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1" w:name="page32"/>
    <w:bookmarkEnd w:id="31"/>
    <w:p>
      <w:pPr>
        <w:ind w:right="340"/>
        <w:spacing w:after="0" w:line="281" w:lineRule="auto"/>
        <w:rPr>
          <w:sz w:val="20"/>
          <w:szCs w:val="20"/>
          <w:color w:val="auto"/>
        </w:rPr>
      </w:pPr>
      <w:r>
        <w:rPr>
          <w:rFonts w:ascii="Times New Roman" w:cs="Times New Roman" w:eastAsia="Times New Roman" w:hAnsi="Times New Roman"/>
          <w:sz w:val="18"/>
          <w:szCs w:val="18"/>
          <w:color w:val="auto"/>
        </w:rPr>
        <w:t>dollars in the future, though in the near-term operations and support expenses may fluctuate from period-to-period based on total revenue levels and the timing of our investments in our operations and support functions as these investments may vary in scope and scale over future periods.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07" w:lineRule="exact"/>
        <w:rPr>
          <w:sz w:val="20"/>
          <w:szCs w:val="20"/>
          <w:color w:val="auto"/>
        </w:rPr>
      </w:pPr>
    </w:p>
    <w:p>
      <w:pPr>
        <w:ind w:right="160" w:firstLine="637"/>
        <w:spacing w:after="0" w:line="250" w:lineRule="auto"/>
        <w:rPr>
          <w:sz w:val="20"/>
          <w:szCs w:val="20"/>
          <w:color w:val="auto"/>
        </w:rPr>
      </w:pPr>
      <w:r>
        <w:rPr>
          <w:rFonts w:ascii="Times New Roman" w:cs="Times New Roman" w:eastAsia="Times New Roman" w:hAnsi="Times New Roman"/>
          <w:sz w:val="18"/>
          <w:szCs w:val="18"/>
          <w:color w:val="auto"/>
        </w:rPr>
        <w:t>Product development costs which are not eligible for capitalization are expensed as incurred. This account also includes compensation expenses, including stock-based compensation expenses to our employees performing these functions and certain depreciation and amortization expense. We expect product development expense to increase in absolute dollars in the future, though in the near-term product development expenses may fluctuate from period-to-period based on total revenue levels and the timing of our investments in our product development functions as these investments may vary in scope and scale over future periods.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07" w:lineRule="exact"/>
        <w:rPr>
          <w:sz w:val="20"/>
          <w:szCs w:val="20"/>
          <w:color w:val="auto"/>
        </w:rPr>
      </w:pPr>
    </w:p>
    <w:p>
      <w:pPr>
        <w:ind w:firstLine="637"/>
        <w:spacing w:after="0" w:line="269" w:lineRule="auto"/>
        <w:rPr>
          <w:sz w:val="20"/>
          <w:szCs w:val="20"/>
          <w:color w:val="auto"/>
        </w:rPr>
      </w:pPr>
      <w:r>
        <w:rPr>
          <w:rFonts w:ascii="Times New Roman" w:cs="Times New Roman" w:eastAsia="Times New Roman" w:hAnsi="Times New Roman"/>
          <w:sz w:val="17"/>
          <w:szCs w:val="17"/>
          <w:color w:val="auto"/>
        </w:rPr>
        <w:t>General and administrative expenses primarily consist of professional service fees, public company costs, charitable contributions and certain depreciation and amortization expense. It also includes compensation expenses, including stock-based compensation expenses, for executive, finance, legal and other administrative personnel. We expect our general and administrative expenses to increase. We expect to incur additional general and administrative expenses as a result of operating as a public company, including as a result of increased legal, accounting, and directors’ and officers’ insurance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05" w:lineRule="exact"/>
        <w:rPr>
          <w:sz w:val="20"/>
          <w:szCs w:val="20"/>
          <w:color w:val="auto"/>
        </w:rPr>
      </w:pPr>
    </w:p>
    <w:p>
      <w:pPr>
        <w:ind w:right="420" w:firstLine="637"/>
        <w:spacing w:after="0" w:line="266" w:lineRule="auto"/>
        <w:rPr>
          <w:sz w:val="20"/>
          <w:szCs w:val="20"/>
          <w:color w:val="auto"/>
        </w:rPr>
      </w:pPr>
      <w:r>
        <w:rPr>
          <w:rFonts w:ascii="Times New Roman" w:cs="Times New Roman" w:eastAsia="Times New Roman" w:hAnsi="Times New Roman"/>
          <w:sz w:val="18"/>
          <w:szCs w:val="18"/>
          <w:color w:val="auto"/>
        </w:rPr>
        <w:t>Interest expense consists of interest incurred on our outstanding borrowings under our outstanding convertible notes or other borrowings. See “Management’s Discussion and Analysis of Financial Condition and Results of Operations—Liquidity and Capital Resources.”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w:t>
      </w:r>
    </w:p>
    <w:p>
      <w:pPr>
        <w:spacing w:after="0" w:line="1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Interest and dividend income consists of interest on our cash and cash equivalents and dividend income from our investments.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Other expenses consist primarily of unrealized losses and other expenses.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2" w:name="page33"/>
    <w:bookmarkEnd w:id="3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2022 and 2021</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320" w:type="dxa"/>
            <w:vAlign w:val="bottom"/>
            <w:gridSpan w:val="2"/>
          </w:tcPr>
          <w:p>
            <w:pPr>
              <w:jc w:val="center"/>
              <w:ind w:right="596"/>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9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95,615</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center"/>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57,919</w:t>
            </w:r>
          </w:p>
        </w:tc>
        <w:tc>
          <w:tcPr>
            <w:tcW w:w="2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37,696</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30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18,145</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 and support</w:t>
            </w:r>
          </w:p>
        </w:tc>
        <w:tc>
          <w:tcPr>
            <w:tcW w:w="3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30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7,796</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0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53,297</w:t>
            </w:r>
          </w:p>
        </w:tc>
        <w:tc>
          <w:tcPr>
            <w:tcW w:w="280" w:type="dxa"/>
            <w:vAlign w:val="bottom"/>
            <w:tcBorders>
              <w:top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(15,601</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3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(1,209 )</w:t>
            </w: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30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(482 )</w:t>
            </w: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3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expenses</w:t>
            </w:r>
          </w:p>
        </w:tc>
        <w:tc>
          <w:tcPr>
            <w:tcW w:w="30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80" w:type="dxa"/>
            <w:vAlign w:val="bottom"/>
            <w:tcBorders>
              <w:bottom w:val="single" w:sz="8" w:color="CFF0FC"/>
            </w:tcBorders>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w w:val="99"/>
              </w:rPr>
              <w:t>(16,549 )</w:t>
            </w:r>
          </w:p>
        </w:tc>
        <w:tc>
          <w:tcPr>
            <w:tcW w:w="10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(12,264 )</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 for income taxes</w:t>
            </w:r>
          </w:p>
        </w:tc>
        <w:tc>
          <w:tcPr>
            <w:tcW w:w="30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w w:val="99"/>
              </w:rPr>
              <w:t>(16,549 )</w:t>
            </w:r>
          </w:p>
        </w:tc>
        <w:tc>
          <w:tcPr>
            <w:tcW w:w="10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(12,264 )</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0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94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w w:val="99"/>
              </w:rPr>
              <w:t>(16,553 )</w:t>
            </w:r>
          </w:p>
        </w:tc>
        <w:tc>
          <w:tcPr>
            <w:tcW w:w="1040" w:type="dxa"/>
            <w:vAlign w:val="bottom"/>
          </w:tcPr>
          <w:p>
            <w:pPr>
              <w:jc w:val="center"/>
              <w:ind w:right="8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(12,264 )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000" w:type="dxa"/>
            <w:vAlign w:val="bottom"/>
            <w:vMerge w:val="restart"/>
          </w:tcPr>
          <w:p>
            <w:pPr>
              <w:jc w:val="right"/>
              <w:ind w:right="1830"/>
              <w:spacing w:after="0"/>
              <w:rPr>
                <w:sz w:val="20"/>
                <w:szCs w:val="20"/>
                <w:color w:val="auto"/>
              </w:rPr>
            </w:pPr>
            <w:r>
              <w:rPr>
                <w:rFonts w:ascii="Times New Roman" w:cs="Times New Roman" w:eastAsia="Times New Roman" w:hAnsi="Times New Roman"/>
                <w:sz w:val="18"/>
                <w:szCs w:val="18"/>
                <w:color w:val="auto"/>
              </w:rPr>
              <w:t>30</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46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-2277110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-2277110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-1155065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-1155065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-872490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-872490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-589915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-589915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expressed as a percentage of total revenue for the periods indicated: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0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00" w:type="dxa"/>
            <w:vAlign w:val="bottom"/>
          </w:tcPr>
          <w:p>
            <w:pPr>
              <w:spacing w:after="0"/>
              <w:rPr>
                <w:sz w:val="14"/>
                <w:szCs w:val="14"/>
                <w:color w:val="auto"/>
              </w:rPr>
            </w:pPr>
          </w:p>
        </w:tc>
        <w:tc>
          <w:tcPr>
            <w:tcW w:w="200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6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6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76.5 %</w:t>
            </w:r>
          </w:p>
        </w:tc>
        <w:tc>
          <w:tcPr>
            <w:tcW w:w="0" w:type="dxa"/>
            <w:vAlign w:val="bottom"/>
          </w:tcPr>
          <w:p>
            <w:pPr>
              <w:spacing w:after="0"/>
              <w:rPr>
                <w:sz w:val="1"/>
                <w:szCs w:val="1"/>
                <w:color w:val="auto"/>
              </w:rPr>
            </w:pPr>
          </w:p>
        </w:tc>
      </w:tr>
      <w:tr>
        <w:trPr>
          <w:trHeight w:val="20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6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 and support</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6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6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6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6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vMerge w:val="continue"/>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6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0" w:type="dxa"/>
            <w:vAlign w:val="bottom"/>
          </w:tcPr>
          <w:p>
            <w:pPr>
              <w:spacing w:after="0"/>
              <w:rPr>
                <w:sz w:val="1"/>
                <w:szCs w:val="1"/>
                <w:color w:val="auto"/>
              </w:rPr>
            </w:pPr>
          </w:p>
        </w:tc>
      </w:tr>
      <w:tr>
        <w:trPr>
          <w:trHeight w:val="20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6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16"/>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8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(1.3 )%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6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28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(0.5 )%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6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expenses</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6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0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(17.4 )%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16"/>
        </w:trPr>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 for income taxes</w:t>
            </w:r>
          </w:p>
        </w:tc>
        <w:tc>
          <w:tcPr>
            <w:tcW w:w="28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vMerge w:val="continue"/>
          </w:tcPr>
          <w:p>
            <w:pPr>
              <w:spacing w:after="0"/>
              <w:rPr>
                <w:sz w:val="18"/>
                <w:szCs w:val="18"/>
                <w:color w:val="auto"/>
              </w:rPr>
            </w:pPr>
          </w:p>
        </w:tc>
        <w:tc>
          <w:tcPr>
            <w:tcW w:w="28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(17.4 )%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8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vMerge w:val="continue"/>
          </w:tcPr>
          <w:p>
            <w:pPr>
              <w:spacing w:after="0"/>
              <w:rPr>
                <w:sz w:val="18"/>
                <w:szCs w:val="18"/>
                <w:color w:val="auto"/>
              </w:rPr>
            </w:pPr>
          </w:p>
        </w:tc>
        <w:tc>
          <w:tcPr>
            <w:tcW w:w="28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(17.4 )%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-3107690</wp:posOffset>
            </wp:positionV>
            <wp:extent cx="713232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-2825115</wp:posOffset>
            </wp:positionV>
            <wp:extent cx="7132320" cy="1454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-2542540</wp:posOffset>
            </wp:positionV>
            <wp:extent cx="713232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-2268220</wp:posOffset>
            </wp:positionV>
            <wp:extent cx="7132320" cy="1371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-1994535</wp:posOffset>
            </wp:positionV>
            <wp:extent cx="7132320" cy="1454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-1703070</wp:posOffset>
            </wp:positionV>
            <wp:extent cx="713232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-1429385</wp:posOffset>
            </wp:positionV>
            <wp:extent cx="7132320"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-1155065</wp:posOffset>
            </wp:positionV>
            <wp:extent cx="7132320" cy="137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-872490</wp:posOffset>
            </wp:positionV>
            <wp:extent cx="7132320" cy="1454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-589915</wp:posOffset>
            </wp:positionV>
            <wp:extent cx="7132320" cy="1454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1454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0" w:lineRule="exact"/>
        <w:rPr>
          <w:sz w:val="20"/>
          <w:szCs w:val="20"/>
          <w:color w:val="auto"/>
        </w:rPr>
      </w:pPr>
    </w:p>
    <w:p>
      <w:pPr>
        <w:ind w:right="160" w:firstLine="644"/>
        <w:spacing w:after="0" w:line="258" w:lineRule="auto"/>
        <w:rPr>
          <w:sz w:val="20"/>
          <w:szCs w:val="20"/>
          <w:color w:val="auto"/>
        </w:rPr>
      </w:pPr>
      <w:r>
        <w:rPr>
          <w:rFonts w:ascii="Times New Roman" w:cs="Times New Roman" w:eastAsia="Times New Roman" w:hAnsi="Times New Roman"/>
          <w:sz w:val="18"/>
          <w:szCs w:val="18"/>
          <w:color w:val="auto"/>
        </w:rPr>
        <w:t>The following table present our disaggregated revenue and cost of revenue. Revenue from our marketplace primarily reflects the sales of parts and assemblies on our platform. Revenue from supplier services primarily includes the sale of advertising and to a lesser extent supplies, financial service products and SaaS products.</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and cost of revenue of is presented in the following tables for the three months ended June 30, 2022 (in thousands, amounts for the three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months ended June 30, 2021, were not considered material):</w:t>
            </w:r>
          </w:p>
        </w:tc>
        <w:tc>
          <w:tcPr>
            <w:tcW w:w="920" w:type="dxa"/>
            <w:vAlign w:val="bottom"/>
          </w:tcPr>
          <w:p>
            <w:pPr>
              <w:spacing w:after="0"/>
              <w:rPr>
                <w:sz w:val="20"/>
                <w:szCs w:val="20"/>
                <w:color w:val="auto"/>
              </w:rPr>
            </w:pPr>
          </w:p>
        </w:tc>
        <w:tc>
          <w:tcPr>
            <w:tcW w:w="4240" w:type="dxa"/>
            <w:vAlign w:val="bottom"/>
            <w:vMerge w:val="restart"/>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5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4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Marketplace</w:t>
            </w:r>
          </w:p>
        </w:tc>
        <w:tc>
          <w:tcPr>
            <w:tcW w:w="920" w:type="dxa"/>
            <w:vAlign w:val="bottom"/>
            <w:shd w:val="clear" w:color="auto" w:fill="CFF0FC"/>
          </w:tcPr>
          <w:p>
            <w:pPr>
              <w:spacing w:after="0"/>
              <w:rPr>
                <w:sz w:val="18"/>
                <w:szCs w:val="18"/>
                <w:color w:val="auto"/>
              </w:rPr>
            </w:pPr>
          </w:p>
        </w:tc>
        <w:tc>
          <w:tcPr>
            <w:tcW w:w="4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20" w:type="dxa"/>
            <w:vAlign w:val="bottom"/>
            <w:tcBorders>
              <w:bottom w:val="single" w:sz="8" w:color="auto"/>
            </w:tcBorders>
            <w:shd w:val="clear" w:color="auto" w:fill="CFF0FC"/>
          </w:tcPr>
          <w:p>
            <w:pPr>
              <w:spacing w:after="0"/>
              <w:rPr>
                <w:sz w:val="18"/>
                <w:szCs w:val="18"/>
                <w:color w:val="auto"/>
              </w:rPr>
            </w:pPr>
          </w:p>
        </w:tc>
        <w:tc>
          <w:tcPr>
            <w:tcW w:w="4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53,492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Supplier services</w:t>
            </w:r>
          </w:p>
        </w:tc>
        <w:tc>
          <w:tcPr>
            <w:tcW w:w="920" w:type="dxa"/>
            <w:vAlign w:val="bottom"/>
            <w:shd w:val="clear" w:color="auto" w:fill="CFF0FC"/>
          </w:tcPr>
          <w:p>
            <w:pPr>
              <w:spacing w:after="0"/>
              <w:rPr>
                <w:sz w:val="18"/>
                <w:szCs w:val="18"/>
                <w:color w:val="auto"/>
              </w:rPr>
            </w:pPr>
          </w:p>
        </w:tc>
        <w:tc>
          <w:tcPr>
            <w:tcW w:w="4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20" w:type="dxa"/>
            <w:vAlign w:val="bottom"/>
            <w:tcBorders>
              <w:bottom w:val="single" w:sz="8" w:color="auto"/>
            </w:tcBorders>
            <w:shd w:val="clear" w:color="auto" w:fill="CFF0FC"/>
          </w:tcPr>
          <w:p>
            <w:pPr>
              <w:spacing w:after="0"/>
              <w:rPr>
                <w:sz w:val="18"/>
                <w:szCs w:val="18"/>
                <w:color w:val="auto"/>
              </w:rPr>
            </w:pPr>
          </w:p>
        </w:tc>
        <w:tc>
          <w:tcPr>
            <w:tcW w:w="4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6940550</wp:posOffset>
            </wp:positionH>
            <wp:positionV relativeFrom="paragraph">
              <wp:posOffset>-889635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6940550</wp:posOffset>
            </wp:positionH>
            <wp:positionV relativeFrom="paragraph">
              <wp:posOffset>-170815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5" w:lineRule="exact"/>
        <w:rPr>
          <w:sz w:val="20"/>
          <w:szCs w:val="20"/>
          <w:color w:val="auto"/>
        </w:rPr>
      </w:pPr>
    </w:p>
    <w:p>
      <w:pPr>
        <w:ind w:right="140" w:firstLine="637"/>
        <w:spacing w:after="0" w:line="264" w:lineRule="auto"/>
        <w:rPr>
          <w:sz w:val="20"/>
          <w:szCs w:val="20"/>
          <w:color w:val="auto"/>
        </w:rPr>
      </w:pPr>
      <w:r>
        <w:rPr>
          <w:rFonts w:ascii="Times New Roman" w:cs="Times New Roman" w:eastAsia="Times New Roman" w:hAnsi="Times New Roman"/>
          <w:sz w:val="17"/>
          <w:szCs w:val="17"/>
          <w:color w:val="auto"/>
        </w:rPr>
        <w:t>Total revenue increased $45.0 million, or 89%, from $50.6 million for the three months ended June 30, 2021 to $95.6 million for the three months ended June 30, 2022. This growth was primarily a result of an increase in marketplace revenue and an increase in supplier services revenue due to our acquisition of Thomas. Total revenue from marketplace and supplier services for the three months ended June 30, 2022 was $75.6 million and $20.0 million, respectively. The marketplace increase was primarily the result of a 40% increase in active buyers resulting from investments in sales and marketing, as well as existing buyers increasing their spend on the platform for the three months ended June 30, 2022, as compared to the prior year period. Supplier services revenue growth was driven primarily by our acquisition of Thomas in December 2021 and to a lesser extent growth in supplies revenue.</w:t>
      </w:r>
    </w:p>
    <w:p>
      <w:pPr>
        <w:spacing w:after="0" w:line="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39" w:right="239" w:bottom="1440" w:gutter="0" w:footer="0" w:header="0"/>
        </w:sectPr>
      </w:pPr>
    </w:p>
    <w:bookmarkStart w:id="34" w:name="page35"/>
    <w:bookmarkEnd w:id="34"/>
    <w:p>
      <w:pPr>
        <w:ind w:firstLine="637"/>
        <w:spacing w:after="0" w:line="281" w:lineRule="auto"/>
        <w:rPr>
          <w:sz w:val="20"/>
          <w:szCs w:val="20"/>
          <w:color w:val="auto"/>
        </w:rPr>
      </w:pPr>
      <w:r>
        <w:rPr>
          <w:rFonts w:ascii="Times New Roman" w:cs="Times New Roman" w:eastAsia="Times New Roman" w:hAnsi="Times New Roman"/>
          <w:sz w:val="18"/>
          <w:szCs w:val="18"/>
          <w:color w:val="auto"/>
        </w:rPr>
        <w:t>Total revenue from our U.S. and International operating segments for the three months ended June 30, 2022 and 2021, was $87.7 million and $47.2 million, respectively, for the U.S., and $7.9 million and $3.4 million, respectively, for International.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15" w:lineRule="exact"/>
        <w:rPr>
          <w:sz w:val="20"/>
          <w:szCs w:val="20"/>
          <w:color w:val="auto"/>
        </w:rPr>
      </w:pPr>
    </w:p>
    <w:p>
      <w:pPr>
        <w:ind w:right="140" w:firstLine="637"/>
        <w:spacing w:after="0" w:line="250" w:lineRule="auto"/>
        <w:rPr>
          <w:sz w:val="20"/>
          <w:szCs w:val="20"/>
          <w:color w:val="auto"/>
        </w:rPr>
      </w:pPr>
      <w:r>
        <w:rPr>
          <w:rFonts w:ascii="Times New Roman" w:cs="Times New Roman" w:eastAsia="Times New Roman" w:hAnsi="Times New Roman"/>
          <w:sz w:val="18"/>
          <w:szCs w:val="18"/>
          <w:color w:val="auto"/>
        </w:rPr>
        <w:t>Total cost of revenue increased $19.2 million, or 50%, from $38.7 million for the three months ended June 30, 2021 to $57.9 million for the three months ended June 30, 2022. This increase was primarily the result of an increase in marketplace cost of revenue and increase in supplier service costs of revenue due to our acquisition of Thomas. Total cost of revenue from marketplace and supplier services for the three months ended June 30, 2022 was $53.5 million and $4.4 million, respectively.</w:t>
      </w:r>
    </w:p>
    <w:p>
      <w:pPr>
        <w:spacing w:after="0" w:line="189" w:lineRule="exact"/>
        <w:rPr>
          <w:sz w:val="20"/>
          <w:szCs w:val="20"/>
          <w:color w:val="auto"/>
        </w:rPr>
      </w:pPr>
    </w:p>
    <w:p>
      <w:pPr>
        <w:ind w:right="360" w:firstLine="637"/>
        <w:spacing w:after="0" w:line="250" w:lineRule="auto"/>
        <w:rPr>
          <w:sz w:val="20"/>
          <w:szCs w:val="20"/>
          <w:color w:val="auto"/>
        </w:rPr>
      </w:pPr>
      <w:r>
        <w:rPr>
          <w:rFonts w:ascii="Times New Roman" w:cs="Times New Roman" w:eastAsia="Times New Roman" w:hAnsi="Times New Roman"/>
          <w:sz w:val="18"/>
          <w:szCs w:val="18"/>
          <w:color w:val="auto"/>
        </w:rPr>
        <w:t>Marketplace cost of revenue was driven by increased payments to suppliers on our platform due to the growth in our buyer base and increased activity by existing accounts on our marketplace. Our supplier services cost of revenue increased primarily as a result of our acquisition of Thomas in December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29" w:lineRule="exact"/>
        <w:rPr>
          <w:sz w:val="20"/>
          <w:szCs w:val="20"/>
          <w:color w:val="auto"/>
        </w:rPr>
      </w:pPr>
    </w:p>
    <w:p>
      <w:pPr>
        <w:ind w:right="140" w:firstLine="637"/>
        <w:spacing w:after="0" w:line="250" w:lineRule="auto"/>
        <w:rPr>
          <w:sz w:val="20"/>
          <w:szCs w:val="20"/>
          <w:color w:val="auto"/>
        </w:rPr>
      </w:pPr>
      <w:r>
        <w:rPr>
          <w:rFonts w:ascii="Times New Roman" w:cs="Times New Roman" w:eastAsia="Times New Roman" w:hAnsi="Times New Roman"/>
          <w:sz w:val="18"/>
          <w:szCs w:val="18"/>
          <w:color w:val="auto"/>
        </w:rPr>
        <w:t>Gross profit increased $25.8 million, or 217%, from $11.9 million for the three months ended June 30, 2021 to $37.7 million for the three months ended June 30, 2022. The increase in gross profit was primarily due to the acquisition of Thomas, increases in revenue from marketplace and improved marketplace gross margins as compared to the prior year period.</w:t>
      </w:r>
    </w:p>
    <w:p>
      <w:pPr>
        <w:spacing w:after="0" w:line="189" w:lineRule="exact"/>
        <w:rPr>
          <w:sz w:val="20"/>
          <w:szCs w:val="20"/>
          <w:color w:val="auto"/>
        </w:rPr>
      </w:pPr>
    </w:p>
    <w:p>
      <w:pPr>
        <w:ind w:right="180" w:firstLine="637"/>
        <w:spacing w:after="0" w:line="250" w:lineRule="auto"/>
        <w:rPr>
          <w:sz w:val="20"/>
          <w:szCs w:val="20"/>
          <w:color w:val="auto"/>
        </w:rPr>
      </w:pPr>
      <w:r>
        <w:rPr>
          <w:rFonts w:ascii="Times New Roman" w:cs="Times New Roman" w:eastAsia="Times New Roman" w:hAnsi="Times New Roman"/>
          <w:sz w:val="18"/>
          <w:szCs w:val="18"/>
          <w:color w:val="auto"/>
        </w:rPr>
        <w:t>Gross margin for marketplace was 29.2% for the three months ended June 30, 2022 which was a significant improvement over the prior year period in part due to our AI-driven platform. Pricing has become more efficient due to the increased number of orders, improving the data set and thus making our pricing decisions more accurate. Additionally, we continue to grow our active suppliers resulting in a lower cost of revenue. Gross margin for our supplier services was 77.9% for the three months ended June 30, 2022 primarily due to our acquisition of Thomas.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60" w:firstLine="637"/>
        <w:spacing w:after="0" w:line="250" w:lineRule="auto"/>
        <w:rPr>
          <w:sz w:val="20"/>
          <w:szCs w:val="20"/>
          <w:color w:val="auto"/>
        </w:rPr>
      </w:pPr>
      <w:r>
        <w:rPr>
          <w:rFonts w:ascii="Times New Roman" w:cs="Times New Roman" w:eastAsia="Times New Roman" w:hAnsi="Times New Roman"/>
          <w:sz w:val="18"/>
          <w:szCs w:val="18"/>
          <w:color w:val="auto"/>
        </w:rPr>
        <w:t>Sales and marketing expense increased $9.3 million, or 105%, from $8.9 million for the three months ended June 30, 2021 to $18.1 million for the three months ended June 30, 2022, primarily as a result our acquisition of Thomas in December 2021, increases from additional sales employees and compensation costs including stock-based compensation, consulting costs and increases in marketing and advertising spend. As a percent of total revenue,</w:t>
      </w:r>
    </w:p>
    <w:p>
      <w:pPr>
        <w:ind w:right="700"/>
        <w:spacing w:after="0" w:line="367" w:lineRule="auto"/>
        <w:rPr>
          <w:sz w:val="20"/>
          <w:szCs w:val="20"/>
          <w:color w:val="auto"/>
        </w:rPr>
      </w:pPr>
      <w:r>
        <w:rPr>
          <w:rFonts w:ascii="Times New Roman" w:cs="Times New Roman" w:eastAsia="Times New Roman" w:hAnsi="Times New Roman"/>
          <w:sz w:val="18"/>
          <w:szCs w:val="18"/>
          <w:color w:val="auto"/>
        </w:rPr>
        <w:t xml:space="preserve">sales and marketing expenses increased to 19.0% for the three months ended June 30, 2022 from 17.5% for the three months ended June 30, 2021. </w:t>
      </w:r>
      <w:r>
        <w:rPr>
          <w:rFonts w:ascii="Times New Roman" w:cs="Times New Roman" w:eastAsia="Times New Roman" w:hAnsi="Times New Roman"/>
          <w:sz w:val="18"/>
          <w:szCs w:val="18"/>
          <w:i w:val="1"/>
          <w:iCs w:val="1"/>
          <w:color w:val="auto"/>
        </w:rPr>
        <w:t>Operations and Support</w:t>
      </w:r>
    </w:p>
    <w:p>
      <w:pPr>
        <w:spacing w:after="0" w:line="1" w:lineRule="exact"/>
        <w:rPr>
          <w:sz w:val="20"/>
          <w:szCs w:val="20"/>
          <w:color w:val="auto"/>
        </w:rPr>
      </w:pPr>
    </w:p>
    <w:p>
      <w:pPr>
        <w:ind w:right="60" w:firstLine="637"/>
        <w:spacing w:after="0" w:line="250" w:lineRule="auto"/>
        <w:rPr>
          <w:sz w:val="20"/>
          <w:szCs w:val="20"/>
          <w:color w:val="auto"/>
        </w:rPr>
      </w:pPr>
      <w:r>
        <w:rPr>
          <w:rFonts w:ascii="Times New Roman" w:cs="Times New Roman" w:eastAsia="Times New Roman" w:hAnsi="Times New Roman"/>
          <w:sz w:val="18"/>
          <w:szCs w:val="18"/>
          <w:color w:val="auto"/>
        </w:rPr>
        <w:t>Operations and support increased $6.7 million, or 122%, from $5.5 million for the three months ended June 30, 2021 to $12.2 million for the three months ended June 30, 2022, primarily as a result our acquisition of Thomas in December 2021, hiring of additional operations and support employees and their compensation costs including stock-based compensation and consulting expenses. As a percent of total revenue, operations and support expenses increased to 12.7% for the three months ended June 30, 2022 from 10.9% for the three months ended June 30, 2021.</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119" w:lineRule="exact"/>
        <w:rPr>
          <w:sz w:val="20"/>
          <w:szCs w:val="20"/>
          <w:color w:val="auto"/>
        </w:rPr>
      </w:pPr>
    </w:p>
    <w:p>
      <w:pPr>
        <w:ind w:right="20" w:firstLine="637"/>
        <w:spacing w:after="0" w:line="250" w:lineRule="auto"/>
        <w:rPr>
          <w:sz w:val="20"/>
          <w:szCs w:val="20"/>
          <w:color w:val="auto"/>
        </w:rPr>
      </w:pPr>
      <w:r>
        <w:rPr>
          <w:rFonts w:ascii="Times New Roman" w:cs="Times New Roman" w:eastAsia="Times New Roman" w:hAnsi="Times New Roman"/>
          <w:sz w:val="18"/>
          <w:szCs w:val="18"/>
          <w:color w:val="auto"/>
        </w:rPr>
        <w:t>Product development expense increased $3.7 million, or 91%, from $4.1 million for the three months ended June 30, 2021 to $7.8 million for the three months ended June 30, 2022, primarily as result of our acquisition of Thomas in December 2021, hiring additional development employees and their compensation costs including stock-based compensation, and increases in software and maintenance and consulting expenses. As a percent of total revenue, product development expenses increased to 8.2% for the three months ended June 30, 2022 from 8.1% for the three months ended June 30, 2021.</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05" w:lineRule="exact"/>
        <w:rPr>
          <w:sz w:val="20"/>
          <w:szCs w:val="20"/>
          <w:color w:val="auto"/>
        </w:rPr>
      </w:pPr>
    </w:p>
    <w:p>
      <w:pPr>
        <w:ind w:right="100" w:firstLine="637"/>
        <w:spacing w:after="0" w:line="247" w:lineRule="auto"/>
        <w:rPr>
          <w:sz w:val="20"/>
          <w:szCs w:val="20"/>
          <w:color w:val="auto"/>
        </w:rPr>
      </w:pPr>
      <w:r>
        <w:rPr>
          <w:rFonts w:ascii="Times New Roman" w:cs="Times New Roman" w:eastAsia="Times New Roman" w:hAnsi="Times New Roman"/>
          <w:sz w:val="18"/>
          <w:szCs w:val="18"/>
          <w:color w:val="auto"/>
        </w:rPr>
        <w:t>General and administrative expense increased $9.8 million, or 187%, from $5.2 million for the three months ended June 30, 2021 to $15.1 million for the three months ended June 30, 2022. The primary driver of the increase was due to our acquisition of Thomas in December 2021, hiring additional administrative employees and their compensation costs including stock-based compensation. We incurred public company costs for insurance, legal and accounting services. We donated $1.3 million of Class A common stock to our donor advised fund and recorded additional costs for bad debt reserves and software and maintenance. As a percent of total revenue, general and administrative expenses increased to 15.7% for the for the three months ended June 30, 2022 from 10.4% for the three months ended June 30,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ind w:right="220" w:firstLine="637"/>
        <w:spacing w:after="0" w:line="266" w:lineRule="auto"/>
        <w:rPr>
          <w:sz w:val="20"/>
          <w:szCs w:val="20"/>
          <w:color w:val="auto"/>
        </w:rPr>
      </w:pPr>
      <w:r>
        <w:rPr>
          <w:rFonts w:ascii="Times New Roman" w:cs="Times New Roman" w:eastAsia="Times New Roman" w:hAnsi="Times New Roman"/>
          <w:sz w:val="18"/>
          <w:szCs w:val="18"/>
          <w:color w:val="auto"/>
        </w:rPr>
        <w:t>Impairment of long-lived assets of $0.1 million related to incomplete software projects that were abandoned during the three months ended June 30, 2022.</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05" w:lineRule="exact"/>
        <w:rPr>
          <w:sz w:val="20"/>
          <w:szCs w:val="20"/>
          <w:color w:val="auto"/>
        </w:rPr>
      </w:pPr>
    </w:p>
    <w:p>
      <w:pPr>
        <w:ind w:right="440" w:firstLine="637"/>
        <w:spacing w:after="0" w:line="266" w:lineRule="auto"/>
        <w:rPr>
          <w:sz w:val="20"/>
          <w:szCs w:val="20"/>
          <w:color w:val="auto"/>
        </w:rPr>
      </w:pPr>
      <w:r>
        <w:rPr>
          <w:rFonts w:ascii="Times New Roman" w:cs="Times New Roman" w:eastAsia="Times New Roman" w:hAnsi="Times New Roman"/>
          <w:sz w:val="18"/>
          <w:szCs w:val="18"/>
          <w:color w:val="auto"/>
        </w:rPr>
        <w:t>Interest expense increased by $0.9 million, or 245%, from $0.4 million for the three months ended June 30, 2021 to $1.2 million for the three months ended June 30, 2022, primarily as a result of the interest on the 2027 convertible notes issued in February 2022.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w:t>
      </w:r>
    </w:p>
    <w:p>
      <w:pPr>
        <w:spacing w:after="0" w:line="105" w:lineRule="exact"/>
        <w:rPr>
          <w:sz w:val="20"/>
          <w:szCs w:val="20"/>
          <w:color w:val="auto"/>
        </w:rPr>
      </w:pPr>
    </w:p>
    <w:p>
      <w:pPr>
        <w:ind w:right="340" w:firstLine="637"/>
        <w:spacing w:after="0" w:line="266" w:lineRule="auto"/>
        <w:rPr>
          <w:sz w:val="20"/>
          <w:szCs w:val="20"/>
          <w:color w:val="auto"/>
        </w:rPr>
      </w:pPr>
      <w:r>
        <w:rPr>
          <w:rFonts w:ascii="Times New Roman" w:cs="Times New Roman" w:eastAsia="Times New Roman" w:hAnsi="Times New Roman"/>
          <w:sz w:val="18"/>
          <w:szCs w:val="18"/>
          <w:color w:val="auto"/>
        </w:rPr>
        <w:t>Interest and dividend income increased to $0.5 million for the three months ended June 30, 2022, due to dividend income from our marketable securities</w:t>
      </w:r>
      <w:r>
        <w:rPr>
          <w:rFonts w:ascii="Times New Roman" w:cs="Times New Roman" w:eastAsia="Times New Roman" w:hAnsi="Times New Roman"/>
          <w:sz w:val="18"/>
          <w:szCs w:val="18"/>
          <w:color w:val="FF0000"/>
        </w:rPr>
        <w: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05" w:lineRule="exact"/>
        <w:rPr>
          <w:sz w:val="20"/>
          <w:szCs w:val="20"/>
          <w:color w:val="auto"/>
        </w:rPr>
      </w:pPr>
    </w:p>
    <w:p>
      <w:pPr>
        <w:ind w:right="500" w:firstLine="637"/>
        <w:spacing w:after="0" w:line="266" w:lineRule="auto"/>
        <w:rPr>
          <w:sz w:val="20"/>
          <w:szCs w:val="20"/>
          <w:color w:val="auto"/>
        </w:rPr>
      </w:pPr>
      <w:r>
        <w:rPr>
          <w:rFonts w:ascii="Times New Roman" w:cs="Times New Roman" w:eastAsia="Times New Roman" w:hAnsi="Times New Roman"/>
          <w:sz w:val="18"/>
          <w:szCs w:val="18"/>
          <w:color w:val="auto"/>
        </w:rPr>
        <w:t>Other expenses increased by $0.4 million, or 327%, from $0.1 million for the three months ended June 30, 2021 to $0.5 million for the three months ended June 30, 2022, primarily as a result of a $0.3 million of unrealized loss on marketable securities.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Segment Considerations</w:t>
      </w:r>
    </w:p>
    <w:p>
      <w:pPr>
        <w:spacing w:after="0" w:line="119" w:lineRule="exact"/>
        <w:rPr>
          <w:sz w:val="20"/>
          <w:szCs w:val="20"/>
          <w:color w:val="auto"/>
        </w:rPr>
      </w:pPr>
    </w:p>
    <w:p>
      <w:pPr>
        <w:ind w:right="260" w:firstLine="637"/>
        <w:spacing w:after="0" w:line="250" w:lineRule="auto"/>
        <w:rPr>
          <w:sz w:val="20"/>
          <w:szCs w:val="20"/>
          <w:color w:val="auto"/>
        </w:rPr>
      </w:pPr>
      <w:r>
        <w:rPr>
          <w:rFonts w:ascii="Times New Roman" w:cs="Times New Roman" w:eastAsia="Times New Roman" w:hAnsi="Times New Roman"/>
          <w:sz w:val="18"/>
          <w:szCs w:val="18"/>
          <w:color w:val="auto"/>
        </w:rPr>
        <w:t>Total segment loss from our U.S. operating segment for the three months ended June 30, 2022 and 2021, was $11.2 million and $9.4 million, respectively. Total segment loss from our International operating segment for the three months ended June 30, 2022 and 2021, was $5.3 million and $2.8 million, respectively.</w:t>
      </w:r>
    </w:p>
    <w:p>
      <w:pPr>
        <w:spacing w:after="0" w:line="28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2022 and 2021</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for the periods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320" w:type="dxa"/>
            <w:vAlign w:val="bottom"/>
            <w:gridSpan w:val="2"/>
          </w:tcPr>
          <w:p>
            <w:pPr>
              <w:jc w:val="center"/>
              <w:ind w:right="596"/>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92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179,286</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center"/>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108,651</w:t>
            </w:r>
          </w:p>
        </w:tc>
        <w:tc>
          <w:tcPr>
            <w:tcW w:w="2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70,635</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3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37,430</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Operations and support</w:t>
            </w:r>
          </w:p>
        </w:tc>
        <w:tc>
          <w:tcPr>
            <w:tcW w:w="3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24,538</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3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28,017</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0" w:type="dxa"/>
            <w:vAlign w:val="bottom"/>
            <w:tcBorders>
              <w:top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105,189</w:t>
            </w:r>
          </w:p>
        </w:tc>
        <w:tc>
          <w:tcPr>
            <w:tcW w:w="280" w:type="dxa"/>
            <w:vAlign w:val="bottom"/>
            <w:tcBorders>
              <w:top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(34,554</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3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(1,978 )</w:t>
            </w: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3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(1,444 )</w:t>
            </w:r>
          </w:p>
        </w:tc>
        <w:tc>
          <w:tcPr>
            <w:tcW w:w="10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3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expenses</w:t>
            </w:r>
          </w:p>
        </w:tc>
        <w:tc>
          <w:tcPr>
            <w:tcW w:w="30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280" w:type="dxa"/>
            <w:vAlign w:val="bottom"/>
            <w:tcBorders>
              <w:bottom w:val="single" w:sz="8" w:color="CFF0FC"/>
            </w:tcBorders>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(37,103 )</w:t>
            </w:r>
          </w:p>
        </w:tc>
        <w:tc>
          <w:tcPr>
            <w:tcW w:w="10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(22,765 )</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 for income taxes</w:t>
            </w:r>
          </w:p>
        </w:tc>
        <w:tc>
          <w:tcPr>
            <w:tcW w:w="30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(36,544 )</w:t>
            </w:r>
          </w:p>
        </w:tc>
        <w:tc>
          <w:tcPr>
            <w:tcW w:w="10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(22,765 )</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30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92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(36,565 )</w:t>
            </w:r>
          </w:p>
        </w:tc>
        <w:tc>
          <w:tcPr>
            <w:tcW w:w="1040" w:type="dxa"/>
            <w:vAlign w:val="bottom"/>
          </w:tcPr>
          <w:p>
            <w:pPr>
              <w:jc w:val="center"/>
              <w:ind w:right="8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(22,765 )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000" w:type="dxa"/>
            <w:vAlign w:val="bottom"/>
            <w:vMerge w:val="restart"/>
          </w:tcPr>
          <w:p>
            <w:pPr>
              <w:jc w:val="right"/>
              <w:ind w:right="1830"/>
              <w:spacing w:after="0"/>
              <w:rPr>
                <w:sz w:val="20"/>
                <w:szCs w:val="20"/>
                <w:color w:val="auto"/>
              </w:rPr>
            </w:pPr>
            <w:r>
              <w:rPr>
                <w:rFonts w:ascii="Times New Roman" w:cs="Times New Roman" w:eastAsia="Times New Roman" w:hAnsi="Times New Roman"/>
                <w:sz w:val="18"/>
                <w:szCs w:val="18"/>
                <w:color w:val="auto"/>
              </w:rPr>
              <w:t>33</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46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64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-2268220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-2268220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-1146810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-1146810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-864235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-581660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-581660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expressed as a percentage of total revenue for the periods indicated:</w:t>
      </w:r>
    </w:p>
    <w:p>
      <w:pPr>
        <w:spacing w:after="0" w:line="20"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r>
      <w:tr>
        <w:trPr>
          <w:trHeight w:val="385"/>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100.0 %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60.6 %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77.0 %</w:t>
            </w:r>
          </w:p>
        </w:tc>
      </w:tr>
      <w:tr>
        <w:trPr>
          <w:trHeight w:val="20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20.9 %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16"/>
        </w:trPr>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Operations and support</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13.7 %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16"/>
        </w:trPr>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8.4 %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16"/>
        </w:trPr>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15.6 %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020" w:type="dxa"/>
            <w:vAlign w:val="bottom"/>
          </w:tcPr>
          <w:p>
            <w:pPr>
              <w:spacing w:after="0"/>
              <w:rPr>
                <w:sz w:val="18"/>
                <w:szCs w:val="18"/>
                <w:color w:val="auto"/>
              </w:rPr>
            </w:pP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Pr>
          <w:p>
            <w:pPr>
              <w:spacing w:after="0"/>
              <w:rPr>
                <w:sz w:val="18"/>
                <w:szCs w:val="18"/>
                <w:color w:val="auto"/>
              </w:rPr>
            </w:pP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58.6 %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46.1 %</w:t>
            </w:r>
          </w:p>
        </w:tc>
      </w:tr>
      <w:tr>
        <w:trPr>
          <w:trHeight w:val="20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16"/>
        </w:trPr>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0.3 %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16"/>
        </w:trPr>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from unconsolidated joint venture</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expenses</w:t>
            </w:r>
          </w:p>
        </w:tc>
        <w:tc>
          <w:tcPr>
            <w:tcW w:w="10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0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(24.0 )%</w:t>
            </w: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 for income taxes</w:t>
            </w:r>
          </w:p>
        </w:tc>
        <w:tc>
          <w:tcPr>
            <w:tcW w:w="1020" w:type="dxa"/>
            <w:vAlign w:val="bottom"/>
          </w:tcPr>
          <w:p>
            <w:pPr>
              <w:spacing w:after="0"/>
              <w:rPr>
                <w:sz w:val="18"/>
                <w:szCs w:val="18"/>
                <w:color w:val="auto"/>
              </w:rPr>
            </w:pP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0.3 %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(24.0 )%</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020" w:type="dxa"/>
            <w:vAlign w:val="bottom"/>
          </w:tcPr>
          <w:p>
            <w:pPr>
              <w:spacing w:after="0"/>
              <w:rPr>
                <w:sz w:val="18"/>
                <w:szCs w:val="18"/>
                <w:color w:val="auto"/>
              </w:rPr>
            </w:pP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(24.0 )%</w:t>
            </w:r>
          </w:p>
        </w:tc>
      </w:tr>
      <w:tr>
        <w:trPr>
          <w:trHeight w:val="20"/>
        </w:trPr>
        <w:tc>
          <w:tcPr>
            <w:tcW w:w="76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-3107690</wp:posOffset>
            </wp:positionV>
            <wp:extent cx="7132320" cy="1371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-2825115</wp:posOffset>
            </wp:positionV>
            <wp:extent cx="7132320" cy="1454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-2542540</wp:posOffset>
            </wp:positionV>
            <wp:extent cx="7132320" cy="1371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-2268220</wp:posOffset>
            </wp:positionV>
            <wp:extent cx="7132320" cy="1371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-1994535</wp:posOffset>
            </wp:positionV>
            <wp:extent cx="7132320" cy="1454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-1703070</wp:posOffset>
            </wp:positionV>
            <wp:extent cx="7132320" cy="1371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-1429385</wp:posOffset>
            </wp:positionV>
            <wp:extent cx="7132320" cy="1371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-1155065</wp:posOffset>
            </wp:positionV>
            <wp:extent cx="7132320" cy="1371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-872490</wp:posOffset>
            </wp:positionV>
            <wp:extent cx="7132320" cy="1454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-589915</wp:posOffset>
            </wp:positionV>
            <wp:extent cx="7132320" cy="1454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1454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right="160" w:firstLine="644"/>
        <w:spacing w:after="0" w:line="258" w:lineRule="auto"/>
        <w:rPr>
          <w:sz w:val="20"/>
          <w:szCs w:val="20"/>
          <w:color w:val="auto"/>
        </w:rPr>
      </w:pPr>
      <w:r>
        <w:rPr>
          <w:rFonts w:ascii="Times New Roman" w:cs="Times New Roman" w:eastAsia="Times New Roman" w:hAnsi="Times New Roman"/>
          <w:sz w:val="18"/>
          <w:szCs w:val="18"/>
          <w:color w:val="auto"/>
        </w:rPr>
        <w:t>The following table present our disaggregated revenue and cost of revenue. Revenue from our marketplace primarily reflects the sales of parts and assemblies on our platform. Revenue from supplier services primarily includes the sale of advertising and to a lesser extent supplies, financial service products and SaaS products.</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and cost of revenue is presented in the following tables for the six months ended June 30, 2022 (in thousands, amounts for the six months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ended June 30, 2021, were not considered material):</w:t>
            </w:r>
          </w:p>
        </w:tc>
        <w:tc>
          <w:tcPr>
            <w:tcW w:w="1000" w:type="dxa"/>
            <w:vAlign w:val="bottom"/>
          </w:tcPr>
          <w:p>
            <w:pPr>
              <w:spacing w:after="0"/>
              <w:rPr>
                <w:sz w:val="20"/>
                <w:szCs w:val="20"/>
                <w:color w:val="auto"/>
              </w:rPr>
            </w:pPr>
          </w:p>
        </w:tc>
        <w:tc>
          <w:tcPr>
            <w:tcW w:w="4300" w:type="dxa"/>
            <w:vAlign w:val="bottom"/>
            <w:vMerge w:val="restart"/>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5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30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Marketplace</w:t>
            </w:r>
          </w:p>
        </w:tc>
        <w:tc>
          <w:tcPr>
            <w:tcW w:w="100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39,780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Supplier services</w:t>
            </w:r>
          </w:p>
        </w:tc>
        <w:tc>
          <w:tcPr>
            <w:tcW w:w="10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-744220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-727075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5" w:lineRule="exact"/>
        <w:rPr>
          <w:sz w:val="20"/>
          <w:szCs w:val="20"/>
          <w:color w:val="auto"/>
        </w:rPr>
      </w:pPr>
    </w:p>
    <w:p>
      <w:pPr>
        <w:ind w:right="120" w:firstLine="637"/>
        <w:spacing w:after="0" w:line="247" w:lineRule="auto"/>
        <w:rPr>
          <w:sz w:val="20"/>
          <w:szCs w:val="20"/>
          <w:color w:val="auto"/>
        </w:rPr>
      </w:pPr>
      <w:r>
        <w:rPr>
          <w:rFonts w:ascii="Times New Roman" w:cs="Times New Roman" w:eastAsia="Times New Roman" w:hAnsi="Times New Roman"/>
          <w:sz w:val="18"/>
          <w:szCs w:val="18"/>
          <w:color w:val="auto"/>
        </w:rPr>
        <w:t>Total revenue increased $84.8 million, or 90%, from $94.5 million for the six months ended June 30, 2021 to $179.3 million for the six months ended June 30, 2022. This growth was primarily a result of an increase in marketplace revenue and an increase in supplier services revenue due to our acquisition of Thomas. Total revenue from marketplace and supplier services for the six months ended June 30, 2022 was $140.0 million and $39.3 million, respectively. The marketplace increase was primarily the result of increases in active buyers resulting from investments in sales and marketing, as well as existing buyers increasing their spend on the platform for the six months ended June 30, 2022, as compared to the prior year period. Supplier services revenue growth was driven primarily by our acquisition of Thomas in December 2021.</w:t>
      </w:r>
    </w:p>
    <w:p>
      <w:pPr>
        <w:spacing w:after="0" w:line="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55" w:right="239" w:bottom="1440" w:gutter="0" w:footer="0" w:header="0"/>
        </w:sectPr>
      </w:pPr>
    </w:p>
    <w:bookmarkStart w:id="37" w:name="page38"/>
    <w:bookmarkEnd w:id="37"/>
    <w:p>
      <w:pPr>
        <w:ind w:right="40" w:firstLine="637"/>
        <w:spacing w:after="0" w:line="281" w:lineRule="auto"/>
        <w:rPr>
          <w:sz w:val="20"/>
          <w:szCs w:val="20"/>
          <w:color w:val="auto"/>
        </w:rPr>
      </w:pPr>
      <w:r>
        <w:rPr>
          <w:rFonts w:ascii="Times New Roman" w:cs="Times New Roman" w:eastAsia="Times New Roman" w:hAnsi="Times New Roman"/>
          <w:sz w:val="18"/>
          <w:szCs w:val="18"/>
          <w:color w:val="auto"/>
        </w:rPr>
        <w:t>Total revenue from our U.S. and International operating segments for the six months ended June 30, 2022 and 2021, was $163.7 million and $88.5 million, respectively, for the U.S., and $15.6 million and $6.0 million, respectively, for International.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15" w:lineRule="exact"/>
        <w:rPr>
          <w:sz w:val="20"/>
          <w:szCs w:val="20"/>
          <w:color w:val="auto"/>
        </w:rPr>
      </w:pPr>
    </w:p>
    <w:p>
      <w:pPr>
        <w:ind w:right="20" w:firstLine="637"/>
        <w:spacing w:after="0" w:line="250" w:lineRule="auto"/>
        <w:rPr>
          <w:sz w:val="20"/>
          <w:szCs w:val="20"/>
          <w:color w:val="auto"/>
        </w:rPr>
      </w:pPr>
      <w:r>
        <w:rPr>
          <w:rFonts w:ascii="Times New Roman" w:cs="Times New Roman" w:eastAsia="Times New Roman" w:hAnsi="Times New Roman"/>
          <w:sz w:val="18"/>
          <w:szCs w:val="18"/>
          <w:color w:val="auto"/>
        </w:rPr>
        <w:t>Total cost of revenue increased $35.9 million, or 49%, from $72.8 million for the six months ended June 30, 2021 to $108.7 million for the six months ended June 30, 2022. This increase was primarily the result of an increase in marketplace cost of revenue and increase in supplier service costs of revenue due to our acquisition of Thomas. Total cost of revenue from marketplace and supplier services for the six months ended June 30, 2022 was $100.2 million and $8.4 million, respectively.</w:t>
      </w:r>
    </w:p>
    <w:p>
      <w:pPr>
        <w:spacing w:after="0" w:line="189" w:lineRule="exact"/>
        <w:rPr>
          <w:sz w:val="20"/>
          <w:szCs w:val="20"/>
          <w:color w:val="auto"/>
        </w:rPr>
      </w:pPr>
    </w:p>
    <w:p>
      <w:pPr>
        <w:ind w:right="340" w:firstLine="637"/>
        <w:spacing w:after="0" w:line="250" w:lineRule="auto"/>
        <w:rPr>
          <w:sz w:val="20"/>
          <w:szCs w:val="20"/>
          <w:color w:val="auto"/>
        </w:rPr>
      </w:pPr>
      <w:r>
        <w:rPr>
          <w:rFonts w:ascii="Times New Roman" w:cs="Times New Roman" w:eastAsia="Times New Roman" w:hAnsi="Times New Roman"/>
          <w:sz w:val="18"/>
          <w:szCs w:val="18"/>
          <w:color w:val="auto"/>
        </w:rPr>
        <w:t>Marketplace cost of revenue was driven by increased payments to suppliers on our platform due to the growth in our buyer base and increased activity by existing accounts on our marketplace. Our supplier services cost of revenue increased primarily as a result of our acquisition of Thomas in December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29" w:lineRule="exact"/>
        <w:rPr>
          <w:sz w:val="20"/>
          <w:szCs w:val="20"/>
          <w:color w:val="auto"/>
        </w:rPr>
      </w:pPr>
    </w:p>
    <w:p>
      <w:pPr>
        <w:jc w:val="both"/>
        <w:ind w:right="340" w:firstLine="637"/>
        <w:spacing w:after="0" w:line="250" w:lineRule="auto"/>
        <w:rPr>
          <w:sz w:val="20"/>
          <w:szCs w:val="20"/>
          <w:color w:val="auto"/>
        </w:rPr>
      </w:pPr>
      <w:r>
        <w:rPr>
          <w:rFonts w:ascii="Times New Roman" w:cs="Times New Roman" w:eastAsia="Times New Roman" w:hAnsi="Times New Roman"/>
          <w:sz w:val="18"/>
          <w:szCs w:val="18"/>
          <w:color w:val="auto"/>
        </w:rPr>
        <w:t>Gross profit increased $48.9 million, or 225%, from $21.7 million for the six months ended June 30, 2021 to $70.6 million for the six months ended June 30, 2022. The increase in gross profit was primarily due to the acquisition of Thomas, increases in revenue from marketplace and improved marketplace gross margin as compared to the prior year period.</w:t>
      </w:r>
    </w:p>
    <w:p>
      <w:pPr>
        <w:spacing w:after="0" w:line="189" w:lineRule="exact"/>
        <w:rPr>
          <w:sz w:val="20"/>
          <w:szCs w:val="20"/>
          <w:color w:val="auto"/>
        </w:rPr>
      </w:pPr>
    </w:p>
    <w:p>
      <w:pPr>
        <w:jc w:val="both"/>
        <w:ind w:right="40" w:firstLine="637"/>
        <w:spacing w:after="0" w:line="250" w:lineRule="auto"/>
        <w:rPr>
          <w:sz w:val="20"/>
          <w:szCs w:val="20"/>
          <w:color w:val="auto"/>
        </w:rPr>
      </w:pPr>
      <w:r>
        <w:rPr>
          <w:rFonts w:ascii="Times New Roman" w:cs="Times New Roman" w:eastAsia="Times New Roman" w:hAnsi="Times New Roman"/>
          <w:sz w:val="18"/>
          <w:szCs w:val="18"/>
          <w:color w:val="auto"/>
        </w:rPr>
        <w:t>Gross margin for marketplace was 28.4% for the six months ended June 30, 2022 which was a significant improvement over the prior year period in part due to our AI-driven platform. Pricing has become more efficient due to the increased number of orders, improving the data set and thus making our pricing decisions more accurate. Additionally, we continue to grow our active suppliers resulting in a lower cost of revenue. Gross margin for our supplier services was 78.6% for the six months ended June 30, 2022 primarily due to our acquisition of Thomas.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firstLine="637"/>
        <w:spacing w:after="0" w:line="254" w:lineRule="auto"/>
        <w:rPr>
          <w:sz w:val="20"/>
          <w:szCs w:val="20"/>
          <w:color w:val="auto"/>
        </w:rPr>
      </w:pPr>
      <w:r>
        <w:rPr>
          <w:rFonts w:ascii="Times New Roman" w:cs="Times New Roman" w:eastAsia="Times New Roman" w:hAnsi="Times New Roman"/>
          <w:sz w:val="18"/>
          <w:szCs w:val="18"/>
          <w:color w:val="auto"/>
        </w:rPr>
        <w:t>Sales and marketing expense increased $21.0 million, or 128%, from $16.4 million for the six months ended June 30, 2021 to $37.4 million for the six months ended June 30, 2022, primarily as a result our acquisition of Thomas in December 2021, increases in marketing and advertising spend, additional sales employees and their compensation costs including stock-based compensation, consulting expenses and software and maintenance costs for the sales and marketing department. As a percent of total revenue, sales and marketing expenses increased to 20.9% for the six months ended June 30, 2022 from 17.4% for the six months ended June 30, 2021.</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and Support</w:t>
      </w:r>
    </w:p>
    <w:p>
      <w:pPr>
        <w:spacing w:after="0" w:line="119" w:lineRule="exact"/>
        <w:rPr>
          <w:sz w:val="20"/>
          <w:szCs w:val="20"/>
          <w:color w:val="auto"/>
        </w:rPr>
      </w:pPr>
    </w:p>
    <w:p>
      <w:pPr>
        <w:ind w:right="40" w:firstLine="637"/>
        <w:spacing w:after="0" w:line="245" w:lineRule="auto"/>
        <w:rPr>
          <w:sz w:val="20"/>
          <w:szCs w:val="20"/>
          <w:color w:val="auto"/>
        </w:rPr>
      </w:pPr>
      <w:r>
        <w:rPr>
          <w:rFonts w:ascii="Times New Roman" w:cs="Times New Roman" w:eastAsia="Times New Roman" w:hAnsi="Times New Roman"/>
          <w:sz w:val="18"/>
          <w:szCs w:val="18"/>
          <w:color w:val="auto"/>
        </w:rPr>
        <w:t>Operations and support increased $14.7 million, or 150%, from $9.8 million for the six months ended June 30, 2021 to $24.5 million for the six months ended June 30, 2022, primarily as a result of hiring of additional operations and support employees and their compensation costs including stock-based compensation, our acquisition of Thomas in December 2021 and consulting expenses. As a percent of total revenue, operations and support expenses increased to 13.7% for the six months ended June 30, 2022 from 10.4% for the six months ended June 30, 2021.</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105" w:lineRule="exact"/>
        <w:rPr>
          <w:sz w:val="20"/>
          <w:szCs w:val="20"/>
          <w:color w:val="auto"/>
        </w:rPr>
      </w:pPr>
    </w:p>
    <w:p>
      <w:pPr>
        <w:ind w:right="200" w:firstLine="637"/>
        <w:spacing w:after="0" w:line="250" w:lineRule="auto"/>
        <w:rPr>
          <w:sz w:val="20"/>
          <w:szCs w:val="20"/>
          <w:color w:val="auto"/>
        </w:rPr>
      </w:pPr>
      <w:r>
        <w:rPr>
          <w:rFonts w:ascii="Times New Roman" w:cs="Times New Roman" w:eastAsia="Times New Roman" w:hAnsi="Times New Roman"/>
          <w:sz w:val="18"/>
          <w:szCs w:val="18"/>
          <w:color w:val="auto"/>
        </w:rPr>
        <w:t>Product development expense increased $7.3 million, or 95%, from $7.8 million for the six months ended June 30, 2021 to $15.1 million for the six months ended June 30, 2022, primarily as result of our acquisition Thomas in December 2021, hiring additional development employees and their compensation costs including stock-based compensation, consulting and software and maintenance expenses. As a percent of total revenue, product development expenses increased to 8.4% for the six months ended June 30, 2022 from 8.2% for the six months ended June 30, 2021.</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140" w:firstLine="637"/>
        <w:spacing w:after="0" w:line="245" w:lineRule="auto"/>
        <w:rPr>
          <w:sz w:val="20"/>
          <w:szCs w:val="20"/>
          <w:color w:val="auto"/>
        </w:rPr>
      </w:pPr>
      <w:r>
        <w:rPr>
          <w:rFonts w:ascii="Times New Roman" w:cs="Times New Roman" w:eastAsia="Times New Roman" w:hAnsi="Times New Roman"/>
          <w:sz w:val="18"/>
          <w:szCs w:val="18"/>
          <w:color w:val="auto"/>
        </w:rPr>
        <w:t xml:space="preserve">General and administrative expense increased $18.5 million, or 193%, from $9.6 million for the six months ended June 30, 2021 to $28.0 million for the six months ended June 30, 2022. The primary driver of the increase was due to our acquisition of Thomas in December 2021. Additionally, we incurred higher public company costs for insurance, legal and accounting services. Our general and administrative expenses also increased due to higher compensation and stock-based compensation due to new administrative employees. We donated $1.3 million of Class A common stock </w:t>
      </w:r>
      <w:r>
        <w:rPr>
          <w:rFonts w:ascii="Calibri" w:cs="Calibri" w:eastAsia="Calibri" w:hAnsi="Calibri"/>
          <w:sz w:val="18"/>
          <w:szCs w:val="18"/>
          <w:color w:val="auto"/>
        </w:rPr>
        <w:t>to</w:t>
      </w:r>
      <w:r>
        <w:rPr>
          <w:rFonts w:ascii="Times New Roman" w:cs="Times New Roman" w:eastAsia="Times New Roman" w:hAnsi="Times New Roman"/>
          <w:sz w:val="18"/>
          <w:szCs w:val="18"/>
          <w:color w:val="auto"/>
        </w:rPr>
        <w:t xml:space="preserve"> our donor advised fund, recorded additional expenses for software and maintenance expense and expensed transactions costs related to previous acquisitions. As a percent of total revenue, general and administrative expenses increased to 15.6% for the for the six months ended June 30, 2022 from 10.1% for the six months ended June 30, 2021.</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05" w:lineRule="exact"/>
        <w:rPr>
          <w:sz w:val="20"/>
          <w:szCs w:val="20"/>
          <w:color w:val="auto"/>
        </w:rPr>
      </w:pPr>
    </w:p>
    <w:p>
      <w:pPr>
        <w:ind w:firstLine="637"/>
        <w:spacing w:after="0" w:line="266" w:lineRule="auto"/>
        <w:rPr>
          <w:sz w:val="20"/>
          <w:szCs w:val="20"/>
          <w:color w:val="auto"/>
        </w:rPr>
      </w:pPr>
      <w:r>
        <w:rPr>
          <w:rFonts w:ascii="Times New Roman" w:cs="Times New Roman" w:eastAsia="Times New Roman" w:hAnsi="Times New Roman"/>
          <w:sz w:val="18"/>
          <w:szCs w:val="18"/>
          <w:color w:val="auto"/>
        </w:rPr>
        <w:t>Interest expense increased by $1.3 million, or 190%, from $0.7 million for the six months ended June 30, 2021 to $2.0 million for the six months ended June 30, 2022, primarily as a result of the interest on the 2027 convertible notes issued in February 2022.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w:t>
      </w:r>
    </w:p>
    <w:p>
      <w:pPr>
        <w:spacing w:after="0" w:line="105" w:lineRule="exact"/>
        <w:rPr>
          <w:sz w:val="20"/>
          <w:szCs w:val="20"/>
          <w:color w:val="auto"/>
        </w:rPr>
      </w:pPr>
    </w:p>
    <w:p>
      <w:pPr>
        <w:ind w:right="340" w:firstLine="637"/>
        <w:spacing w:after="0" w:line="266" w:lineRule="auto"/>
        <w:rPr>
          <w:sz w:val="20"/>
          <w:szCs w:val="20"/>
          <w:color w:val="auto"/>
        </w:rPr>
      </w:pPr>
      <w:r>
        <w:rPr>
          <w:rFonts w:ascii="Times New Roman" w:cs="Times New Roman" w:eastAsia="Times New Roman" w:hAnsi="Times New Roman"/>
          <w:sz w:val="18"/>
          <w:szCs w:val="18"/>
          <w:color w:val="auto"/>
        </w:rPr>
        <w:t>Interest and dividend income increased to $0.6 million for the six months ended June 30, 2022, due to dividend income from our marketable securities</w:t>
      </w:r>
      <w:r>
        <w:rPr>
          <w:rFonts w:ascii="Times New Roman" w:cs="Times New Roman" w:eastAsia="Times New Roman" w:hAnsi="Times New Roman"/>
          <w:sz w:val="18"/>
          <w:szCs w:val="18"/>
          <w:color w:val="FF0000"/>
        </w:rPr>
        <w: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05" w:lineRule="exact"/>
        <w:rPr>
          <w:sz w:val="20"/>
          <w:szCs w:val="20"/>
          <w:color w:val="auto"/>
        </w:rPr>
      </w:pPr>
    </w:p>
    <w:p>
      <w:pPr>
        <w:ind w:right="60" w:firstLine="637"/>
        <w:spacing w:after="0" w:line="266" w:lineRule="auto"/>
        <w:rPr>
          <w:sz w:val="20"/>
          <w:szCs w:val="20"/>
          <w:color w:val="auto"/>
        </w:rPr>
      </w:pPr>
      <w:r>
        <w:rPr>
          <w:rFonts w:ascii="Times New Roman" w:cs="Times New Roman" w:eastAsia="Times New Roman" w:hAnsi="Times New Roman"/>
          <w:sz w:val="18"/>
          <w:szCs w:val="18"/>
          <w:color w:val="auto"/>
        </w:rPr>
        <w:t>Other expenses increased by $1.2 million, or 514%, from $0.2 million for the six months ended June 30, 2021 to $1.4 million for the six months ended June 30, 2022, primarily as a result of $1.2 million of unrealized loss on marketable securities.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for income taxes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Benefit for income taxes increased by $0.6 million due to an income tax benefit resulting from our acquisition of Thomas.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Segment Considerations</w:t>
      </w:r>
    </w:p>
    <w:p>
      <w:pPr>
        <w:spacing w:after="0" w:line="105" w:lineRule="exact"/>
        <w:rPr>
          <w:sz w:val="20"/>
          <w:szCs w:val="20"/>
          <w:color w:val="auto"/>
        </w:rPr>
      </w:pPr>
    </w:p>
    <w:p>
      <w:pPr>
        <w:ind w:right="160" w:firstLine="637"/>
        <w:spacing w:after="0" w:line="258" w:lineRule="auto"/>
        <w:rPr>
          <w:sz w:val="20"/>
          <w:szCs w:val="20"/>
          <w:color w:val="auto"/>
        </w:rPr>
      </w:pPr>
      <w:r>
        <w:rPr>
          <w:rFonts w:ascii="Times New Roman" w:cs="Times New Roman" w:eastAsia="Times New Roman" w:hAnsi="Times New Roman"/>
          <w:sz w:val="18"/>
          <w:szCs w:val="18"/>
          <w:color w:val="auto"/>
        </w:rPr>
        <w:t>Total segment loss from our U.S. operating segment for the six months ended June 30, 2022 and 2021, was $26.2 million and $17.6 million, respectively. Total segment loss from our International operating segment for the six months ended June 30, 2022 and 2021, was $10.3 million and $5.2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27" w:right="499" w:bottom="1440" w:gutter="0" w:footer="0" w:header="0"/>
        </w:sectPr>
      </w:pPr>
    </w:p>
    <w:bookmarkStart w:id="39" w:name="page40"/>
    <w:bookmarkEnd w:id="3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07" w:lineRule="exact"/>
        <w:rPr>
          <w:sz w:val="20"/>
          <w:szCs w:val="20"/>
          <w:color w:val="auto"/>
        </w:rPr>
      </w:pPr>
    </w:p>
    <w:p>
      <w:pPr>
        <w:ind w:right="60" w:firstLine="644"/>
        <w:spacing w:after="0" w:line="246" w:lineRule="auto"/>
        <w:rPr>
          <w:sz w:val="20"/>
          <w:szCs w:val="20"/>
          <w:color w:val="auto"/>
        </w:rPr>
      </w:pPr>
      <w:r>
        <w:rPr>
          <w:rFonts w:ascii="Times New Roman" w:cs="Times New Roman" w:eastAsia="Times New Roman" w:hAnsi="Times New Roman"/>
          <w:sz w:val="18"/>
          <w:szCs w:val="18"/>
          <w:color w:val="auto"/>
        </w:rPr>
        <w:t>We have financed our operations primarily through sales of our equity securities and borrowings under our convertible notes. As of June 30, 2022, our cash and cash equivalents and marketable securities totaled $356.7 million, compared with $116.7 million as of December 31, 2021. We believe our existing cash and cash equivalents and marketable securities will be sufficient to support our working capital and capital expenditure requirements for at least the next twelve months. Our future capital requirements will depend on many factors, including our revenue growth rate, receivable and payable cycles, the timing and extent of investments in product development, sales and marketing, operations and support and general and administrative expenses.</w:t>
      </w:r>
    </w:p>
    <w:p>
      <w:pPr>
        <w:spacing w:after="0" w:line="85" w:lineRule="exact"/>
        <w:rPr>
          <w:sz w:val="20"/>
          <w:szCs w:val="20"/>
          <w:color w:val="auto"/>
        </w:rPr>
      </w:pPr>
    </w:p>
    <w:p>
      <w:pPr>
        <w:ind w:right="20" w:firstLine="644"/>
        <w:spacing w:after="0" w:line="266" w:lineRule="auto"/>
        <w:rPr>
          <w:sz w:val="20"/>
          <w:szCs w:val="20"/>
          <w:color w:val="auto"/>
        </w:rPr>
      </w:pPr>
      <w:r>
        <w:rPr>
          <w:rFonts w:ascii="Times New Roman" w:cs="Times New Roman" w:eastAsia="Times New Roman" w:hAnsi="Times New Roman"/>
          <w:sz w:val="18"/>
          <w:szCs w:val="18"/>
          <w:color w:val="auto"/>
        </w:rPr>
        <w:t>Our capital expenditures consist primarily of internal-use software costs, manufacturing equipment, computers and peripheral equipment, furniture and fixtures and leasehold improvements and patents.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due 2027</w:t>
      </w:r>
    </w:p>
    <w:p>
      <w:pPr>
        <w:spacing w:after="0" w:line="107" w:lineRule="exact"/>
        <w:rPr>
          <w:sz w:val="20"/>
          <w:szCs w:val="20"/>
          <w:color w:val="auto"/>
        </w:rPr>
      </w:pPr>
    </w:p>
    <w:p>
      <w:pPr>
        <w:ind w:right="20" w:firstLine="644"/>
        <w:spacing w:after="0" w:line="247" w:lineRule="auto"/>
        <w:rPr>
          <w:sz w:val="20"/>
          <w:szCs w:val="20"/>
          <w:color w:val="auto"/>
        </w:rPr>
      </w:pPr>
      <w:r>
        <w:rPr>
          <w:rFonts w:ascii="Times New Roman" w:cs="Times New Roman" w:eastAsia="Times New Roman" w:hAnsi="Times New Roman"/>
          <w:sz w:val="18"/>
          <w:szCs w:val="18"/>
          <w:color w:val="auto"/>
        </w:rPr>
        <w:t>In February 2022, we entered into a purchase agreement with certain counterparties for the sale of an aggregate of $287.5 million principal amount of convertible senior notes due in 2027 (the “2027 Notes”) in a private offering to qualified institutional buyers pursuant to Rule 144A under the Securities Act of 1933, as amended (the “Securities Act”). The 2027 Notes consisted of a $250 million initial placement and an over-allotment option that provided the initial purchasers of the 2027 Notes with the option to purchase an additional $37.5 million aggregate principal amount of the 2027 Notes, which was fully exercised. The 2027 Notes were issued pursuant to an indenture dated February 4, 2022. The net proceeds from the issuance of the 2027 Notes were $278.2 million, net of debt issuance costs. The debt issuance costs are amortized to interest expense using the effective interest rate method.</w:t>
      </w:r>
    </w:p>
    <w:p>
      <w:pPr>
        <w:spacing w:after="0" w:line="70" w:lineRule="exact"/>
        <w:rPr>
          <w:sz w:val="20"/>
          <w:szCs w:val="20"/>
          <w:color w:val="auto"/>
        </w:rPr>
      </w:pPr>
    </w:p>
    <w:p>
      <w:pPr>
        <w:ind w:right="220" w:firstLine="644"/>
        <w:spacing w:after="0" w:line="281" w:lineRule="auto"/>
        <w:rPr>
          <w:sz w:val="20"/>
          <w:szCs w:val="20"/>
          <w:color w:val="auto"/>
        </w:rPr>
      </w:pPr>
      <w:r>
        <w:rPr>
          <w:rFonts w:ascii="Times New Roman" w:cs="Times New Roman" w:eastAsia="Times New Roman" w:hAnsi="Times New Roman"/>
          <w:sz w:val="18"/>
          <w:szCs w:val="18"/>
          <w:color w:val="auto"/>
        </w:rPr>
        <w:t>The 2027 Notes are unsecured obligations which bear regular interest at 1% per annum and for which the principal balance will not accrete. The 2027 Notes will mature on February 1, 2027 unless repurchased, redeemed, or converted in accordance with their terms prior to such date.</w:t>
      </w:r>
    </w:p>
    <w:p>
      <w:pPr>
        <w:spacing w:after="0" w:line="41" w:lineRule="exact"/>
        <w:rPr>
          <w:sz w:val="20"/>
          <w:szCs w:val="20"/>
          <w:color w:val="auto"/>
        </w:rPr>
      </w:pPr>
    </w:p>
    <w:p>
      <w:pPr>
        <w:ind w:right="20" w:firstLine="644"/>
        <w:spacing w:after="0" w:line="250" w:lineRule="auto"/>
        <w:rPr>
          <w:sz w:val="20"/>
          <w:szCs w:val="20"/>
          <w:color w:val="auto"/>
        </w:rPr>
      </w:pPr>
      <w:r>
        <w:rPr>
          <w:rFonts w:ascii="Times New Roman" w:cs="Times New Roman" w:eastAsia="Times New Roman" w:hAnsi="Times New Roman"/>
          <w:sz w:val="18"/>
          <w:szCs w:val="18"/>
          <w:color w:val="auto"/>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w:t>
      </w:r>
    </w:p>
    <w:p>
      <w:pPr>
        <w:spacing w:after="0" w:line="68"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We may redeem for cash all or any portion of the 2027 Notes, at our option, on or after February 5, 2025 if the last reported sale price of our Class A common stock has been at least 130% of the conversion price then in effect for at least 20 trading days at a redemption price equal to 100% of the principal amount of the 2027 Notes to be redeemed, plus accrued and unpaid interest or additional interest, if any.</w:t>
      </w:r>
    </w:p>
    <w:p>
      <w:pPr>
        <w:spacing w:after="0" w:line="61" w:lineRule="exact"/>
        <w:rPr>
          <w:sz w:val="20"/>
          <w:szCs w:val="20"/>
          <w:color w:val="auto"/>
        </w:rPr>
      </w:pPr>
    </w:p>
    <w:p>
      <w:pPr>
        <w:ind w:right="520" w:firstLine="644"/>
        <w:spacing w:after="0" w:line="266" w:lineRule="auto"/>
        <w:rPr>
          <w:sz w:val="20"/>
          <w:szCs w:val="20"/>
          <w:color w:val="auto"/>
        </w:rPr>
      </w:pPr>
      <w:r>
        <w:rPr>
          <w:rFonts w:ascii="Times New Roman" w:cs="Times New Roman" w:eastAsia="Times New Roman" w:hAnsi="Times New Roman"/>
          <w:sz w:val="18"/>
          <w:szCs w:val="18"/>
          <w:color w:val="auto"/>
        </w:rPr>
        <w:t>Holders of the 2027 Notes may convert all or a portion of their 2027 Notes at their option prior to November 1, 2026, in multiples of $1,000 principal amounts, only under the following circumstances:</w:t>
      </w:r>
    </w:p>
    <w:p>
      <w:pPr>
        <w:spacing w:after="0" w:line="67" w:lineRule="exact"/>
        <w:rPr>
          <w:sz w:val="20"/>
          <w:szCs w:val="20"/>
          <w:color w:val="auto"/>
        </w:rPr>
      </w:pPr>
    </w:p>
    <w:p>
      <w:pPr>
        <w:jc w:val="both"/>
        <w:ind w:left="1020" w:hanging="504"/>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spacing w:after="0" w:line="81" w:lineRule="exact"/>
        <w:rPr>
          <w:rFonts w:ascii="Times New Roman" w:cs="Times New Roman" w:eastAsia="Times New Roman" w:hAnsi="Times New Roman"/>
          <w:sz w:val="18"/>
          <w:szCs w:val="18"/>
          <w:color w:val="auto"/>
        </w:rPr>
      </w:pPr>
    </w:p>
    <w:p>
      <w:pPr>
        <w:jc w:val="both"/>
        <w:ind w:left="1020" w:hanging="504"/>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w:t>
      </w:r>
    </w:p>
    <w:p>
      <w:pPr>
        <w:spacing w:after="0" w:line="81" w:lineRule="exact"/>
        <w:rPr>
          <w:rFonts w:ascii="Times New Roman" w:cs="Times New Roman" w:eastAsia="Times New Roman" w:hAnsi="Times New Roman"/>
          <w:sz w:val="18"/>
          <w:szCs w:val="18"/>
          <w:color w:val="auto"/>
        </w:rPr>
      </w:pPr>
    </w:p>
    <w:p>
      <w:pPr>
        <w:jc w:val="both"/>
        <w:ind w:left="1020" w:hanging="504"/>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spacing w:after="0" w:line="8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occurrence of specified corporate events.</w:t>
      </w:r>
    </w:p>
    <w:p>
      <w:pPr>
        <w:spacing w:after="0" w:line="103" w:lineRule="exact"/>
        <w:rPr>
          <w:sz w:val="20"/>
          <w:szCs w:val="20"/>
          <w:color w:val="auto"/>
        </w:rPr>
      </w:pPr>
    </w:p>
    <w:p>
      <w:pPr>
        <w:ind w:right="720" w:firstLine="644"/>
        <w:spacing w:after="0" w:line="266" w:lineRule="auto"/>
        <w:rPr>
          <w:sz w:val="20"/>
          <w:szCs w:val="20"/>
          <w:color w:val="auto"/>
        </w:rPr>
      </w:pPr>
      <w:r>
        <w:rPr>
          <w:rFonts w:ascii="Times New Roman" w:cs="Times New Roman" w:eastAsia="Times New Roman" w:hAnsi="Times New Roman"/>
          <w:sz w:val="18"/>
          <w:szCs w:val="18"/>
          <w:color w:val="auto"/>
        </w:rPr>
        <w:t>On or after November 1, 2026, the 2027 Notes are convertible at any time until the close of business on the second scheduled trading day immediately preceding the maturity date.</w:t>
      </w:r>
    </w:p>
    <w:p>
      <w:pPr>
        <w:spacing w:after="0" w:line="67" w:lineRule="exact"/>
        <w:rPr>
          <w:sz w:val="20"/>
          <w:szCs w:val="20"/>
          <w:color w:val="auto"/>
        </w:rPr>
      </w:pPr>
    </w:p>
    <w:p>
      <w:pPr>
        <w:ind w:right="100" w:firstLine="644"/>
        <w:spacing w:after="0" w:line="245" w:lineRule="auto"/>
        <w:rPr>
          <w:sz w:val="20"/>
          <w:szCs w:val="20"/>
          <w:color w:val="auto"/>
        </w:rPr>
      </w:pPr>
      <w:r>
        <w:rPr>
          <w:rFonts w:ascii="Times New Roman" w:cs="Times New Roman" w:eastAsia="Times New Roman" w:hAnsi="Times New Roman"/>
          <w:sz w:val="18"/>
          <w:szCs w:val="18"/>
          <w:color w:val="auto"/>
        </w:rPr>
        <w:t>Holders of the 2027 Notes who convert the 2027 Notes in connection with a make-whole fundamental change, as defined in the indenture governing the 2027 Notes, or in connection with a redemption are entitled to an increase in the conversion rate. Additionally, in the event of a fundamental change, holders of the 2027 Notes may require us to repurchase all or a portion of the 2027 Notes at a price equal to 100% of the principal amount of 2027 Notes, plus any accrued and unpaid special interest, if any.</w:t>
      </w:r>
    </w:p>
    <w:p>
      <w:pPr>
        <w:spacing w:after="0" w:line="85" w:lineRule="exact"/>
        <w:rPr>
          <w:sz w:val="20"/>
          <w:szCs w:val="20"/>
          <w:color w:val="auto"/>
        </w:rPr>
      </w:pPr>
    </w:p>
    <w:p>
      <w:pPr>
        <w:ind w:right="640" w:firstLine="644"/>
        <w:spacing w:after="0" w:line="266" w:lineRule="auto"/>
        <w:rPr>
          <w:sz w:val="20"/>
          <w:szCs w:val="20"/>
          <w:color w:val="auto"/>
        </w:rPr>
      </w:pPr>
      <w:r>
        <w:rPr>
          <w:rFonts w:ascii="Times New Roman" w:cs="Times New Roman" w:eastAsia="Times New Roman" w:hAnsi="Times New Roman"/>
          <w:sz w:val="18"/>
          <w:szCs w:val="18"/>
          <w:color w:val="auto"/>
        </w:rPr>
        <w:t>We accounted for the issuance of the 2027 Notes as a single liability measured at its amortized cost, as no other embedded features require bifurcation and recognition as derivatives.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2022, the 2027 Notes have a carrying value of $279.0 million with an effective annual interest rate of 1.6%.</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right="320" w:firstLine="637"/>
        <w:spacing w:after="0" w:line="266" w:lineRule="auto"/>
        <w:rPr>
          <w:sz w:val="20"/>
          <w:szCs w:val="20"/>
          <w:color w:val="auto"/>
        </w:rPr>
      </w:pPr>
      <w:r>
        <w:rPr>
          <w:rFonts w:ascii="Times New Roman" w:cs="Times New Roman" w:eastAsia="Times New Roman" w:hAnsi="Times New Roman"/>
          <w:sz w:val="18"/>
          <w:szCs w:val="18"/>
          <w:color w:val="auto"/>
        </w:rPr>
        <w:t>The following table presents a summary of our cash flows from operating, investing, and financing activities for the six months ended June 30, 2022 and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2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75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(34,196 )  $</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(20,560 )</w:t>
            </w: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60" w:type="dxa"/>
            <w:vAlign w:val="bottom"/>
          </w:tcPr>
          <w:p>
            <w:pPr>
              <w:spacing w:after="0"/>
              <w:rPr>
                <w:sz w:val="18"/>
                <w:szCs w:val="18"/>
                <w:color w:val="auto"/>
              </w:rPr>
            </w:pPr>
          </w:p>
        </w:tc>
        <w:tc>
          <w:tcPr>
            <w:tcW w:w="14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(285,826 )</w:t>
            </w:r>
          </w:p>
        </w:tc>
        <w:tc>
          <w:tcPr>
            <w:tcW w:w="6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(2,748 )</w:t>
            </w: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280,659</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FF0FC"/>
          </w:tcPr>
          <w:p>
            <w:pPr>
              <w:spacing w:after="0"/>
              <w:rPr>
                <w:sz w:val="18"/>
                <w:szCs w:val="18"/>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309" w:lineRule="exact"/>
        <w:rPr>
          <w:sz w:val="20"/>
          <w:szCs w:val="20"/>
          <w:color w:val="auto"/>
        </w:rPr>
      </w:pPr>
    </w:p>
    <w:p>
      <w:pPr>
        <w:ind w:right="120" w:firstLine="644"/>
        <w:spacing w:after="0" w:line="250" w:lineRule="auto"/>
        <w:rPr>
          <w:sz w:val="20"/>
          <w:szCs w:val="20"/>
          <w:color w:val="auto"/>
        </w:rPr>
      </w:pPr>
      <w:r>
        <w:rPr>
          <w:rFonts w:ascii="Times New Roman" w:cs="Times New Roman" w:eastAsia="Times New Roman" w:hAnsi="Times New Roman"/>
          <w:sz w:val="18"/>
          <w:szCs w:val="18"/>
          <w:color w:val="auto"/>
        </w:rPr>
        <w:t>For the six months ended June 30, 2022, net cash used in operating activities was $34.2 million, primarily due to a net loss of $(36.5) million adjusted for non-cash charges of $19.5 million and a net decrease in our operating assets and liabilities of $(17.2) million. The non-cash adjustments primarily relate to stock-based compensation of $8.9 million, depreciation and amortization of $3.8 million, $1.2 million unrealized loss on marketable securities, $1.3 million donation of common stock and $3.5 million of reduction to our right of use lease assets. The net decrease in operating assets and liabilities is primarily driven by an increase in accounts receivable of $11.8 million primarily due to our continued revenue growth, an increase in other assets of $3.9 million, an increase in prepaid expenses of $1.6 million, a $1.9 million increase in accounts payable and increased contract liabilities of $2.9 million. These increases were offset by a decrease in lease liabilities of $2.8 million and a decrease in accrued expenses of $2.0 million.</w:t>
      </w:r>
    </w:p>
    <w:p>
      <w:pPr>
        <w:spacing w:after="0" w:line="95" w:lineRule="exact"/>
        <w:rPr>
          <w:sz w:val="20"/>
          <w:szCs w:val="20"/>
          <w:color w:val="auto"/>
        </w:rPr>
      </w:pPr>
    </w:p>
    <w:p>
      <w:pPr>
        <w:ind w:right="20" w:firstLine="644"/>
        <w:spacing w:after="0" w:line="243" w:lineRule="auto"/>
        <w:rPr>
          <w:sz w:val="20"/>
          <w:szCs w:val="20"/>
          <w:color w:val="auto"/>
        </w:rPr>
      </w:pPr>
      <w:r>
        <w:rPr>
          <w:rFonts w:ascii="Times New Roman" w:cs="Times New Roman" w:eastAsia="Times New Roman" w:hAnsi="Times New Roman"/>
          <w:sz w:val="18"/>
          <w:szCs w:val="18"/>
          <w:color w:val="auto"/>
        </w:rPr>
        <w:t>For the six months ended June 30, 2021, net cash used in operating activities was $20.6 million, primarily due to a net loss of $(22.8) million adjusted for non-cash charges of $4.6 million and a net decrease in our operating assets and liabilities of $(2.4) million. The non-cash adjustments primarily relate to stock-based compensation of $2.5 million and depreciation and amortization of $1.5 million. The net decrease in operating assets and liabilities is primarily driven by an increase in accounts receivable of $6.9 million and prepaid expenses of $5.3 million. These increases are partially offset by increases in accounts payable of $7.5 million, primarily related to public company costs and $1.9 million of contract liabilities, primarily due to the growth of our business.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400" w:firstLine="644"/>
        <w:spacing w:after="0" w:line="328" w:lineRule="auto"/>
        <w:rPr>
          <w:sz w:val="20"/>
          <w:szCs w:val="20"/>
          <w:color w:val="auto"/>
        </w:rPr>
      </w:pPr>
      <w:r>
        <w:rPr>
          <w:rFonts w:ascii="Times New Roman" w:cs="Times New Roman" w:eastAsia="Times New Roman" w:hAnsi="Times New Roman"/>
          <w:sz w:val="17"/>
          <w:szCs w:val="17"/>
          <w:color w:val="auto"/>
        </w:rPr>
        <w:t>For the six months ended June 30, 2022, net cash used by investing activities was $285.8 million, primarily due to the purchase of marketable securities of $280.6 million and $5.4 million for purchases of property and equipment (which includes internal-use software development costs).</w:t>
      </w:r>
    </w:p>
    <w:p>
      <w:pPr>
        <w:spacing w:after="0" w:line="19" w:lineRule="exact"/>
        <w:rPr>
          <w:sz w:val="20"/>
          <w:szCs w:val="20"/>
          <w:color w:val="auto"/>
        </w:rPr>
      </w:pPr>
    </w:p>
    <w:p>
      <w:pPr>
        <w:ind w:right="520" w:firstLine="644"/>
        <w:spacing w:after="0" w:line="281" w:lineRule="auto"/>
        <w:rPr>
          <w:sz w:val="20"/>
          <w:szCs w:val="20"/>
          <w:color w:val="auto"/>
        </w:rPr>
      </w:pPr>
      <w:r>
        <w:rPr>
          <w:rFonts w:ascii="Times New Roman" w:cs="Times New Roman" w:eastAsia="Times New Roman" w:hAnsi="Times New Roman"/>
          <w:sz w:val="18"/>
          <w:szCs w:val="18"/>
          <w:color w:val="auto"/>
        </w:rPr>
        <w:t>For the six months ended June 30, 2021, net cash used by investing activities was $2.7 million, primarily due to investments in property and equipment (which includes internal-use software development costs).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7" w:lineRule="exact"/>
        <w:rPr>
          <w:sz w:val="20"/>
          <w:szCs w:val="20"/>
          <w:color w:val="auto"/>
        </w:rPr>
      </w:pPr>
    </w:p>
    <w:p>
      <w:pPr>
        <w:ind w:right="140" w:firstLine="637"/>
        <w:spacing w:after="0" w:line="259" w:lineRule="auto"/>
        <w:rPr>
          <w:sz w:val="20"/>
          <w:szCs w:val="20"/>
          <w:color w:val="auto"/>
        </w:rPr>
      </w:pPr>
      <w:r>
        <w:rPr>
          <w:rFonts w:ascii="Times New Roman" w:cs="Times New Roman" w:eastAsia="Times New Roman" w:hAnsi="Times New Roman"/>
          <w:sz w:val="18"/>
          <w:szCs w:val="18"/>
          <w:color w:val="auto"/>
        </w:rPr>
        <w:t>For the six months ended June 30, 2022, net cash provided by financing activities was $280.7 million, reflecting $287.5 million of proceeds from the issuance of the 2027 convertible senior notes. These inflows were offset by $9.3 million of convertible note costs incurred in connection with these notes</w:t>
      </w:r>
      <w:r>
        <w:rPr>
          <w:rFonts w:ascii="Times New Roman" w:cs="Times New Roman" w:eastAsia="Times New Roman" w:hAnsi="Times New Roman"/>
          <w:sz w:val="21"/>
          <w:szCs w:val="21"/>
          <w:color w:val="auto"/>
        </w:rPr>
        <w:t>.</w:t>
      </w:r>
    </w:p>
    <w:p>
      <w:pPr>
        <w:spacing w:after="0" w:line="61" w:lineRule="exact"/>
        <w:rPr>
          <w:sz w:val="20"/>
          <w:szCs w:val="20"/>
          <w:color w:val="auto"/>
        </w:rPr>
      </w:pPr>
    </w:p>
    <w:p>
      <w:pPr>
        <w:ind w:right="240" w:firstLine="637"/>
        <w:spacing w:after="0" w:line="281" w:lineRule="auto"/>
        <w:rPr>
          <w:sz w:val="20"/>
          <w:szCs w:val="20"/>
          <w:color w:val="auto"/>
        </w:rPr>
      </w:pPr>
      <w:r>
        <w:rPr>
          <w:rFonts w:ascii="Times New Roman" w:cs="Times New Roman" w:eastAsia="Times New Roman" w:hAnsi="Times New Roman"/>
          <w:sz w:val="18"/>
          <w:szCs w:val="18"/>
          <w:color w:val="auto"/>
        </w:rPr>
        <w:t>For the six months ended June 30, 2021, net cash provided by financing activities was $0.8 million, reflecting $1.3 million of proceeds from the exercise of stock options, offset by $0.5 million of costs incurred in connection with our IPO.</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07" w:lineRule="exact"/>
        <w:rPr>
          <w:sz w:val="20"/>
          <w:szCs w:val="20"/>
          <w:color w:val="auto"/>
        </w:rPr>
      </w:pPr>
    </w:p>
    <w:p>
      <w:pPr>
        <w:ind w:right="60" w:firstLine="644"/>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condensed consolidated financial statements and accompanying notes have been prepared in accordance with GAAP. The preparation of these condensed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 For additional information about our critical accounting policies and estimates, see the disclosure included in our </w:t>
      </w:r>
      <w:hyperlink r:id="rId367">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as well as Note 2 – Basis of Presentation and Summary of Significant Accounting Policies in the notes to the condensed consolidated financial statements included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3953510</wp:posOffset>
            </wp:positionH>
            <wp:positionV relativeFrom="paragraph">
              <wp:posOffset>-290195</wp:posOffset>
            </wp:positionV>
            <wp:extent cx="13563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7"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For a description of our recently adopted accounting pronouncements and recently issued accounting standards not yet adopted, see Note 2 – Basis of Presentation and Summary of Significant Accounting Policies in the notes to the condensed consolidated financial statements included in Part I, Item 1, of this Quarterly Report on Form 10-Q.</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41" w:name="page42"/>
    <w:bookmarkEnd w:id="4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firstLine="644"/>
        <w:spacing w:after="0" w:line="243" w:lineRule="auto"/>
        <w:rPr>
          <w:sz w:val="20"/>
          <w:szCs w:val="20"/>
          <w:color w:val="auto"/>
        </w:rPr>
      </w:pPr>
      <w:r>
        <w:rPr>
          <w:rFonts w:ascii="Times New Roman" w:cs="Times New Roman" w:eastAsia="Times New Roman" w:hAnsi="Times New Roman"/>
          <w:sz w:val="18"/>
          <w:szCs w:val="18"/>
          <w:color w:val="auto"/>
        </w:rPr>
        <w:t>We qualify as an “emerging growth company” pursuant to the provisions of the Jumpstart Our Business Startups Act of 2012, or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stockholder advisory votes on golden parachute compensation.</w:t>
      </w:r>
    </w:p>
    <w:p>
      <w:pPr>
        <w:spacing w:after="0" w:line="91" w:lineRule="exact"/>
        <w:rPr>
          <w:sz w:val="20"/>
          <w:szCs w:val="20"/>
          <w:color w:val="auto"/>
        </w:rPr>
      </w:pPr>
    </w:p>
    <w:p>
      <w:pPr>
        <w:ind w:right="20" w:firstLine="644"/>
        <w:spacing w:after="0" w:line="245" w:lineRule="auto"/>
        <w:rPr>
          <w:sz w:val="20"/>
          <w:szCs w:val="20"/>
          <w:color w:val="auto"/>
        </w:rPr>
      </w:pPr>
      <w:r>
        <w:rPr>
          <w:rFonts w:ascii="Times New Roman" w:cs="Times New Roman" w:eastAsia="Times New Roman" w:hAnsi="Times New Roman"/>
          <w:sz w:val="18"/>
          <w:szCs w:val="18"/>
          <w:color w:val="auto"/>
        </w:rPr>
        <w:t>The JOBS Act also permits an emerging growth company like us to take advantage of an extended transition period to comply with new or revised accounting standards applicable to public companies. We have elected to “opt-in” to this extended transition period for complying with new or revised accounting standards and, therefore, we will not be subject to the same new or revised accounting standards as other public companies that comply with such new or revised accounting standards on a non-delayed basis.</w:t>
      </w:r>
    </w:p>
    <w:p>
      <w:pPr>
        <w:spacing w:after="0" w:line="85" w:lineRule="exact"/>
        <w:rPr>
          <w:sz w:val="20"/>
          <w:szCs w:val="20"/>
          <w:color w:val="auto"/>
        </w:rPr>
      </w:pPr>
    </w:p>
    <w:p>
      <w:pPr>
        <w:ind w:right="200" w:firstLine="644"/>
        <w:spacing w:after="0" w:line="250" w:lineRule="auto"/>
        <w:rPr>
          <w:sz w:val="20"/>
          <w:szCs w:val="20"/>
          <w:color w:val="auto"/>
        </w:rPr>
      </w:pPr>
      <w:r>
        <w:rPr>
          <w:rFonts w:ascii="Times New Roman" w:cs="Times New Roman" w:eastAsia="Times New Roman" w:hAnsi="Times New Roman"/>
          <w:sz w:val="18"/>
          <w:szCs w:val="18"/>
          <w:color w:val="auto"/>
        </w:rPr>
        <w:t>Based on the Company's aggregate worldwide market value of voting and non-voting common equity held by non-affiliates as of June 30, 2022, the Company will become a “large accelerated filer” and lose emerging growth company status beginning with its Annual Report on Form 10-K for the year ending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5" w:lineRule="exact"/>
        <w:rPr>
          <w:sz w:val="20"/>
          <w:szCs w:val="20"/>
          <w:color w:val="auto"/>
        </w:rPr>
      </w:pPr>
    </w:p>
    <w:p>
      <w:pPr>
        <w:jc w:val="both"/>
        <w:ind w:firstLine="637"/>
        <w:spacing w:after="0" w:line="250"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380" w:firstLine="637"/>
        <w:spacing w:after="0" w:line="250" w:lineRule="auto"/>
        <w:rPr>
          <w:sz w:val="20"/>
          <w:szCs w:val="20"/>
          <w:color w:val="auto"/>
        </w:rPr>
      </w:pPr>
      <w:r>
        <w:rPr>
          <w:rFonts w:ascii="Times New Roman" w:cs="Times New Roman" w:eastAsia="Times New Roman" w:hAnsi="Times New Roman"/>
          <w:sz w:val="18"/>
          <w:szCs w:val="18"/>
          <w:color w:val="auto"/>
        </w:rPr>
        <w:t>Our revenue and costs are principally denominated in U.S. dollars and are not subject to foreign currency exchange risk. Our International operating segment generates revenue outside of the United States that is denominated in currencies other than the U.S. dollar. Our results of operations could be impacted by changes in exchange rates.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07" w:lineRule="exact"/>
        <w:rPr>
          <w:sz w:val="20"/>
          <w:szCs w:val="20"/>
          <w:color w:val="auto"/>
        </w:rPr>
      </w:pPr>
    </w:p>
    <w:p>
      <w:pPr>
        <w:ind w:right="80" w:firstLine="637"/>
        <w:spacing w:after="0" w:line="250"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If our costs were to become subject to significant inflationary pressures such as those caused by the conflict in Ukraine, we may not be able to fully offset such higher costs through price increases. Our inability or failure to do so could harm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7" w:lineRule="exact"/>
        <w:rPr>
          <w:sz w:val="20"/>
          <w:szCs w:val="20"/>
          <w:color w:val="auto"/>
        </w:rPr>
      </w:pPr>
    </w:p>
    <w:p>
      <w:pPr>
        <w:ind w:right="80" w:firstLine="637"/>
        <w:spacing w:after="0" w:line="245"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as amended (the “Exchange Act”), our management, including our Chief Executive Officer and Chief Financial Officer, evaluated the effectiveness of our disclosure controls and procedures as of the end of the period covered by this Quarterly Report on Form 10-Q. Based upon that evaluation, our Chief Executive Officer and Chief Financial Officer concluded that, as of the end of the period covered by this Quarterly Report on Form 10-Q,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7" w:lineRule="exact"/>
        <w:rPr>
          <w:sz w:val="20"/>
          <w:szCs w:val="20"/>
          <w:color w:val="auto"/>
        </w:rPr>
      </w:pPr>
    </w:p>
    <w:p>
      <w:pPr>
        <w:ind w:right="200" w:firstLine="637"/>
        <w:spacing w:after="0" w:line="281"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quarter ended June 30, 2022, that have materially affected, or are reasonably likely to materially affect, our internal control over financial reporting.</w:t>
      </w:r>
    </w:p>
    <w:p>
      <w:pPr>
        <w:spacing w:after="0" w:line="41" w:lineRule="exact"/>
        <w:rPr>
          <w:sz w:val="20"/>
          <w:szCs w:val="20"/>
          <w:color w:val="auto"/>
        </w:rPr>
      </w:pPr>
    </w:p>
    <w:p>
      <w:pPr>
        <w:ind w:right="20" w:firstLine="637"/>
        <w:spacing w:after="0" w:line="246"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of achieving their objectives as specified above. However, our management, including our Chief Executive Officer and Chief Financial Officer, does not expect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7" w:right="359" w:bottom="1440" w:gutter="0" w:footer="0" w:header="0"/>
        </w:sectPr>
      </w:pPr>
    </w:p>
    <w:bookmarkStart w:id="42" w:name="page43"/>
    <w:bookmarkEnd w:id="4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firstLine="644"/>
        <w:spacing w:after="0" w:line="250" w:lineRule="auto"/>
        <w:rPr>
          <w:sz w:val="20"/>
          <w:szCs w:val="20"/>
          <w:color w:val="auto"/>
        </w:rPr>
      </w:pPr>
      <w:r>
        <w:rPr>
          <w:rFonts w:ascii="Times New Roman" w:cs="Times New Roman" w:eastAsia="Times New Roman" w:hAnsi="Times New Roman"/>
          <w:sz w:val="18"/>
          <w:szCs w:val="18"/>
          <w:color w:val="auto"/>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p>
    <w:p>
      <w:pPr>
        <w:spacing w:after="0" w:line="176" w:lineRule="exact"/>
        <w:rPr>
          <w:sz w:val="20"/>
          <w:szCs w:val="20"/>
          <w:color w:val="auto"/>
        </w:rPr>
      </w:pPr>
    </w:p>
    <w:p>
      <w:pPr>
        <w:ind w:right="720" w:firstLine="644"/>
        <w:spacing w:after="0" w:line="266" w:lineRule="auto"/>
        <w:rPr>
          <w:sz w:val="20"/>
          <w:szCs w:val="20"/>
          <w:color w:val="auto"/>
        </w:rPr>
      </w:pPr>
      <w:r>
        <w:rPr>
          <w:rFonts w:ascii="Times New Roman" w:cs="Times New Roman" w:eastAsia="Times New Roman" w:hAnsi="Times New Roman"/>
          <w:sz w:val="18"/>
          <w:szCs w:val="18"/>
          <w:color w:val="auto"/>
        </w:rPr>
        <w:t>For the period ending June 30, 2022, there were no material legal proceedings brought against the Company nor were there any material developments to any ongoing legal proceedings which constituted reportable events.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6" w:lineRule="exact"/>
        <w:rPr>
          <w:sz w:val="20"/>
          <w:szCs w:val="20"/>
          <w:color w:val="auto"/>
        </w:rPr>
      </w:pPr>
    </w:p>
    <w:p>
      <w:pPr>
        <w:ind w:right="280" w:firstLine="644"/>
        <w:spacing w:after="0" w:line="229" w:lineRule="exact"/>
        <w:rPr>
          <w:sz w:val="20"/>
          <w:szCs w:val="20"/>
          <w:color w:val="auto"/>
        </w:rPr>
      </w:pPr>
      <w:r>
        <w:rPr>
          <w:rFonts w:ascii="Times New Roman" w:cs="Times New Roman" w:eastAsia="Times New Roman" w:hAnsi="Times New Roman"/>
          <w:sz w:val="18"/>
          <w:szCs w:val="18"/>
          <w:i w:val="1"/>
          <w:iCs w:val="1"/>
          <w:color w:val="auto"/>
        </w:rPr>
        <w:t>There have been no material changes to our risk factors as previously disclosed in Item 1A. contained in Part I of our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for the year ended December 31, 2021.</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(a)Not applicable.</w:t>
      </w:r>
    </w:p>
    <w:p>
      <w:pPr>
        <w:spacing w:after="0" w:line="1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27" w:right="4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5" w:lineRule="exact"/>
        <w:rPr>
          <w:sz w:val="20"/>
          <w:szCs w:val="20"/>
          <w:color w:val="auto"/>
        </w:rPr>
      </w:pPr>
    </w:p>
    <w:p>
      <w:pPr>
        <w:ind w:right="580" w:firstLine="644"/>
        <w:spacing w:after="0" w:line="266" w:lineRule="auto"/>
        <w:rPr>
          <w:sz w:val="20"/>
          <w:szCs w:val="20"/>
          <w:color w:val="auto"/>
        </w:rPr>
      </w:pPr>
      <w:r>
        <w:rPr>
          <w:rFonts w:ascii="Times New Roman" w:cs="Times New Roman" w:eastAsia="Times New Roman" w:hAnsi="Times New Roman"/>
          <w:sz w:val="18"/>
          <w:szCs w:val="18"/>
          <w:color w:val="auto"/>
        </w:rPr>
        <w:t>The documents listed in the Exhibit Index of this Quarterly Report on Form 10-Q are herein incorporated by reference or are filed with this Quarterly Report on Form 10-Q, in each case as indicated therein (numbered in accordance with Item 601 of Regulation S-K).</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gridSpan w:val="11"/>
            <w:vMerge w:val="restart"/>
          </w:tcPr>
          <w:p>
            <w:pPr>
              <w:ind w:left="3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160" w:type="dxa"/>
            <w:vAlign w:val="bottom"/>
            <w:tcBorders>
              <w:bottom w:val="single" w:sz="8" w:color="auto"/>
            </w:tcBorders>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10080" w:type="dxa"/>
            <w:vAlign w:val="bottom"/>
            <w:gridSpan w:val="13"/>
          </w:tcPr>
          <w:p>
            <w:pPr>
              <w:spacing w:after="0"/>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Amended and Restated Certificate of Incorporation of Xometry, Inc., (incorporated herein by reference to Exhibit 3.1 to the Company’s</w:t>
              </w:r>
            </w:hyperlink>
          </w:p>
        </w:tc>
        <w:tc>
          <w:tcPr>
            <w:tcW w:w="0" w:type="dxa"/>
            <w:vAlign w:val="bottom"/>
          </w:tcPr>
          <w:p>
            <w:pPr>
              <w:spacing w:after="0"/>
              <w:rPr>
                <w:sz w:val="1"/>
                <w:szCs w:val="1"/>
                <w:color w:val="auto"/>
              </w:rPr>
            </w:pPr>
          </w:p>
        </w:tc>
      </w:tr>
      <w:tr>
        <w:trPr>
          <w:trHeight w:val="169"/>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4"/>
                <w:szCs w:val="14"/>
                <w:color w:val="auto"/>
              </w:rPr>
            </w:pPr>
          </w:p>
        </w:tc>
        <w:tc>
          <w:tcPr>
            <w:tcW w:w="63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372">
              <w:r>
                <w:rPr>
                  <w:rFonts w:ascii="Times New Roman" w:cs="Times New Roman" w:eastAsia="Times New Roman" w:hAnsi="Times New Roman"/>
                  <w:sz w:val="18"/>
                  <w:szCs w:val="18"/>
                  <w:color w:val="0000FF"/>
                  <w:w w:val="99"/>
                </w:rPr>
                <w:t>Current Report on Form 8-K (File No. 001-40546), filed with the SEC on July 2,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3440" w:type="dxa"/>
            <w:vAlign w:val="bottom"/>
            <w:tcBorders>
              <w:top w:val="single" w:sz="8" w:color="0000FF"/>
            </w:tcBorders>
            <w:gridSpan w:val="4"/>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340" w:type="dxa"/>
            <w:vAlign w:val="bottom"/>
            <w:gridSpan w:val="6"/>
          </w:tcPr>
          <w:p>
            <w:pPr>
              <w:spacing w:after="0" w:line="182"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Amended and Restated Bylaws of Xometry, Inc., (incorporated herein by reference to</w:t>
              </w:r>
            </w:hyperlink>
          </w:p>
        </w:tc>
        <w:tc>
          <w:tcPr>
            <w:tcW w:w="3740" w:type="dxa"/>
            <w:vAlign w:val="bottom"/>
            <w:gridSpan w:val="7"/>
          </w:tcPr>
          <w:p>
            <w:pPr>
              <w:spacing w:after="0" w:line="182"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Exhibit 3.2 to the Company’s Current Report on</w:t>
              </w:r>
            </w:hyperlink>
          </w:p>
        </w:tc>
        <w:tc>
          <w:tcPr>
            <w:tcW w:w="0" w:type="dxa"/>
            <w:vAlign w:val="bottom"/>
          </w:tcPr>
          <w:p>
            <w:pPr>
              <w:spacing w:after="0"/>
              <w:rPr>
                <w:sz w:val="1"/>
                <w:szCs w:val="1"/>
                <w:color w:val="auto"/>
              </w:rPr>
            </w:pPr>
          </w:p>
        </w:tc>
      </w:tr>
      <w:tr>
        <w:trPr>
          <w:trHeight w:val="169"/>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4"/>
                <w:szCs w:val="14"/>
                <w:color w:val="auto"/>
              </w:rPr>
            </w:pPr>
          </w:p>
        </w:tc>
        <w:tc>
          <w:tcPr>
            <w:tcW w:w="970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Form 8-K (File No. 001-40546), filed with the SEC on July 2, 2021).</w:t>
              </w:r>
            </w:hyperlink>
          </w:p>
        </w:tc>
        <w:tc>
          <w:tcPr>
            <w:tcW w:w="3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8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4640" w:type="dxa"/>
            <w:vAlign w:val="bottom"/>
            <w:tcBorders>
              <w:top w:val="single" w:sz="8" w:color="0000FF"/>
            </w:tcBorders>
            <w:gridSpan w:val="4"/>
          </w:tcPr>
          <w:p>
            <w:pPr>
              <w:spacing w:after="0"/>
              <w:rPr>
                <w:sz w:val="14"/>
                <w:szCs w:val="14"/>
                <w:color w:val="auto"/>
              </w:rPr>
            </w:pPr>
          </w:p>
        </w:tc>
        <w:tc>
          <w:tcPr>
            <w:tcW w:w="38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8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4600" w:type="dxa"/>
            <w:vAlign w:val="bottom"/>
            <w:tcBorders>
              <w:top w:val="single" w:sz="8" w:color="0000FF"/>
            </w:tcBorders>
            <w:gridSpan w:val="3"/>
          </w:tcPr>
          <w:p>
            <w:pPr>
              <w:spacing w:after="0"/>
              <w:rPr>
                <w:sz w:val="14"/>
                <w:szCs w:val="14"/>
                <w:color w:val="auto"/>
              </w:rPr>
            </w:pPr>
          </w:p>
        </w:tc>
        <w:tc>
          <w:tcPr>
            <w:tcW w:w="42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8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14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Certification</w:t>
            </w:r>
          </w:p>
        </w:tc>
        <w:tc>
          <w:tcPr>
            <w:tcW w:w="9160" w:type="dxa"/>
            <w:vAlign w:val="bottom"/>
            <w:gridSpan w:val="11"/>
          </w:tcPr>
          <w:p>
            <w:pPr>
              <w:ind w:left="20"/>
              <w:spacing w:after="0" w:line="182" w:lineRule="exact"/>
              <w:rPr>
                <w:sz w:val="20"/>
                <w:szCs w:val="20"/>
                <w:color w:val="auto"/>
              </w:rPr>
            </w:pPr>
            <w:r>
              <w:rPr>
                <w:rFonts w:ascii="Times New Roman" w:cs="Times New Roman" w:eastAsia="Times New Roman" w:hAnsi="Times New Roman"/>
                <w:sz w:val="18"/>
                <w:szCs w:val="18"/>
                <w:color w:val="0000FF"/>
              </w:rPr>
              <w:t>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100" w:type="dxa"/>
            <w:vAlign w:val="bottom"/>
            <w:tcBorders>
              <w:top w:val="single" w:sz="8" w:color="0000FF"/>
            </w:tcBorders>
            <w:gridSpan w:val="9"/>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w w:val="95"/>
              </w:rPr>
              <w:t>Inline XBRL</w:t>
            </w:r>
          </w:p>
        </w:tc>
        <w:tc>
          <w:tcPr>
            <w:tcW w:w="9160" w:type="dxa"/>
            <w:vAlign w:val="bottom"/>
            <w:gridSpan w:val="11"/>
          </w:tcPr>
          <w:p>
            <w:pPr>
              <w:ind w:left="60"/>
              <w:spacing w:after="0" w:line="177" w:lineRule="exact"/>
              <w:rPr>
                <w:sz w:val="20"/>
                <w:szCs w:val="20"/>
                <w:color w:val="auto"/>
              </w:rPr>
            </w:pPr>
            <w:r>
              <w:rPr>
                <w:rFonts w:ascii="Times New Roman" w:cs="Times New Roman" w:eastAsia="Times New Roman" w:hAnsi="Times New Roman"/>
                <w:sz w:val="18"/>
                <w:szCs w:val="18"/>
                <w:color w:val="auto"/>
              </w:rPr>
              <w:t>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02"/>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8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02"/>
        </w:trPr>
        <w:tc>
          <w:tcPr>
            <w:tcW w:w="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17"/>
                <w:szCs w:val="17"/>
                <w:color w:val="auto"/>
              </w:rPr>
            </w:pPr>
          </w:p>
        </w:tc>
        <w:tc>
          <w:tcPr>
            <w:tcW w:w="1008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02"/>
        </w:trPr>
        <w:tc>
          <w:tcPr>
            <w:tcW w:w="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17"/>
                <w:szCs w:val="17"/>
                <w:color w:val="auto"/>
              </w:rPr>
            </w:pPr>
          </w:p>
        </w:tc>
        <w:tc>
          <w:tcPr>
            <w:tcW w:w="1008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2"/>
        </w:trPr>
        <w:tc>
          <w:tcPr>
            <w:tcW w:w="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17"/>
                <w:szCs w:val="17"/>
                <w:color w:val="auto"/>
              </w:rPr>
            </w:pPr>
          </w:p>
        </w:tc>
        <w:tc>
          <w:tcPr>
            <w:tcW w:w="1008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2"/>
        </w:trPr>
        <w:tc>
          <w:tcPr>
            <w:tcW w:w="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180" w:type="dxa"/>
            <w:vAlign w:val="bottom"/>
          </w:tcPr>
          <w:p>
            <w:pPr>
              <w:spacing w:after="0"/>
              <w:rPr>
                <w:sz w:val="17"/>
                <w:szCs w:val="17"/>
                <w:color w:val="auto"/>
              </w:rPr>
            </w:pPr>
          </w:p>
        </w:tc>
        <w:tc>
          <w:tcPr>
            <w:tcW w:w="1008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80" w:type="dxa"/>
            <w:vAlign w:val="bottom"/>
          </w:tcPr>
          <w:p>
            <w:pPr>
              <w:spacing w:after="0"/>
              <w:rPr>
                <w:sz w:val="19"/>
                <w:szCs w:val="19"/>
                <w:color w:val="auto"/>
              </w:rPr>
            </w:pPr>
          </w:p>
        </w:tc>
        <w:tc>
          <w:tcPr>
            <w:tcW w:w="10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4320" w:firstLine="21"/>
        <w:spacing w:after="0" w:line="496" w:lineRule="auto"/>
        <w:tabs>
          <w:tab w:leader="none" w:pos="114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ind w:left="520" w:right="440" w:hanging="512"/>
        <w:spacing w:after="0" w:line="250" w:lineRule="auto"/>
        <w:tabs>
          <w:tab w:leader="none" w:pos="4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-672465</wp:posOffset>
            </wp:positionV>
            <wp:extent cx="95059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44" w:name="page45"/>
    <w:bookmarkEnd w:id="44"/>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59"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XOMETRY, INC.</w:t>
      </w:r>
    </w:p>
    <w:p>
      <w:pPr>
        <w:spacing w:after="0" w:line="198"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17145</wp:posOffset>
            </wp:positionV>
            <wp:extent cx="330517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4"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Randolph Altschuler</w:t>
      </w: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178" w:lineRule="exact"/>
        <w:rPr>
          <w:sz w:val="20"/>
          <w:szCs w:val="20"/>
          <w:color w:val="auto"/>
        </w:rPr>
      </w:pPr>
    </w:p>
    <w:p>
      <w:pPr>
        <w:ind w:left="20"/>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17145</wp:posOffset>
            </wp:positionV>
            <wp:extent cx="330517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4"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James Rallo</w:t>
      </w: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9" w:right="1440"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Randolph Altschuler, certify that:</w:t>
      </w:r>
    </w:p>
    <w:p>
      <w:pPr>
        <w:spacing w:after="0" w:line="211"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Xometry,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ind w:left="1020" w:right="100" w:hanging="479"/>
        <w:spacing w:after="0" w:line="250" w:lineRule="auto"/>
        <w:tabs>
          <w:tab w:leader="none" w:pos="8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1020" w:right="340" w:hanging="479"/>
        <w:spacing w:after="0" w:line="250" w:lineRule="auto"/>
        <w:tabs>
          <w:tab w:leader="none" w:pos="8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8"/>
          <w:szCs w:val="18"/>
          <w:color w:val="auto"/>
        </w:rPr>
      </w:pPr>
    </w:p>
    <w:p>
      <w:pPr>
        <w:ind w:left="1020" w:right="500" w:hanging="479"/>
        <w:spacing w:after="0" w:line="295" w:lineRule="auto"/>
        <w:tabs>
          <w:tab w:leader="none" w:pos="894"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020" w:right="180" w:hanging="479"/>
        <w:spacing w:after="0" w:line="258" w:lineRule="auto"/>
        <w:tabs>
          <w:tab w:leader="none" w:pos="8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20" w:hanging="479"/>
        <w:spacing w:after="0" w:line="281" w:lineRule="auto"/>
        <w:tabs>
          <w:tab w:leader="none" w:pos="8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17145</wp:posOffset>
            </wp:positionV>
            <wp:extent cx="330517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4"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Randolph Altschuler</w:t>
      </w: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Rallo, certify that:</w:t>
      </w:r>
    </w:p>
    <w:p>
      <w:pPr>
        <w:spacing w:after="0" w:line="211"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Xometry,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18"/>
          <w:szCs w:val="18"/>
          <w:color w:val="auto"/>
        </w:rPr>
      </w:pPr>
    </w:p>
    <w:p>
      <w:pPr>
        <w:jc w:val="both"/>
        <w:ind w:left="520" w:right="260" w:hanging="512"/>
        <w:spacing w:after="0" w:line="250"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ind w:left="1020" w:right="100" w:hanging="479"/>
        <w:spacing w:after="0" w:line="250" w:lineRule="auto"/>
        <w:tabs>
          <w:tab w:leader="none" w:pos="8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ind w:left="1020" w:right="340" w:hanging="479"/>
        <w:spacing w:after="0" w:line="250" w:lineRule="auto"/>
        <w:tabs>
          <w:tab w:leader="none" w:pos="8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8"/>
          <w:szCs w:val="18"/>
          <w:color w:val="auto"/>
        </w:rPr>
      </w:pPr>
    </w:p>
    <w:p>
      <w:pPr>
        <w:ind w:left="1020" w:right="500" w:hanging="479"/>
        <w:spacing w:after="0" w:line="295" w:lineRule="auto"/>
        <w:tabs>
          <w:tab w:leader="none" w:pos="894"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020" w:right="180" w:hanging="479"/>
        <w:spacing w:after="0" w:line="258" w:lineRule="auto"/>
        <w:tabs>
          <w:tab w:leader="none" w:pos="8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20" w:hanging="479"/>
        <w:spacing w:after="0" w:line="281" w:lineRule="auto"/>
        <w:tabs>
          <w:tab w:leader="none" w:pos="8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ind w:left="20"/>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17145</wp:posOffset>
            </wp:positionV>
            <wp:extent cx="330517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4"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James Rallo</w:t>
      </w: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44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Xometry, Inc. (the “Company”) on Form 10-Q for the period ending June 30, 2022 as filed with the Securities and Exchange Commission on the date hereof (the “Report”), I certify, pursuant to 18 U.S.C. § 1350, as adopted pursuant to § 906 of the Sarbanes-Oxley Act of 2002, that:</w:t>
      </w:r>
    </w:p>
    <w:p>
      <w:pPr>
        <w:spacing w:after="0" w:line="189" w:lineRule="exact"/>
        <w:rPr>
          <w:sz w:val="20"/>
          <w:szCs w:val="20"/>
          <w:color w:val="auto"/>
        </w:rPr>
      </w:pPr>
    </w:p>
    <w:p>
      <w:pPr>
        <w:ind w:left="900" w:hanging="359"/>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760" w:hanging="479"/>
        <w:spacing w:after="0" w:line="266" w:lineRule="auto"/>
        <w:tabs>
          <w:tab w:leader="none" w:pos="8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48"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17145</wp:posOffset>
            </wp:positionV>
            <wp:extent cx="330517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4"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Randolph Altschuler</w:t>
      </w: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44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Xometry, Inc. (the “Company”) on Form 10-Q for the period ending June 30, 2022 as filed with the Securities and Exchange Commission on the date hereof (the “Report”), I certify, pursuant to 18 U.S.C. § 1350, as adopted pursuant to § 906 of the Sarbanes-Oxley Act of 2002, that:</w:t>
      </w:r>
    </w:p>
    <w:p>
      <w:pPr>
        <w:spacing w:after="0" w:line="189" w:lineRule="exact"/>
        <w:rPr>
          <w:sz w:val="20"/>
          <w:szCs w:val="20"/>
          <w:color w:val="auto"/>
        </w:rPr>
      </w:pPr>
    </w:p>
    <w:p>
      <w:pPr>
        <w:ind w:left="900" w:hanging="359"/>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760" w:hanging="479"/>
        <w:spacing w:after="0" w:line="266" w:lineRule="auto"/>
        <w:tabs>
          <w:tab w:leader="none" w:pos="8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48" w:lineRule="exact"/>
        <w:rPr>
          <w:sz w:val="20"/>
          <w:szCs w:val="20"/>
          <w:color w:val="auto"/>
        </w:rPr>
      </w:pPr>
    </w:p>
    <w:p>
      <w:pPr>
        <w:ind w:left="20"/>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 August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17145</wp:posOffset>
            </wp:positionV>
            <wp:extent cx="330517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4"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James Rallo</w:t>
      </w: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lvl w:ilvl="1">
      <w:lvlJc w:val="left"/>
      <w:lvlText w:val="•"/>
      <w:numFmt w:val="bullet"/>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7"/>
    </w:lvl>
  </w:abstractNum>
  <w:abstractNum w:abstractNumId="6">
    <w:nsid w:val="140E0F76"/>
    <w:multiLevelType w:val="hybridMultilevel"/>
    <w:lvl w:ilvl="0">
      <w:lvlJc w:val="left"/>
      <w:lvlText w:val="(%1)"/>
      <w:numFmt w:val="decimal"/>
      <w:start w:val="13"/>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lvl w:ilvl="1">
      <w:lvlJc w:val="left"/>
      <w:lvlText w:val="%2"/>
      <w:numFmt w:val="decimal"/>
      <w:start w:val="104"/>
    </w:lvl>
  </w:abstractNum>
  <w:abstractNum w:abstractNumId="13">
    <w:nsid w:val="6B68079A"/>
    <w:multiLevelType w:val="hybridMultilevel"/>
    <w:lvl w:ilvl="0">
      <w:lvlJc w:val="left"/>
      <w:lvlText w:val="**"/>
      <w:numFmt w:val="bullet"/>
      <w:start w:val="1"/>
    </w:lvl>
    <w:lvl w:ilvl="1">
      <w:lvlJc w:val="left"/>
      <w:lvlText w:val="%2"/>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85" Type="http://schemas.openxmlformats.org/officeDocument/2006/relationships/image" Target="media/image375.png"/><Relationship Id="rId386" Type="http://schemas.openxmlformats.org/officeDocument/2006/relationships/image" Target="media/image376.png"/><Relationship Id="rId367" Type="http://schemas.openxmlformats.org/officeDocument/2006/relationships/hyperlink" Target="https://www.sec.gov/ix?doc=/Archives/edgar/data/1657573/000095017022004158/xmtr-20211231.htm" TargetMode="External"/><Relationship Id="rId372" Type="http://schemas.openxmlformats.org/officeDocument/2006/relationships/hyperlink" Target="https://www.sec.gov/Archives/edgar/data/0001657573/000119312521207643/d184650dex31.htm" TargetMode="External"/><Relationship Id="rId373" Type="http://schemas.openxmlformats.org/officeDocument/2006/relationships/hyperlink" Target="https://www.sec.gov/Archives/edgar/data/0001657573/000119312521207643/d18465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2022-08-11T06:36:05Z</dcterms:created>
  <dcterms:modified xsi:type="dcterms:W3CDTF">2022-08-11T06:36:05Z</dcterms:modified>
</cp:coreProperties>
</file>