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7708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70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Altschuler Randolph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4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jc w:val="center"/>
              <w:ind w:righ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Matthew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34.1743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342,389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Sladkin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Altschuler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Matthew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35.0016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341,144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Sladkin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Altschuler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Matthew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35.6681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340,533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Sladkin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Altschuler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sold in a transaction that was effected automatically pursuant to a Rule 10b-5 trading plan adopted by The Matthew Sladkin Altschuler 2012 Trust at least 14 days prior to the trading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filed to correct certain erroneous lines in the Form 4 filed on June 13, 2022 reporting sales on June 8, 2022. This amendment corrects the number of shares sold and/or the amount of securities beneficially owned following a transaction for certain of the indirectly owned securities. This amended report does not report any new transactions or otherwise modify the transaction details that were previously reported.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$33.32 to $34.30, inclusive.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$34.48 to $35.40, inclusive.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$35.48 to $36.02, inclusive.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81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2022-06-13T16:40:22Z</dcterms:created>
  <dcterms:modified xsi:type="dcterms:W3CDTF">2022-06-13T16:40:22Z</dcterms:modified>
</cp:coreProperties>
</file>