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Xometry,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98423F109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82"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98423F109</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Laurence Zuriff</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2"/>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2,141,360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22"/>
        </w:trPr>
        <w:tc>
          <w:tcPr>
            <w:tcW w:w="380" w:type="dxa"/>
            <w:vAlign w:val="bottom"/>
            <w:tcBorders>
              <w:left w:val="single" w:sz="8" w:color="auto"/>
            </w:tcBorders>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1,028,918 shares</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80"/>
              <w:spacing w:after="0" w:line="217" w:lineRule="exact"/>
              <w:rPr>
                <w:sz w:val="20"/>
                <w:szCs w:val="20"/>
                <w:color w:val="auto"/>
              </w:rPr>
            </w:pPr>
            <w:r>
              <w:rPr>
                <w:rFonts w:ascii="Arial" w:cs="Arial" w:eastAsia="Arial" w:hAnsi="Arial"/>
                <w:sz w:val="17"/>
                <w:szCs w:val="17"/>
                <w:color w:val="auto"/>
              </w:rPr>
              <w:t>2,141,360 shares</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165,024 shares</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19"/>
                <w:szCs w:val="19"/>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3,170,278 shares</w:t>
            </w:r>
            <w:r>
              <w:rPr>
                <w:rFonts w:ascii="Arial" w:cs="Arial" w:eastAsia="Arial" w:hAnsi="Arial"/>
                <w:sz w:val="26"/>
                <w:szCs w:val="26"/>
                <w:color w:val="auto"/>
                <w:vertAlign w:val="superscript"/>
              </w:rPr>
              <w:t>(4)</w:t>
            </w: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6.88%</w:t>
            </w:r>
            <w:r>
              <w:rPr>
                <w:rFonts w:ascii="Arial" w:cs="Arial" w:eastAsia="Arial" w:hAnsi="Arial"/>
                <w:sz w:val="26"/>
                <w:szCs w:val="26"/>
                <w:color w:val="auto"/>
                <w:vertAlign w:val="superscript"/>
              </w:rPr>
              <w:t>(5)</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60" w:hanging="424"/>
        <w:spacing w:after="0" w:line="25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(i) 813,421 shares of Class A Common Stock held by Mr. Zuriff; (ii) 1,200,843 shares of Class B Common Stock held by Mr. Zuriff, which shares are convertible at any time into Class A Common Stock on a one-to-one basis; (iii) 126,630 shares of Class A Common Stock underlying outstanding options held by Mr. Zuriff that are exercisable within 60 days of December 31, 2022; and (iv) 466 shares of Class A Common Stock underlying outstanding restricted stock units (“RSUs”) held by Mr. Zuriff that are issuable upon the vesting of such RSUs within 60 days of December 31, 2022.</w:t>
      </w:r>
    </w:p>
    <w:p>
      <w:pPr>
        <w:spacing w:after="0" w:line="3" w:lineRule="exact"/>
        <w:rPr>
          <w:rFonts w:ascii="Arial" w:cs="Arial" w:eastAsia="Arial" w:hAnsi="Arial"/>
          <w:sz w:val="18"/>
          <w:szCs w:val="18"/>
          <w:color w:val="auto"/>
        </w:rPr>
      </w:pPr>
    </w:p>
    <w:p>
      <w:pPr>
        <w:jc w:val="both"/>
        <w:ind w:left="424" w:right="60"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(i) 288,091 shares of Class A Common Stock held by the Jason Eric Zuriff Trust; (ii) 288,091 shares of Class A Common Stock held by the Sophie Anna Zuriff Trust; (iii) 287,712 shares of Class A Common Stock held by the Zuriff Family 2020 Trust; and (iv) 165,024 shares of Class A Common Stock held by ZFI Capital, LP.</w:t>
      </w:r>
    </w:p>
    <w:p>
      <w:pPr>
        <w:spacing w:after="0" w:line="1" w:lineRule="exact"/>
        <w:rPr>
          <w:rFonts w:ascii="Arial" w:cs="Arial" w:eastAsia="Arial" w:hAnsi="Arial"/>
          <w:sz w:val="18"/>
          <w:szCs w:val="18"/>
          <w:color w:val="auto"/>
        </w:rPr>
      </w:pPr>
    </w:p>
    <w:p>
      <w:pPr>
        <w:ind w:left="424" w:right="400"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165,024 shares of Class A Common Stock held by ZFI Capital, LP, over which Mr. Zuriff may be deemed to exercise voting and dispositive control.</w:t>
      </w:r>
    </w:p>
    <w:p>
      <w:pPr>
        <w:ind w:left="424"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(i) 813,421 shares of Class A Common Stock held by Mr. Zuriff; (ii) 288,091 shares of Class A Common Stock held by the Jason Eric Zuriff Trust; (iii) 288,091 shares of Class A Common Stock held by the Sophie Anna Zuriff Trust; (iv) 287,712 shares of Class A common stock held by the Zuriff Family 2020 Trust; (v) 165,024 shares of Class A Common Stock held by ZFI Capital, LP; (vi) 1,200,843 shares of Class B Common Stock of the Issuer held by Mr. Zuriff, which shares are convertible at any time into Class A Common Stock on a one-to-one basis; (vii) 126,630 shares of Class A Common Stock underlying outstanding options held by Mr. Zuriff that are exercisable within 60 days of December 31, 2022; and (iv) 466 shares of Class A Common Stock underlying outstanding RSUs held by Mr. Zuriff that are issuable upon the vesting of such RSUs within 60 days of December 31, 2022.</w:t>
      </w:r>
    </w:p>
    <w:p>
      <w:pPr>
        <w:spacing w:after="0" w:line="2" w:lineRule="exact"/>
        <w:rPr>
          <w:rFonts w:ascii="Arial" w:cs="Arial" w:eastAsia="Arial" w:hAnsi="Arial"/>
          <w:sz w:val="18"/>
          <w:szCs w:val="18"/>
          <w:color w:val="auto"/>
        </w:rPr>
      </w:pPr>
    </w:p>
    <w:p>
      <w:pPr>
        <w:ind w:left="424" w:right="380"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calculated based on 44,763,937 shares of Class A Common Stock outstanding as of November 2, 2022, as reported by the Issuer in its Form 10-Q for the quarter ended September 30, 2022, filed with the United States Securities and Exchange Commission on November 14, 2022 (the “Form 10-Q”).</w:t>
      </w:r>
    </w:p>
    <w:p>
      <w:pPr>
        <w:sectPr>
          <w:pgSz w:w="11900" w:h="16838" w:orient="portrait"/>
          <w:cols w:equalWidth="0" w:num="1">
            <w:col w:w="10924"/>
          </w:cols>
          <w:pgMar w:left="436" w:top="270" w:right="5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 of Issuer: Xometry,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-201295</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 w:space="360"/>
            <w:col w:w="9600"/>
          </w:cols>
          <w:pgMar w:left="440" w:top="270" w:right="75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 6116 Executive Blvd., Suite 800, North Bethesda, MD 20852</w:t>
      </w:r>
    </w:p>
    <w:p>
      <w:pPr>
        <w:spacing w:after="0" w:line="207" w:lineRule="exact"/>
        <w:rPr>
          <w:sz w:val="20"/>
          <w:szCs w:val="20"/>
          <w:color w:val="auto"/>
        </w:rPr>
      </w:pPr>
    </w:p>
    <w:p>
      <w:pPr>
        <w:sectPr>
          <w:pgSz w:w="11900" w:h="16838" w:orient="portrait"/>
          <w:cols w:equalWidth="0" w:num="2">
            <w:col w:w="760" w:space="340"/>
            <w:col w:w="9600"/>
          </w:cols>
          <w:pgMar w:left="440" w:top="270" w:right="75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2(a).</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Name of Person Filing: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Laurence Zuriff</w:t>
      </w:r>
    </w:p>
    <w:p>
      <w:pPr>
        <w:spacing w:after="0" w:line="200" w:lineRule="exact"/>
        <w:rPr>
          <w:sz w:val="20"/>
          <w:szCs w:val="20"/>
          <w:color w:val="auto"/>
        </w:rPr>
      </w:pPr>
    </w:p>
    <w:p>
      <w:pPr>
        <w:sectPr>
          <w:pgSz w:w="11900" w:h="16838" w:orient="portrait"/>
          <w:cols w:equalWidth="0" w:num="2">
            <w:col w:w="740" w:space="360"/>
            <w:col w:w="9600"/>
          </w:cols>
          <w:pgMar w:left="440" w:top="270" w:right="75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 The address and principal business office of the Reporting Person is:</w:t>
      </w:r>
    </w:p>
    <w:p>
      <w:pPr>
        <w:spacing w:after="0" w:line="153" w:lineRule="exact"/>
        <w:rPr>
          <w:sz w:val="20"/>
          <w:szCs w:val="20"/>
          <w:color w:val="auto"/>
        </w:rPr>
      </w:pPr>
    </w:p>
    <w:p>
      <w:pPr>
        <w:sectPr>
          <w:pgSz w:w="11900" w:h="16838" w:orient="portrait"/>
          <w:cols w:equalWidth="0" w:num="2">
            <w:col w:w="760" w:space="340"/>
            <w:col w:w="9600"/>
          </w:cols>
          <w:pgMar w:left="440" w:top="270" w:right="759" w:bottom="1440" w:gutter="0" w:footer="0" w:header="0"/>
          <w:type w:val="continuous"/>
        </w:sectPr>
      </w:pPr>
    </w:p>
    <w:p>
      <w:pPr>
        <w:ind w:left="1100"/>
        <w:spacing w:after="0"/>
        <w:rPr>
          <w:sz w:val="20"/>
          <w:szCs w:val="20"/>
          <w:color w:val="auto"/>
        </w:rPr>
      </w:pPr>
      <w:r>
        <w:rPr>
          <w:rFonts w:ascii="Arial" w:cs="Arial" w:eastAsia="Arial" w:hAnsi="Arial"/>
          <w:sz w:val="18"/>
          <w:szCs w:val="18"/>
          <w:color w:val="auto"/>
        </w:rPr>
        <w:t>c/o Xometry,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6116 Executive Blvd., Suite 800</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North Bethesda, MD 20852</w:t>
      </w:r>
    </w:p>
    <w:p>
      <w:pPr>
        <w:sectPr>
          <w:pgSz w:w="11900" w:h="16838" w:orient="portrait"/>
          <w:cols w:equalWidth="0" w:num="1">
            <w:col w:w="10700"/>
          </w:cols>
          <w:pgMar w:left="440" w:top="270" w:right="759" w:bottom="1440" w:gutter="0" w:footer="0" w:header="0"/>
          <w:type w:val="continuous"/>
        </w:sect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Citizenship:</w:t>
      </w:r>
    </w:p>
    <w:p>
      <w:pPr>
        <w:spacing w:after="0" w:line="142" w:lineRule="exact"/>
        <w:rPr>
          <w:sz w:val="20"/>
          <w:szCs w:val="20"/>
          <w:color w:val="auto"/>
        </w:rPr>
      </w:pPr>
    </w:p>
    <w:p>
      <w:pPr>
        <w:sectPr>
          <w:pgSz w:w="11900" w:h="16838" w:orient="portrait"/>
          <w:cols w:equalWidth="0" w:num="2">
            <w:col w:w="740" w:space="360"/>
            <w:col w:w="9600"/>
          </w:cols>
          <w:pgMar w:left="440" w:top="270" w:right="7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U.S. citizen</w:t>
      </w:r>
    </w:p>
    <w:p>
      <w:pPr>
        <w:sectPr>
          <w:pgSz w:w="11900" w:h="16838" w:orient="portrait"/>
          <w:cols w:equalWidth="0" w:num="1">
            <w:col w:w="10700"/>
          </w:cols>
          <w:pgMar w:left="440" w:top="270" w:right="759" w:bottom="1440" w:gutter="0" w:footer="0" w:header="0"/>
          <w:type w:val="continuous"/>
        </w:sect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 Class A Common Stock</w:t>
      </w:r>
    </w:p>
    <w:p>
      <w:pPr>
        <w:spacing w:after="0" w:line="207" w:lineRule="exact"/>
        <w:rPr>
          <w:sz w:val="20"/>
          <w:szCs w:val="20"/>
          <w:color w:val="auto"/>
        </w:rPr>
      </w:pPr>
    </w:p>
    <w:p>
      <w:pPr>
        <w:sectPr>
          <w:pgSz w:w="11900" w:h="16838" w:orient="portrait"/>
          <w:cols w:equalWidth="0" w:num="2">
            <w:col w:w="760" w:space="340"/>
            <w:col w:w="9600"/>
          </w:cols>
          <w:pgMar w:left="440" w:top="270" w:right="75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CUSIP Number: 98423F109</w:t>
      </w:r>
    </w:p>
    <w:p>
      <w:pPr>
        <w:spacing w:after="0" w:line="200" w:lineRule="exact"/>
        <w:rPr>
          <w:sz w:val="20"/>
          <w:szCs w:val="20"/>
          <w:color w:val="auto"/>
        </w:rPr>
      </w:pPr>
    </w:p>
    <w:p>
      <w:pPr>
        <w:sectPr>
          <w:pgSz w:w="11900" w:h="16838" w:orient="portrait"/>
          <w:cols w:equalWidth="0" w:num="2">
            <w:col w:w="740" w:space="360"/>
            <w:col w:w="9600"/>
          </w:cols>
          <w:pgMar w:left="440" w:top="270" w:right="75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7" w:lineRule="exact"/>
        <w:rPr>
          <w:sz w:val="20"/>
          <w:szCs w:val="20"/>
          <w:color w:val="auto"/>
        </w:rPr>
      </w:pPr>
    </w:p>
    <w:p>
      <w:pPr>
        <w:sectPr>
          <w:pgSz w:w="11900" w:h="16838" w:orient="portrait"/>
          <w:cols w:equalWidth="0" w:num="2">
            <w:col w:w="540" w:space="560"/>
            <w:col w:w="9600"/>
          </w:cols>
          <w:pgMar w:left="440" w:top="270" w:right="75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Ownership</w:t>
      </w:r>
    </w:p>
    <w:p>
      <w:pPr>
        <w:spacing w:after="0" w:line="140" w:lineRule="exact"/>
        <w:rPr>
          <w:sz w:val="20"/>
          <w:szCs w:val="20"/>
          <w:color w:val="auto"/>
        </w:rPr>
      </w:pPr>
    </w:p>
    <w:p>
      <w:pPr>
        <w:sectPr>
          <w:pgSz w:w="11900" w:h="16838" w:orient="portrait"/>
          <w:cols w:equalWidth="0" w:num="2">
            <w:col w:w="540" w:space="560"/>
            <w:col w:w="9600"/>
          </w:cols>
          <w:pgMar w:left="440" w:top="270" w:right="759" w:bottom="1440" w:gutter="0" w:footer="0" w:header="0"/>
          <w:type w:val="continuous"/>
        </w:sect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38"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See Row 9 of cover page for the Reporting Person.</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See Row 11 of cover page for the Reporting Person.</w:t>
      </w:r>
    </w:p>
    <w:p>
      <w:pPr>
        <w:spacing w:after="0" w:line="134" w:lineRule="exact"/>
        <w:rPr>
          <w:rFonts w:ascii="Arial" w:cs="Arial" w:eastAsia="Arial" w:hAnsi="Arial"/>
          <w:sz w:val="18"/>
          <w:szCs w:val="18"/>
          <w:b w:val="1"/>
          <w:bCs w:val="1"/>
          <w:color w:val="auto"/>
        </w:rPr>
      </w:pPr>
    </w:p>
    <w:p>
      <w:pPr>
        <w:ind w:left="960" w:hanging="532"/>
        <w:spacing w:after="0"/>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Number of shares as to which the person has:</w:t>
      </w:r>
    </w:p>
    <w:p>
      <w:pPr>
        <w:spacing w:after="0" w:line="126" w:lineRule="exact"/>
        <w:rPr>
          <w:rFonts w:ascii="Arial" w:cs="Arial" w:eastAsia="Arial" w:hAnsi="Arial"/>
          <w:sz w:val="18"/>
          <w:szCs w:val="18"/>
          <w:b w:val="1"/>
          <w:bCs w:val="1"/>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color w:val="auto"/>
        </w:rPr>
        <w:t>See Row 5 of cover page for the Reporting Person.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See Row 6 of cover page for the Reporting Person.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b w:val="1"/>
          <w:bCs w:val="1"/>
          <w:color w:val="auto"/>
        </w:rPr>
        <w:t>See Row 7 of cover page for the Reporting Person.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See Row 8 of cover page for the Reporting Person.</w:t>
      </w:r>
    </w:p>
    <w:p>
      <w:pPr>
        <w:spacing w:after="0" w:line="3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8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100" w:right="240" w:hanging="1106"/>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700"/>
          </w:cols>
          <w:pgMar w:left="440" w:top="270" w:right="759" w:bottom="1440" w:gutter="0" w:footer="0" w:header="0"/>
          <w:type w:val="continuous"/>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Laurence Zuriff</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2023-02-13T15:25:01Z</dcterms:created>
  <dcterms:modified xsi:type="dcterms:W3CDTF">2023-02-13T15:25:01Z</dcterms:modified>
</cp:coreProperties>
</file>