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Xometry,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Class A common stock, par value $0.000001 per share</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98423F109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020" w:hanging="587"/>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020" w:hanging="587"/>
        <w:spacing w:after="0"/>
        <w:tabs>
          <w:tab w:leader="none" w:pos="10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020" w:hanging="587"/>
        <w:spacing w:after="0"/>
        <w:tabs>
          <w:tab w:leader="none" w:pos="10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605790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783" w:right="379" w:bottom="1440" w:gutter="0" w:footer="0" w:header="0"/>
        </w:sectPr>
      </w:pPr>
    </w:p>
    <w:bookmarkStart w:id="1" w:name="page2"/>
    <w:bookmarkEnd w:id="1"/>
    <w:p>
      <w:pPr>
        <w:ind w:left="52"/>
        <w:spacing w:after="0"/>
        <w:rPr>
          <w:sz w:val="20"/>
          <w:szCs w:val="20"/>
          <w:color w:val="auto"/>
        </w:rPr>
      </w:pPr>
      <w:r>
        <w:rPr>
          <w:rFonts w:ascii="Arial" w:cs="Arial" w:eastAsia="Arial" w:hAnsi="Arial"/>
          <w:sz w:val="18"/>
          <w:szCs w:val="18"/>
          <w:color w:val="auto"/>
        </w:rPr>
        <w:t>CUSIP No. 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752" w:right="8200" w:hanging="469"/>
        <w:spacing w:after="0" w:line="342" w:lineRule="auto"/>
        <w:tabs>
          <w:tab w:leader="none" w:pos="752"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Names of Reporting Persons Foundry Group Next 2018, L.P.</w:t>
      </w:r>
    </w:p>
    <w:p>
      <w:pPr>
        <w:spacing w:after="0" w:line="231" w:lineRule="exact"/>
        <w:rPr>
          <w:rFonts w:ascii="Arial" w:cs="Arial" w:eastAsia="Arial" w:hAnsi="Arial"/>
          <w:sz w:val="16"/>
          <w:szCs w:val="16"/>
          <w:color w:val="auto"/>
        </w:rPr>
      </w:pPr>
    </w:p>
    <w:p>
      <w:pPr>
        <w:ind w:left="752" w:hanging="469"/>
        <w:spacing w:after="0"/>
        <w:tabs>
          <w:tab w:leader="none" w:pos="752"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365" w:lineRule="exact"/>
        <w:rPr>
          <w:rFonts w:ascii="Arial" w:cs="Arial" w:eastAsia="Arial" w:hAnsi="Arial"/>
          <w:sz w:val="18"/>
          <w:szCs w:val="18"/>
          <w:color w:val="auto"/>
        </w:rPr>
      </w:pPr>
    </w:p>
    <w:p>
      <w:pPr>
        <w:ind w:left="752" w:hanging="469"/>
        <w:spacing w:after="0"/>
        <w:tabs>
          <w:tab w:leader="none" w:pos="752"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752" w:right="7860" w:hanging="469"/>
        <w:spacing w:after="0" w:line="277" w:lineRule="auto"/>
        <w:tabs>
          <w:tab w:leader="none" w:pos="752"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14605</wp:posOffset>
            </wp:positionV>
            <wp:extent cx="66948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-464820</wp:posOffset>
            </wp:positionV>
            <wp:extent cx="66948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-807720</wp:posOffset>
            </wp:positionV>
            <wp:extent cx="6197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-1022350</wp:posOffset>
            </wp:positionV>
            <wp:extent cx="6197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-1570990</wp:posOffset>
            </wp:positionV>
            <wp:extent cx="66948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72"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23"/>
                <w:szCs w:val="23"/>
                <w:color w:val="auto"/>
              </w:rPr>
            </w:pPr>
          </w:p>
        </w:tc>
        <w:tc>
          <w:tcPr>
            <w:tcW w:w="9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2,742,223 shares of Class A Common Stock (2)</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860" w:type="dxa"/>
            <w:vAlign w:val="bottom"/>
          </w:tcPr>
          <w:p>
            <w:pPr>
              <w:spacing w:after="0"/>
              <w:rPr>
                <w:sz w:val="18"/>
                <w:szCs w:val="18"/>
                <w:color w:val="auto"/>
              </w:rPr>
            </w:pPr>
          </w:p>
        </w:tc>
        <w:tc>
          <w:tcPr>
            <w:tcW w:w="920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9"/>
                <w:szCs w:val="9"/>
                <w:color w:val="auto"/>
              </w:rPr>
            </w:pPr>
          </w:p>
        </w:tc>
        <w:tc>
          <w:tcPr>
            <w:tcW w:w="9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72" w:hanging="655"/>
        <w:spacing w:after="0"/>
        <w:tabs>
          <w:tab w:leader="none" w:pos="2072"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072"/>
        <w:spacing w:after="0"/>
        <w:rPr>
          <w:rFonts w:ascii="Arial" w:cs="Arial" w:eastAsia="Arial" w:hAnsi="Arial"/>
          <w:sz w:val="18"/>
          <w:szCs w:val="18"/>
          <w:color w:val="auto"/>
        </w:rPr>
      </w:pPr>
      <w:r>
        <w:rPr>
          <w:rFonts w:ascii="Arial" w:cs="Arial" w:eastAsia="Arial" w:hAnsi="Arial"/>
          <w:sz w:val="18"/>
          <w:szCs w:val="18"/>
          <w:color w:val="auto"/>
        </w:rPr>
        <w:t>2,742,223 shares of Class A Common Stock (2)</w:t>
      </w:r>
    </w:p>
    <w:p>
      <w:pPr>
        <w:spacing w:after="0" w:line="318" w:lineRule="exact"/>
        <w:rPr>
          <w:rFonts w:ascii="Arial" w:cs="Arial" w:eastAsia="Arial" w:hAnsi="Arial"/>
          <w:sz w:val="18"/>
          <w:szCs w:val="18"/>
          <w:color w:val="auto"/>
        </w:rPr>
      </w:pPr>
    </w:p>
    <w:p>
      <w:pPr>
        <w:ind w:left="752" w:right="5680" w:hanging="469"/>
        <w:spacing w:after="0" w:line="277" w:lineRule="auto"/>
        <w:tabs>
          <w:tab w:leader="none" w:pos="752"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2,742,223 shares of Class A Common Stock (2)</w:t>
      </w:r>
    </w:p>
    <w:p>
      <w:pPr>
        <w:spacing w:after="0" w:line="278" w:lineRule="exact"/>
        <w:rPr>
          <w:rFonts w:ascii="Arial" w:cs="Arial" w:eastAsia="Arial" w:hAnsi="Arial"/>
          <w:sz w:val="18"/>
          <w:szCs w:val="18"/>
          <w:color w:val="auto"/>
        </w:rPr>
      </w:pPr>
    </w:p>
    <w:p>
      <w:pPr>
        <w:ind w:left="752" w:hanging="469"/>
        <w:spacing w:after="0"/>
        <w:tabs>
          <w:tab w:leader="none" w:pos="752"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333" w:lineRule="exact"/>
        <w:rPr>
          <w:rFonts w:ascii="Arial" w:cs="Arial" w:eastAsia="Arial" w:hAnsi="Arial"/>
          <w:sz w:val="18"/>
          <w:szCs w:val="18"/>
          <w:color w:val="auto"/>
        </w:rPr>
      </w:pPr>
    </w:p>
    <w:p>
      <w:pPr>
        <w:ind w:left="752" w:hanging="469"/>
        <w:spacing w:after="0"/>
        <w:tabs>
          <w:tab w:leader="none" w:pos="752"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6.2% of Common Stock (6.6% of Class A Common Stock) (3)(4)(5)</w:t>
      </w:r>
    </w:p>
    <w:p>
      <w:pPr>
        <w:spacing w:after="0" w:line="318" w:lineRule="exact"/>
        <w:rPr>
          <w:rFonts w:ascii="Arial" w:cs="Arial" w:eastAsia="Arial" w:hAnsi="Arial"/>
          <w:sz w:val="18"/>
          <w:szCs w:val="18"/>
          <w:color w:val="auto"/>
        </w:rPr>
      </w:pPr>
    </w:p>
    <w:p>
      <w:pPr>
        <w:ind w:left="752" w:hanging="469"/>
        <w:spacing w:after="0"/>
        <w:tabs>
          <w:tab w:leader="none" w:pos="752"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8" w:lineRule="exact"/>
        <w:rPr>
          <w:rFonts w:ascii="Arial" w:cs="Arial" w:eastAsia="Arial" w:hAnsi="Arial"/>
          <w:sz w:val="18"/>
          <w:szCs w:val="18"/>
          <w:color w:val="auto"/>
        </w:rPr>
      </w:pPr>
    </w:p>
    <w:p>
      <w:pPr>
        <w:ind w:left="332" w:right="100" w:hanging="332"/>
        <w:spacing w:after="0" w:line="254"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Schedule 13G is filed by Foundry Group Next 2018, L.P. (“2018 LP”), FG Next GP 2018, LLC (“2018 LLC”), Foundry Venture Capital 2016, L.P. (“2016 LP”), Foundry Venture 2016, LLC (“2016 LLC”), Brad Feld (“Feld”), Seth Levine (“Levine”) and Ryan McIntyre (“McIntyre” and with Feld and Levine, the “Managing Members”) (collectively, the “Reporting Persons”). The Reporting Persons expressly disclaim status as a “group” for purposes of this Schedule 13G.</w:t>
      </w:r>
    </w:p>
    <w:p>
      <w:pPr>
        <w:spacing w:after="0" w:line="2" w:lineRule="exact"/>
        <w:rPr>
          <w:rFonts w:ascii="Arial" w:cs="Arial" w:eastAsia="Arial" w:hAnsi="Arial"/>
          <w:sz w:val="18"/>
          <w:szCs w:val="18"/>
          <w:color w:val="auto"/>
        </w:rPr>
      </w:pPr>
    </w:p>
    <w:p>
      <w:pPr>
        <w:ind w:left="332" w:hanging="332"/>
        <w:spacing w:after="0" w:line="250"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Consists of 2,742,223 shares of the Issuer’s Class A common stock held by 2018 LP. 2018 LLC is the general partner of 2018 LP and the Managing Members are the managing members of 2018 LLC. 2018 LP, 2018 LLC and the Managing Members share power to direct the voting and disposition of the shares. The information with respect to the ownership of the Class A common stock by the Reporting Persons filing this statement on Schedule 13G is provided as of December 31, 2021.</w:t>
      </w:r>
    </w:p>
    <w:p>
      <w:pPr>
        <w:spacing w:after="0" w:line="1" w:lineRule="exact"/>
        <w:rPr>
          <w:rFonts w:ascii="Arial" w:cs="Arial" w:eastAsia="Arial" w:hAnsi="Arial"/>
          <w:sz w:val="18"/>
          <w:szCs w:val="18"/>
          <w:color w:val="auto"/>
        </w:rPr>
      </w:pPr>
    </w:p>
    <w:p>
      <w:pPr>
        <w:ind w:left="332" w:right="180" w:hanging="332"/>
        <w:spacing w:after="0" w:line="250"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Common Stock beneficial ownership percentage is based on a total of 44,390,865 shares of Common Stock (41,714,711 shares of Class A Common Stock and 2,676,154 shares of Class B Common Stock) outstanding as of September 30, 2021, as reported on the Issuer’s Quarterly Report on Form 10-Q for the quarter ended September 30, 2021, filed with the SEC on November 10, 2021.</w:t>
      </w:r>
    </w:p>
    <w:p>
      <w:pPr>
        <w:spacing w:after="0" w:line="1" w:lineRule="exact"/>
        <w:rPr>
          <w:rFonts w:ascii="Arial" w:cs="Arial" w:eastAsia="Arial" w:hAnsi="Arial"/>
          <w:sz w:val="18"/>
          <w:szCs w:val="18"/>
          <w:color w:val="auto"/>
        </w:rPr>
      </w:pPr>
    </w:p>
    <w:p>
      <w:pPr>
        <w:ind w:left="332" w:right="200" w:hanging="332"/>
        <w:spacing w:after="0" w:line="250" w:lineRule="auto"/>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Class A Common Stock beneficial ownership percentage is based on 41,714,711 shares of the Issuer’s Class A Common Stock outstanding as of September 30, 2021, as reported on the Issuer’s Quarterly Report on Form 10-Q for the quarter ended September 30, 2021, filed with the SEC on November 10, 2021.</w:t>
      </w:r>
    </w:p>
    <w:p>
      <w:pPr>
        <w:spacing w:after="0" w:line="1" w:lineRule="exact"/>
        <w:rPr>
          <w:rFonts w:ascii="Arial" w:cs="Arial" w:eastAsia="Arial" w:hAnsi="Arial"/>
          <w:sz w:val="18"/>
          <w:szCs w:val="18"/>
          <w:color w:val="auto"/>
        </w:rPr>
      </w:pPr>
    </w:p>
    <w:p>
      <w:pPr>
        <w:ind w:left="332" w:hanging="332"/>
        <w:spacing w:after="0"/>
        <w:tabs>
          <w:tab w:leader="none" w:pos="3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beneficially owned by the Reporting Person represent 2.9% of the combined voting power of the Issuer’s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-2196465</wp:posOffset>
            </wp:positionV>
            <wp:extent cx="669480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-2676525</wp:posOffset>
            </wp:positionV>
            <wp:extent cx="66948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-3156585</wp:posOffset>
            </wp:positionV>
            <wp:extent cx="66948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-3499485</wp:posOffset>
            </wp:positionV>
            <wp:extent cx="66948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-3979545</wp:posOffset>
            </wp:positionV>
            <wp:extent cx="58464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62" w:right="339" w:bottom="1440" w:gutter="0" w:footer="0" w:header="0"/>
        </w:sectPr>
      </w:pPr>
    </w:p>
    <w:bookmarkStart w:id="2" w:name="page3"/>
    <w:bookmarkEnd w:id="2"/>
    <w:p>
      <w:pPr>
        <w:ind w:left="52"/>
        <w:spacing w:after="0"/>
        <w:rPr>
          <w:sz w:val="20"/>
          <w:szCs w:val="20"/>
          <w:color w:val="auto"/>
        </w:rPr>
      </w:pPr>
      <w:r>
        <w:rPr>
          <w:rFonts w:ascii="Arial" w:cs="Arial" w:eastAsia="Arial" w:hAnsi="Arial"/>
          <w:sz w:val="18"/>
          <w:szCs w:val="18"/>
          <w:color w:val="auto"/>
        </w:rPr>
        <w:t>CUSIP No. 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752" w:right="8420" w:hanging="469"/>
        <w:spacing w:after="0" w:line="342" w:lineRule="auto"/>
        <w:tabs>
          <w:tab w:leader="none" w:pos="752"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Names of Reporting Persons FG Next GP 2018, LLC</w:t>
      </w:r>
    </w:p>
    <w:p>
      <w:pPr>
        <w:spacing w:after="0" w:line="231" w:lineRule="exact"/>
        <w:rPr>
          <w:rFonts w:ascii="Arial" w:cs="Arial" w:eastAsia="Arial" w:hAnsi="Arial"/>
          <w:sz w:val="16"/>
          <w:szCs w:val="16"/>
          <w:color w:val="auto"/>
        </w:rPr>
      </w:pPr>
    </w:p>
    <w:p>
      <w:pPr>
        <w:ind w:left="752" w:hanging="469"/>
        <w:spacing w:after="0"/>
        <w:tabs>
          <w:tab w:leader="none" w:pos="752"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365" w:lineRule="exact"/>
        <w:rPr>
          <w:rFonts w:ascii="Arial" w:cs="Arial" w:eastAsia="Arial" w:hAnsi="Arial"/>
          <w:sz w:val="18"/>
          <w:szCs w:val="18"/>
          <w:color w:val="auto"/>
        </w:rPr>
      </w:pPr>
    </w:p>
    <w:p>
      <w:pPr>
        <w:ind w:left="752" w:hanging="469"/>
        <w:spacing w:after="0"/>
        <w:tabs>
          <w:tab w:leader="none" w:pos="752"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752" w:right="7860" w:hanging="469"/>
        <w:spacing w:after="0" w:line="277" w:lineRule="auto"/>
        <w:tabs>
          <w:tab w:leader="none" w:pos="752"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14605</wp:posOffset>
            </wp:positionV>
            <wp:extent cx="66948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-464820</wp:posOffset>
            </wp:positionV>
            <wp:extent cx="66948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-807720</wp:posOffset>
            </wp:positionV>
            <wp:extent cx="61976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-1022350</wp:posOffset>
            </wp:positionV>
            <wp:extent cx="6197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-1570990</wp:posOffset>
            </wp:positionV>
            <wp:extent cx="66948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72"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23"/>
                <w:szCs w:val="23"/>
                <w:color w:val="auto"/>
              </w:rPr>
            </w:pPr>
          </w:p>
        </w:tc>
        <w:tc>
          <w:tcPr>
            <w:tcW w:w="9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2,742,223 shares of Class A Common Stock (2)</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860" w:type="dxa"/>
            <w:vAlign w:val="bottom"/>
          </w:tcPr>
          <w:p>
            <w:pPr>
              <w:spacing w:after="0"/>
              <w:rPr>
                <w:sz w:val="18"/>
                <w:szCs w:val="18"/>
                <w:color w:val="auto"/>
              </w:rPr>
            </w:pPr>
          </w:p>
        </w:tc>
        <w:tc>
          <w:tcPr>
            <w:tcW w:w="920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9"/>
                <w:szCs w:val="9"/>
                <w:color w:val="auto"/>
              </w:rPr>
            </w:pPr>
          </w:p>
        </w:tc>
        <w:tc>
          <w:tcPr>
            <w:tcW w:w="9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72" w:hanging="655"/>
        <w:spacing w:after="0"/>
        <w:tabs>
          <w:tab w:leader="none" w:pos="2072"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072"/>
        <w:spacing w:after="0"/>
        <w:rPr>
          <w:rFonts w:ascii="Arial" w:cs="Arial" w:eastAsia="Arial" w:hAnsi="Arial"/>
          <w:sz w:val="18"/>
          <w:szCs w:val="18"/>
          <w:color w:val="auto"/>
        </w:rPr>
      </w:pPr>
      <w:r>
        <w:rPr>
          <w:rFonts w:ascii="Arial" w:cs="Arial" w:eastAsia="Arial" w:hAnsi="Arial"/>
          <w:sz w:val="18"/>
          <w:szCs w:val="18"/>
          <w:color w:val="auto"/>
        </w:rPr>
        <w:t>2,742,223 shares of Class A Common Stock (2)</w:t>
      </w:r>
    </w:p>
    <w:p>
      <w:pPr>
        <w:spacing w:after="0" w:line="318" w:lineRule="exact"/>
        <w:rPr>
          <w:rFonts w:ascii="Arial" w:cs="Arial" w:eastAsia="Arial" w:hAnsi="Arial"/>
          <w:sz w:val="18"/>
          <w:szCs w:val="18"/>
          <w:color w:val="auto"/>
        </w:rPr>
      </w:pPr>
    </w:p>
    <w:p>
      <w:pPr>
        <w:ind w:left="752" w:right="5680" w:hanging="469"/>
        <w:spacing w:after="0" w:line="277" w:lineRule="auto"/>
        <w:tabs>
          <w:tab w:leader="none" w:pos="752" w:val="left"/>
        </w:tabs>
        <w:numPr>
          <w:ilvl w:val="1"/>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2,742,223 shares of Class A Common Stock (2)</w:t>
      </w:r>
    </w:p>
    <w:p>
      <w:pPr>
        <w:spacing w:after="0" w:line="278" w:lineRule="exact"/>
        <w:rPr>
          <w:rFonts w:ascii="Arial" w:cs="Arial" w:eastAsia="Arial" w:hAnsi="Arial"/>
          <w:sz w:val="18"/>
          <w:szCs w:val="18"/>
          <w:color w:val="auto"/>
        </w:rPr>
      </w:pPr>
    </w:p>
    <w:p>
      <w:pPr>
        <w:ind w:left="752" w:hanging="469"/>
        <w:spacing w:after="0"/>
        <w:tabs>
          <w:tab w:leader="none" w:pos="752" w:val="left"/>
        </w:tabs>
        <w:numPr>
          <w:ilvl w:val="1"/>
          <w:numId w:val="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333" w:lineRule="exact"/>
        <w:rPr>
          <w:rFonts w:ascii="Arial" w:cs="Arial" w:eastAsia="Arial" w:hAnsi="Arial"/>
          <w:sz w:val="18"/>
          <w:szCs w:val="18"/>
          <w:color w:val="auto"/>
        </w:rPr>
      </w:pPr>
    </w:p>
    <w:p>
      <w:pPr>
        <w:ind w:left="752" w:hanging="469"/>
        <w:spacing w:after="0"/>
        <w:tabs>
          <w:tab w:leader="none" w:pos="752" w:val="left"/>
        </w:tabs>
        <w:numPr>
          <w:ilvl w:val="1"/>
          <w:numId w:val="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6.2% of Common Stock (6.6% of Class A Common Stock) (3)(4)(5)</w:t>
      </w:r>
    </w:p>
    <w:p>
      <w:pPr>
        <w:spacing w:after="0" w:line="318" w:lineRule="exact"/>
        <w:rPr>
          <w:rFonts w:ascii="Arial" w:cs="Arial" w:eastAsia="Arial" w:hAnsi="Arial"/>
          <w:sz w:val="18"/>
          <w:szCs w:val="18"/>
          <w:color w:val="auto"/>
        </w:rPr>
      </w:pPr>
    </w:p>
    <w:p>
      <w:pPr>
        <w:ind w:left="752" w:hanging="469"/>
        <w:spacing w:after="0"/>
        <w:tabs>
          <w:tab w:leader="none" w:pos="752" w:val="left"/>
        </w:tabs>
        <w:numPr>
          <w:ilvl w:val="1"/>
          <w:numId w:val="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8" w:lineRule="exact"/>
        <w:rPr>
          <w:rFonts w:ascii="Arial" w:cs="Arial" w:eastAsia="Arial" w:hAnsi="Arial"/>
          <w:sz w:val="18"/>
          <w:szCs w:val="18"/>
          <w:color w:val="auto"/>
        </w:rPr>
      </w:pPr>
    </w:p>
    <w:p>
      <w:pPr>
        <w:ind w:left="332" w:hanging="332"/>
        <w:spacing w:after="0"/>
        <w:tabs>
          <w:tab w:leader="none" w:pos="3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46" w:lineRule="exact"/>
        <w:rPr>
          <w:rFonts w:ascii="Arial" w:cs="Arial" w:eastAsia="Arial" w:hAnsi="Arial"/>
          <w:sz w:val="16"/>
          <w:szCs w:val="16"/>
          <w:color w:val="auto"/>
        </w:rPr>
      </w:pPr>
    </w:p>
    <w:p>
      <w:pPr>
        <w:ind w:left="332" w:hanging="332"/>
        <w:spacing w:after="0" w:line="250"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2,742,223 shares of the Issuer’s Class A common stock held by 2018 LP. 2018 LLC is the general partner of 2018 LP and the Managing Members are the managing members of 2018 LLC. 2018 LP, 2018 LLC and the Managing Members share power to direct the voting and disposition of the shares. The information with respect to the ownership of the Class A common stock by the Reporting Persons filing this statement on Schedule 13G is provided as of December 31, 2021.</w:t>
      </w:r>
    </w:p>
    <w:p>
      <w:pPr>
        <w:spacing w:after="0" w:line="1" w:lineRule="exact"/>
        <w:rPr>
          <w:rFonts w:ascii="Arial" w:cs="Arial" w:eastAsia="Arial" w:hAnsi="Arial"/>
          <w:sz w:val="18"/>
          <w:szCs w:val="18"/>
          <w:color w:val="auto"/>
        </w:rPr>
      </w:pPr>
    </w:p>
    <w:p>
      <w:pPr>
        <w:ind w:left="332" w:right="180" w:hanging="332"/>
        <w:spacing w:after="0" w:line="250"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Common Stock beneficial ownership percentage is based on a total of 44,390,865 shares of Common Stock (41,714,711 shares of Class A Common Stock and 2,676,154 shares of Class B Common Stock) outstanding as of September 30, 2021, as reported on the Issuer’s Quarterly Report on Form 10-Q for the quarter ended September 30, 2021, filed with the SEC on November 10, 2021.</w:t>
      </w:r>
    </w:p>
    <w:p>
      <w:pPr>
        <w:spacing w:after="0" w:line="1" w:lineRule="exact"/>
        <w:rPr>
          <w:rFonts w:ascii="Arial" w:cs="Arial" w:eastAsia="Arial" w:hAnsi="Arial"/>
          <w:sz w:val="18"/>
          <w:szCs w:val="18"/>
          <w:color w:val="auto"/>
        </w:rPr>
      </w:pPr>
    </w:p>
    <w:p>
      <w:pPr>
        <w:ind w:left="332" w:right="200" w:hanging="332"/>
        <w:spacing w:after="0" w:line="250" w:lineRule="auto"/>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Class A Common Stock beneficial ownership percentage is based on 41,714,711 shares of the Issuer’s Class A Common Stock outstanding as of September 30, 2021, as reported on the Issuer’s Quarterly Report on Form 10-Q for the quarter ended September 30, 2021, filed with the SEC on November 10, 2021.</w:t>
      </w:r>
    </w:p>
    <w:p>
      <w:pPr>
        <w:spacing w:after="0" w:line="1" w:lineRule="exact"/>
        <w:rPr>
          <w:rFonts w:ascii="Arial" w:cs="Arial" w:eastAsia="Arial" w:hAnsi="Arial"/>
          <w:sz w:val="18"/>
          <w:szCs w:val="18"/>
          <w:color w:val="auto"/>
        </w:rPr>
      </w:pPr>
    </w:p>
    <w:p>
      <w:pPr>
        <w:ind w:left="332" w:hanging="332"/>
        <w:spacing w:after="0"/>
        <w:tabs>
          <w:tab w:leader="none" w:pos="3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shares beneficially owned by the Reporting Person represent 2.9% of the combined voting power of the Issuer’s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-1784985</wp:posOffset>
            </wp:positionV>
            <wp:extent cx="66948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-2265045</wp:posOffset>
            </wp:positionV>
            <wp:extent cx="66948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-2745105</wp:posOffset>
            </wp:positionV>
            <wp:extent cx="66948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-3088005</wp:posOffset>
            </wp:positionV>
            <wp:extent cx="66948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-3568065</wp:posOffset>
            </wp:positionV>
            <wp:extent cx="58464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62" w:right="339" w:bottom="1440" w:gutter="0" w:footer="0" w:header="0"/>
        </w:sectPr>
      </w:pPr>
    </w:p>
    <w:bookmarkStart w:id="3" w:name="page4"/>
    <w:bookmarkEnd w:id="3"/>
    <w:p>
      <w:pPr>
        <w:ind w:left="52"/>
        <w:spacing w:after="0"/>
        <w:rPr>
          <w:sz w:val="20"/>
          <w:szCs w:val="20"/>
          <w:color w:val="auto"/>
        </w:rPr>
      </w:pPr>
      <w:r>
        <w:rPr>
          <w:rFonts w:ascii="Arial" w:cs="Arial" w:eastAsia="Arial" w:hAnsi="Arial"/>
          <w:sz w:val="18"/>
          <w:szCs w:val="18"/>
          <w:color w:val="auto"/>
        </w:rPr>
        <w:t>CUSIP No. 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752" w:right="7940" w:hanging="469"/>
        <w:spacing w:after="0" w:line="342" w:lineRule="auto"/>
        <w:tabs>
          <w:tab w:leader="none" w:pos="752"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Foundry Venture Capital 2016, L.P.</w:t>
      </w:r>
    </w:p>
    <w:p>
      <w:pPr>
        <w:spacing w:after="0" w:line="231" w:lineRule="exact"/>
        <w:rPr>
          <w:rFonts w:ascii="Arial" w:cs="Arial" w:eastAsia="Arial" w:hAnsi="Arial"/>
          <w:sz w:val="16"/>
          <w:szCs w:val="16"/>
          <w:color w:val="auto"/>
        </w:rPr>
      </w:pPr>
    </w:p>
    <w:p>
      <w:pPr>
        <w:ind w:left="752" w:hanging="469"/>
        <w:spacing w:after="0"/>
        <w:tabs>
          <w:tab w:leader="none" w:pos="7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365" w:lineRule="exact"/>
        <w:rPr>
          <w:rFonts w:ascii="Arial" w:cs="Arial" w:eastAsia="Arial" w:hAnsi="Arial"/>
          <w:sz w:val="18"/>
          <w:szCs w:val="18"/>
          <w:color w:val="auto"/>
        </w:rPr>
      </w:pPr>
    </w:p>
    <w:p>
      <w:pPr>
        <w:ind w:left="752" w:hanging="469"/>
        <w:spacing w:after="0"/>
        <w:tabs>
          <w:tab w:leader="none" w:pos="7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752" w:right="7860" w:hanging="469"/>
        <w:spacing w:after="0" w:line="277" w:lineRule="auto"/>
        <w:tabs>
          <w:tab w:leader="none" w:pos="7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14605</wp:posOffset>
            </wp:positionV>
            <wp:extent cx="66948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-464820</wp:posOffset>
            </wp:positionV>
            <wp:extent cx="66948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-807720</wp:posOffset>
            </wp:positionV>
            <wp:extent cx="61976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-1022350</wp:posOffset>
            </wp:positionV>
            <wp:extent cx="61976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-1570990</wp:posOffset>
            </wp:positionV>
            <wp:extent cx="66948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72"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23"/>
                <w:szCs w:val="23"/>
                <w:color w:val="auto"/>
              </w:rPr>
            </w:pPr>
          </w:p>
        </w:tc>
        <w:tc>
          <w:tcPr>
            <w:tcW w:w="9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534,328 shares of Class A Common Stock (2)</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860" w:type="dxa"/>
            <w:vAlign w:val="bottom"/>
          </w:tcPr>
          <w:p>
            <w:pPr>
              <w:spacing w:after="0"/>
              <w:rPr>
                <w:sz w:val="18"/>
                <w:szCs w:val="18"/>
                <w:color w:val="auto"/>
              </w:rPr>
            </w:pPr>
          </w:p>
        </w:tc>
        <w:tc>
          <w:tcPr>
            <w:tcW w:w="920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9"/>
                <w:szCs w:val="9"/>
                <w:color w:val="auto"/>
              </w:rPr>
            </w:pPr>
          </w:p>
        </w:tc>
        <w:tc>
          <w:tcPr>
            <w:tcW w:w="9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72" w:hanging="655"/>
        <w:spacing w:after="0"/>
        <w:tabs>
          <w:tab w:leader="none" w:pos="20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072"/>
        <w:spacing w:after="0"/>
        <w:rPr>
          <w:rFonts w:ascii="Arial" w:cs="Arial" w:eastAsia="Arial" w:hAnsi="Arial"/>
          <w:sz w:val="18"/>
          <w:szCs w:val="18"/>
          <w:color w:val="auto"/>
        </w:rPr>
      </w:pPr>
      <w:r>
        <w:rPr>
          <w:rFonts w:ascii="Arial" w:cs="Arial" w:eastAsia="Arial" w:hAnsi="Arial"/>
          <w:sz w:val="18"/>
          <w:szCs w:val="18"/>
          <w:color w:val="auto"/>
        </w:rPr>
        <w:t>534,328 shares of Class A Common Stock (2)</w:t>
      </w:r>
    </w:p>
    <w:p>
      <w:pPr>
        <w:spacing w:after="0" w:line="318" w:lineRule="exact"/>
        <w:rPr>
          <w:rFonts w:ascii="Arial" w:cs="Arial" w:eastAsia="Arial" w:hAnsi="Arial"/>
          <w:sz w:val="18"/>
          <w:szCs w:val="18"/>
          <w:color w:val="auto"/>
        </w:rPr>
      </w:pPr>
    </w:p>
    <w:p>
      <w:pPr>
        <w:ind w:left="752" w:right="5680" w:hanging="469"/>
        <w:spacing w:after="0" w:line="277" w:lineRule="auto"/>
        <w:tabs>
          <w:tab w:leader="none" w:pos="7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534,328 shares of Class A Common Stock (2)</w:t>
      </w:r>
    </w:p>
    <w:p>
      <w:pPr>
        <w:spacing w:after="0" w:line="278" w:lineRule="exact"/>
        <w:rPr>
          <w:rFonts w:ascii="Arial" w:cs="Arial" w:eastAsia="Arial" w:hAnsi="Arial"/>
          <w:sz w:val="18"/>
          <w:szCs w:val="18"/>
          <w:color w:val="auto"/>
        </w:rPr>
      </w:pPr>
    </w:p>
    <w:p>
      <w:pPr>
        <w:ind w:left="752" w:hanging="469"/>
        <w:spacing w:after="0"/>
        <w:tabs>
          <w:tab w:leader="none" w:pos="7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333" w:lineRule="exact"/>
        <w:rPr>
          <w:rFonts w:ascii="Arial" w:cs="Arial" w:eastAsia="Arial" w:hAnsi="Arial"/>
          <w:sz w:val="18"/>
          <w:szCs w:val="18"/>
          <w:color w:val="auto"/>
        </w:rPr>
      </w:pPr>
    </w:p>
    <w:p>
      <w:pPr>
        <w:ind w:left="752" w:hanging="469"/>
        <w:spacing w:after="0"/>
        <w:tabs>
          <w:tab w:leader="none" w:pos="7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1.2% of Common Stock (1.3% of Class A Common Stock) (3)(4)(5)</w:t>
      </w:r>
    </w:p>
    <w:p>
      <w:pPr>
        <w:spacing w:after="0" w:line="318" w:lineRule="exact"/>
        <w:rPr>
          <w:rFonts w:ascii="Arial" w:cs="Arial" w:eastAsia="Arial" w:hAnsi="Arial"/>
          <w:sz w:val="18"/>
          <w:szCs w:val="18"/>
          <w:color w:val="auto"/>
        </w:rPr>
      </w:pPr>
    </w:p>
    <w:p>
      <w:pPr>
        <w:ind w:left="752" w:hanging="469"/>
        <w:spacing w:after="0"/>
        <w:tabs>
          <w:tab w:leader="none" w:pos="752"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8" w:lineRule="exact"/>
        <w:rPr>
          <w:rFonts w:ascii="Arial" w:cs="Arial" w:eastAsia="Arial" w:hAnsi="Arial"/>
          <w:sz w:val="18"/>
          <w:szCs w:val="18"/>
          <w:color w:val="auto"/>
        </w:rPr>
      </w:pPr>
    </w:p>
    <w:p>
      <w:pPr>
        <w:ind w:left="332" w:hanging="332"/>
        <w:spacing w:after="0"/>
        <w:tabs>
          <w:tab w:leader="none" w:pos="3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46" w:lineRule="exact"/>
        <w:rPr>
          <w:rFonts w:ascii="Arial" w:cs="Arial" w:eastAsia="Arial" w:hAnsi="Arial"/>
          <w:sz w:val="16"/>
          <w:szCs w:val="16"/>
          <w:color w:val="auto"/>
        </w:rPr>
      </w:pPr>
    </w:p>
    <w:p>
      <w:pPr>
        <w:ind w:left="332" w:hanging="332"/>
        <w:spacing w:after="0" w:line="250" w:lineRule="auto"/>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Consists of 534,328 shares of the Issuer’s Class A common stock held by 2016 LP. 2016 LLC is the general partner of 2016 LP and the Managing Members are managing members of 2016 LLC. 2016 LP, 2016 LLC and the Managing Members share power to direct the voting and disposition of the shares. The information with respect to the ownership of the Class A common stock by the Reporting Persons filing this statement on Schedule 13G is provided as of December 31, 2021.</w:t>
      </w:r>
    </w:p>
    <w:p>
      <w:pPr>
        <w:spacing w:after="0" w:line="1" w:lineRule="exact"/>
        <w:rPr>
          <w:rFonts w:ascii="Arial" w:cs="Arial" w:eastAsia="Arial" w:hAnsi="Arial"/>
          <w:sz w:val="18"/>
          <w:szCs w:val="18"/>
          <w:color w:val="auto"/>
        </w:rPr>
      </w:pPr>
    </w:p>
    <w:p>
      <w:pPr>
        <w:ind w:left="332" w:right="180" w:hanging="332"/>
        <w:spacing w:after="0" w:line="250" w:lineRule="auto"/>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Common Stock beneficial ownership percentage is based on a total of 44,390,865 shares of Common Stock (41,714,711 shares of Class A Common Stock and 2,676,154 shares of Class B Common Stock) outstanding as of September 30, 2021, as reported on the Issuer’s Quarterly Report on Form 10-Q for the quarter ended September 30, 2021, filed with the SEC on November 10, 2021.</w:t>
      </w:r>
    </w:p>
    <w:p>
      <w:pPr>
        <w:spacing w:after="0" w:line="1" w:lineRule="exact"/>
        <w:rPr>
          <w:rFonts w:ascii="Arial" w:cs="Arial" w:eastAsia="Arial" w:hAnsi="Arial"/>
          <w:sz w:val="18"/>
          <w:szCs w:val="18"/>
          <w:color w:val="auto"/>
        </w:rPr>
      </w:pPr>
    </w:p>
    <w:p>
      <w:pPr>
        <w:ind w:left="332" w:right="200" w:hanging="332"/>
        <w:spacing w:after="0" w:line="250" w:lineRule="auto"/>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Class A Common Stock beneficial ownership percentage is based on 41,714,711 shares of the Issuer’s Class A Common Stock outstanding as of September 30, 2021, as reported on the Issuer’s Quarterly Report on Form 10-Q for the quarter ended September 30, 2021, filed with the SEC on November 10, 2021.</w:t>
      </w:r>
    </w:p>
    <w:p>
      <w:pPr>
        <w:spacing w:after="0" w:line="1" w:lineRule="exact"/>
        <w:rPr>
          <w:rFonts w:ascii="Arial" w:cs="Arial" w:eastAsia="Arial" w:hAnsi="Arial"/>
          <w:sz w:val="18"/>
          <w:szCs w:val="18"/>
          <w:color w:val="auto"/>
        </w:rPr>
      </w:pPr>
    </w:p>
    <w:p>
      <w:pPr>
        <w:ind w:left="332" w:hanging="332"/>
        <w:spacing w:after="0"/>
        <w:tabs>
          <w:tab w:leader="none" w:pos="3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shares beneficially owned by the Reporting Person represent 0.6% of the combined voting power of the Issuer’s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-1784985</wp:posOffset>
            </wp:positionV>
            <wp:extent cx="66948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-2265045</wp:posOffset>
            </wp:positionV>
            <wp:extent cx="66948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-2745105</wp:posOffset>
            </wp:positionV>
            <wp:extent cx="66948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-3088005</wp:posOffset>
            </wp:positionV>
            <wp:extent cx="66948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-3568065</wp:posOffset>
            </wp:positionV>
            <wp:extent cx="58464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62" w:right="339" w:bottom="1440" w:gutter="0" w:footer="0" w:header="0"/>
        </w:sectPr>
      </w:pPr>
    </w:p>
    <w:bookmarkStart w:id="4" w:name="page5"/>
    <w:bookmarkEnd w:id="4"/>
    <w:p>
      <w:pPr>
        <w:ind w:left="52"/>
        <w:spacing w:after="0"/>
        <w:rPr>
          <w:sz w:val="20"/>
          <w:szCs w:val="20"/>
          <w:color w:val="auto"/>
        </w:rPr>
      </w:pPr>
      <w:r>
        <w:rPr>
          <w:rFonts w:ascii="Arial" w:cs="Arial" w:eastAsia="Arial" w:hAnsi="Arial"/>
          <w:sz w:val="18"/>
          <w:szCs w:val="18"/>
          <w:color w:val="auto"/>
        </w:rPr>
        <w:t>CUSIP No. 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jc w:val="both"/>
        <w:ind w:left="752" w:right="8420" w:hanging="469"/>
        <w:spacing w:after="0" w:line="342" w:lineRule="auto"/>
        <w:tabs>
          <w:tab w:leader="none" w:pos="7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Names of Reporting Persons Foundry Venture 2016, LLC</w:t>
      </w:r>
    </w:p>
    <w:p>
      <w:pPr>
        <w:spacing w:after="0" w:line="231" w:lineRule="exact"/>
        <w:rPr>
          <w:rFonts w:ascii="Arial" w:cs="Arial" w:eastAsia="Arial" w:hAnsi="Arial"/>
          <w:sz w:val="16"/>
          <w:szCs w:val="16"/>
          <w:color w:val="auto"/>
        </w:rPr>
      </w:pPr>
    </w:p>
    <w:p>
      <w:pPr>
        <w:ind w:left="752" w:hanging="469"/>
        <w:spacing w:after="0"/>
        <w:tabs>
          <w:tab w:leader="none" w:pos="7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1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365" w:lineRule="exact"/>
        <w:rPr>
          <w:rFonts w:ascii="Arial" w:cs="Arial" w:eastAsia="Arial" w:hAnsi="Arial"/>
          <w:sz w:val="18"/>
          <w:szCs w:val="18"/>
          <w:color w:val="auto"/>
        </w:rPr>
      </w:pPr>
    </w:p>
    <w:p>
      <w:pPr>
        <w:ind w:left="752" w:hanging="469"/>
        <w:spacing w:after="0"/>
        <w:tabs>
          <w:tab w:leader="none" w:pos="7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752" w:right="7860" w:hanging="469"/>
        <w:spacing w:after="0" w:line="277" w:lineRule="auto"/>
        <w:tabs>
          <w:tab w:leader="none" w:pos="75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14605</wp:posOffset>
            </wp:positionV>
            <wp:extent cx="66948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-464820</wp:posOffset>
            </wp:positionV>
            <wp:extent cx="66948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-807720</wp:posOffset>
            </wp:positionV>
            <wp:extent cx="61976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-1022350</wp:posOffset>
            </wp:positionV>
            <wp:extent cx="61976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-1570990</wp:posOffset>
            </wp:positionV>
            <wp:extent cx="66948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72"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23"/>
                <w:szCs w:val="23"/>
                <w:color w:val="auto"/>
              </w:rPr>
            </w:pPr>
          </w:p>
        </w:tc>
        <w:tc>
          <w:tcPr>
            <w:tcW w:w="9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534,328 shares of Class A Common Stock (2)</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860" w:type="dxa"/>
            <w:vAlign w:val="bottom"/>
          </w:tcPr>
          <w:p>
            <w:pPr>
              <w:spacing w:after="0"/>
              <w:rPr>
                <w:sz w:val="18"/>
                <w:szCs w:val="18"/>
                <w:color w:val="auto"/>
              </w:rPr>
            </w:pPr>
          </w:p>
        </w:tc>
        <w:tc>
          <w:tcPr>
            <w:tcW w:w="920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9"/>
                <w:szCs w:val="9"/>
                <w:color w:val="auto"/>
              </w:rPr>
            </w:pPr>
          </w:p>
        </w:tc>
        <w:tc>
          <w:tcPr>
            <w:tcW w:w="9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72" w:hanging="655"/>
        <w:spacing w:after="0"/>
        <w:tabs>
          <w:tab w:leader="none" w:pos="2072" w:val="left"/>
        </w:tabs>
        <w:numPr>
          <w:ilvl w:val="2"/>
          <w:numId w:val="1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072"/>
        <w:spacing w:after="0"/>
        <w:rPr>
          <w:rFonts w:ascii="Arial" w:cs="Arial" w:eastAsia="Arial" w:hAnsi="Arial"/>
          <w:sz w:val="18"/>
          <w:szCs w:val="18"/>
          <w:color w:val="auto"/>
        </w:rPr>
      </w:pPr>
      <w:r>
        <w:rPr>
          <w:rFonts w:ascii="Arial" w:cs="Arial" w:eastAsia="Arial" w:hAnsi="Arial"/>
          <w:sz w:val="18"/>
          <w:szCs w:val="18"/>
          <w:color w:val="auto"/>
        </w:rPr>
        <w:t>534,328 shares of Class A Common Stock (2)</w:t>
      </w:r>
    </w:p>
    <w:p>
      <w:pPr>
        <w:spacing w:after="0" w:line="318" w:lineRule="exact"/>
        <w:rPr>
          <w:rFonts w:ascii="Arial" w:cs="Arial" w:eastAsia="Arial" w:hAnsi="Arial"/>
          <w:sz w:val="18"/>
          <w:szCs w:val="18"/>
          <w:color w:val="auto"/>
        </w:rPr>
      </w:pPr>
    </w:p>
    <w:p>
      <w:pPr>
        <w:ind w:left="752" w:right="5680" w:hanging="469"/>
        <w:spacing w:after="0" w:line="277" w:lineRule="auto"/>
        <w:tabs>
          <w:tab w:leader="none" w:pos="7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534,328 shares of Class A Common Stock (2)</w:t>
      </w:r>
    </w:p>
    <w:p>
      <w:pPr>
        <w:spacing w:after="0" w:line="278" w:lineRule="exact"/>
        <w:rPr>
          <w:rFonts w:ascii="Arial" w:cs="Arial" w:eastAsia="Arial" w:hAnsi="Arial"/>
          <w:sz w:val="18"/>
          <w:szCs w:val="18"/>
          <w:color w:val="auto"/>
        </w:rPr>
      </w:pPr>
    </w:p>
    <w:p>
      <w:pPr>
        <w:ind w:left="752" w:hanging="469"/>
        <w:spacing w:after="0"/>
        <w:tabs>
          <w:tab w:leader="none" w:pos="7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333" w:lineRule="exact"/>
        <w:rPr>
          <w:rFonts w:ascii="Arial" w:cs="Arial" w:eastAsia="Arial" w:hAnsi="Arial"/>
          <w:sz w:val="18"/>
          <w:szCs w:val="18"/>
          <w:color w:val="auto"/>
        </w:rPr>
      </w:pPr>
    </w:p>
    <w:p>
      <w:pPr>
        <w:ind w:left="752" w:hanging="469"/>
        <w:spacing w:after="0"/>
        <w:tabs>
          <w:tab w:leader="none" w:pos="7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1.2% of Common Stock (1.3% of Class A Common Stock) (3)(4)(5)</w:t>
      </w:r>
    </w:p>
    <w:p>
      <w:pPr>
        <w:spacing w:after="0" w:line="318" w:lineRule="exact"/>
        <w:rPr>
          <w:rFonts w:ascii="Arial" w:cs="Arial" w:eastAsia="Arial" w:hAnsi="Arial"/>
          <w:sz w:val="18"/>
          <w:szCs w:val="18"/>
          <w:color w:val="auto"/>
        </w:rPr>
      </w:pPr>
    </w:p>
    <w:p>
      <w:pPr>
        <w:ind w:left="752" w:hanging="469"/>
        <w:spacing w:after="0"/>
        <w:tabs>
          <w:tab w:leader="none" w:pos="7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8" w:lineRule="exact"/>
        <w:rPr>
          <w:rFonts w:ascii="Arial" w:cs="Arial" w:eastAsia="Arial" w:hAnsi="Arial"/>
          <w:sz w:val="18"/>
          <w:szCs w:val="18"/>
          <w:color w:val="auto"/>
        </w:rPr>
      </w:pPr>
    </w:p>
    <w:p>
      <w:pPr>
        <w:ind w:left="332" w:hanging="332"/>
        <w:spacing w:after="0"/>
        <w:tabs>
          <w:tab w:leader="none" w:pos="3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46" w:lineRule="exact"/>
        <w:rPr>
          <w:rFonts w:ascii="Arial" w:cs="Arial" w:eastAsia="Arial" w:hAnsi="Arial"/>
          <w:sz w:val="16"/>
          <w:szCs w:val="16"/>
          <w:color w:val="auto"/>
        </w:rPr>
      </w:pPr>
    </w:p>
    <w:p>
      <w:pPr>
        <w:ind w:left="332" w:hanging="332"/>
        <w:spacing w:after="0" w:line="250" w:lineRule="auto"/>
        <w:tabs>
          <w:tab w:leader="none" w:pos="3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534,328 shares of the Issuer’s Class A common stock held by 2016 LP. 2016 LLC is the general partner of 2016 LP and the Managing Members are managing members of 2016 LLC. 2016 LP, 2016 LLC and the Managing Members share power to direct the voting and disposition of the shares. The information with respect to the ownership of the Class A common stock by the Reporting Persons filing this statement on Schedule 13G is provided as of December 31, 2021.</w:t>
      </w:r>
    </w:p>
    <w:p>
      <w:pPr>
        <w:spacing w:after="0" w:line="1" w:lineRule="exact"/>
        <w:rPr>
          <w:rFonts w:ascii="Arial" w:cs="Arial" w:eastAsia="Arial" w:hAnsi="Arial"/>
          <w:sz w:val="18"/>
          <w:szCs w:val="18"/>
          <w:color w:val="auto"/>
        </w:rPr>
      </w:pPr>
    </w:p>
    <w:p>
      <w:pPr>
        <w:ind w:left="332" w:right="180" w:hanging="332"/>
        <w:spacing w:after="0" w:line="250" w:lineRule="auto"/>
        <w:tabs>
          <w:tab w:leader="none" w:pos="3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Common Stock beneficial ownership percentage is based on a total of 44,390,865 shares of Common Stock (41,714,711 shares of Class A Common Stock and 2,676,154 shares of Class B Common Stock) outstanding as of September 30, 2021, as reported on the Issuer’s Quarterly Report on Form 10-Q for the quarter ended September 30, 2021, filed with the SEC on November 10, 2021.</w:t>
      </w:r>
    </w:p>
    <w:p>
      <w:pPr>
        <w:spacing w:after="0" w:line="1" w:lineRule="exact"/>
        <w:rPr>
          <w:rFonts w:ascii="Arial" w:cs="Arial" w:eastAsia="Arial" w:hAnsi="Arial"/>
          <w:sz w:val="18"/>
          <w:szCs w:val="18"/>
          <w:color w:val="auto"/>
        </w:rPr>
      </w:pPr>
    </w:p>
    <w:p>
      <w:pPr>
        <w:ind w:left="332" w:right="200" w:hanging="332"/>
        <w:spacing w:after="0" w:line="250" w:lineRule="auto"/>
        <w:tabs>
          <w:tab w:leader="none" w:pos="3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Class A Common Stock beneficial ownership percentage is based on 41,714,711 shares of the Issuer’s Class A Common Stock outstanding as of September 30, 2021, as reported on the Issuer’s Quarterly Report on Form 10-Q for the quarter ended September 30, 2021, filed with the SEC on November 10, 2021.</w:t>
      </w:r>
    </w:p>
    <w:p>
      <w:pPr>
        <w:spacing w:after="0" w:line="1" w:lineRule="exact"/>
        <w:rPr>
          <w:rFonts w:ascii="Arial" w:cs="Arial" w:eastAsia="Arial" w:hAnsi="Arial"/>
          <w:sz w:val="18"/>
          <w:szCs w:val="18"/>
          <w:color w:val="auto"/>
        </w:rPr>
      </w:pPr>
    </w:p>
    <w:p>
      <w:pPr>
        <w:ind w:left="332" w:hanging="332"/>
        <w:spacing w:after="0"/>
        <w:tabs>
          <w:tab w:leader="none" w:pos="3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shares beneficially owned by the Reporting Person represent 0.6% of the combined voting power of the Issuer’s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-1784985</wp:posOffset>
            </wp:positionV>
            <wp:extent cx="669480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-2265045</wp:posOffset>
            </wp:positionV>
            <wp:extent cx="669480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-2745105</wp:posOffset>
            </wp:positionV>
            <wp:extent cx="669480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-3088005</wp:posOffset>
            </wp:positionV>
            <wp:extent cx="66948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-3568065</wp:posOffset>
            </wp:positionV>
            <wp:extent cx="58464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644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62" w:right="339" w:bottom="1440" w:gutter="0" w:footer="0" w:header="0"/>
        </w:sectPr>
      </w:pPr>
    </w:p>
    <w:bookmarkStart w:id="5" w:name="page6"/>
    <w:bookmarkEnd w:id="5"/>
    <w:p>
      <w:pPr>
        <w:ind w:left="52"/>
        <w:spacing w:after="0"/>
        <w:rPr>
          <w:sz w:val="20"/>
          <w:szCs w:val="20"/>
          <w:color w:val="auto"/>
        </w:rPr>
      </w:pPr>
      <w:r>
        <w:rPr>
          <w:rFonts w:ascii="Arial" w:cs="Arial" w:eastAsia="Arial" w:hAnsi="Arial"/>
          <w:sz w:val="18"/>
          <w:szCs w:val="18"/>
          <w:color w:val="auto"/>
        </w:rPr>
        <w:t>CUSIP No. 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752" w:right="8420" w:hanging="469"/>
        <w:spacing w:after="0" w:line="277" w:lineRule="auto"/>
        <w:tabs>
          <w:tab w:leader="none" w:pos="7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Names of Reporting Persons Bradley A. Feld</w:t>
      </w:r>
    </w:p>
    <w:p>
      <w:pPr>
        <w:spacing w:after="0" w:line="278" w:lineRule="exact"/>
        <w:rPr>
          <w:rFonts w:ascii="Arial" w:cs="Arial" w:eastAsia="Arial" w:hAnsi="Arial"/>
          <w:sz w:val="18"/>
          <w:szCs w:val="18"/>
          <w:color w:val="auto"/>
        </w:rPr>
      </w:pPr>
    </w:p>
    <w:p>
      <w:pPr>
        <w:ind w:left="752" w:hanging="469"/>
        <w:spacing w:after="0"/>
        <w:tabs>
          <w:tab w:leader="none" w:pos="7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365" w:lineRule="exact"/>
        <w:rPr>
          <w:rFonts w:ascii="Arial" w:cs="Arial" w:eastAsia="Arial" w:hAnsi="Arial"/>
          <w:sz w:val="18"/>
          <w:szCs w:val="18"/>
          <w:color w:val="auto"/>
        </w:rPr>
      </w:pPr>
    </w:p>
    <w:p>
      <w:pPr>
        <w:ind w:left="752" w:hanging="469"/>
        <w:spacing w:after="0"/>
        <w:tabs>
          <w:tab w:leader="none" w:pos="7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752" w:right="7860" w:hanging="469"/>
        <w:spacing w:after="0" w:line="342" w:lineRule="auto"/>
        <w:tabs>
          <w:tab w:leader="none" w:pos="752" w:val="left"/>
        </w:tabs>
        <w:numPr>
          <w:ilvl w:val="0"/>
          <w:numId w:val="19"/>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-14605</wp:posOffset>
            </wp:positionV>
            <wp:extent cx="66948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-494665</wp:posOffset>
            </wp:positionV>
            <wp:extent cx="669480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-837565</wp:posOffset>
            </wp:positionV>
            <wp:extent cx="61976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-1052195</wp:posOffset>
            </wp:positionV>
            <wp:extent cx="61976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-1600835</wp:posOffset>
            </wp:positionV>
            <wp:extent cx="66948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25"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23"/>
                <w:szCs w:val="23"/>
                <w:color w:val="auto"/>
              </w:rPr>
            </w:pPr>
          </w:p>
        </w:tc>
        <w:tc>
          <w:tcPr>
            <w:tcW w:w="9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3,276,551 shares of Class A Common Stock (2)</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860" w:type="dxa"/>
            <w:vAlign w:val="bottom"/>
          </w:tcPr>
          <w:p>
            <w:pPr>
              <w:spacing w:after="0"/>
              <w:rPr>
                <w:sz w:val="18"/>
                <w:szCs w:val="18"/>
                <w:color w:val="auto"/>
              </w:rPr>
            </w:pPr>
          </w:p>
        </w:tc>
        <w:tc>
          <w:tcPr>
            <w:tcW w:w="920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9"/>
                <w:szCs w:val="9"/>
                <w:color w:val="auto"/>
              </w:rPr>
            </w:pPr>
          </w:p>
        </w:tc>
        <w:tc>
          <w:tcPr>
            <w:tcW w:w="9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72" w:hanging="655"/>
        <w:spacing w:after="0"/>
        <w:tabs>
          <w:tab w:leader="none" w:pos="2072" w:val="left"/>
        </w:tabs>
        <w:numPr>
          <w:ilvl w:val="2"/>
          <w:numId w:val="2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072"/>
        <w:spacing w:after="0"/>
        <w:rPr>
          <w:rFonts w:ascii="Arial" w:cs="Arial" w:eastAsia="Arial" w:hAnsi="Arial"/>
          <w:sz w:val="18"/>
          <w:szCs w:val="18"/>
          <w:color w:val="auto"/>
        </w:rPr>
      </w:pPr>
      <w:r>
        <w:rPr>
          <w:rFonts w:ascii="Arial" w:cs="Arial" w:eastAsia="Arial" w:hAnsi="Arial"/>
          <w:sz w:val="18"/>
          <w:szCs w:val="18"/>
          <w:color w:val="auto"/>
        </w:rPr>
        <w:t>3,276,551 shares of Class A Common Stock (2)</w:t>
      </w:r>
    </w:p>
    <w:p>
      <w:pPr>
        <w:spacing w:after="0" w:line="318" w:lineRule="exact"/>
        <w:rPr>
          <w:rFonts w:ascii="Arial" w:cs="Arial" w:eastAsia="Arial" w:hAnsi="Arial"/>
          <w:sz w:val="18"/>
          <w:szCs w:val="18"/>
          <w:color w:val="auto"/>
        </w:rPr>
      </w:pPr>
    </w:p>
    <w:p>
      <w:pPr>
        <w:ind w:left="752" w:right="5680" w:hanging="469"/>
        <w:spacing w:after="0" w:line="277" w:lineRule="auto"/>
        <w:tabs>
          <w:tab w:leader="none" w:pos="7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3,276,551 shares of Class A Common Stock (2)</w:t>
      </w:r>
    </w:p>
    <w:p>
      <w:pPr>
        <w:spacing w:after="0" w:line="278" w:lineRule="exact"/>
        <w:rPr>
          <w:rFonts w:ascii="Arial" w:cs="Arial" w:eastAsia="Arial" w:hAnsi="Arial"/>
          <w:sz w:val="18"/>
          <w:szCs w:val="18"/>
          <w:color w:val="auto"/>
        </w:rPr>
      </w:pPr>
    </w:p>
    <w:p>
      <w:pPr>
        <w:ind w:left="752" w:hanging="469"/>
        <w:spacing w:after="0"/>
        <w:tabs>
          <w:tab w:leader="none" w:pos="7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333" w:lineRule="exact"/>
        <w:rPr>
          <w:rFonts w:ascii="Arial" w:cs="Arial" w:eastAsia="Arial" w:hAnsi="Arial"/>
          <w:sz w:val="18"/>
          <w:szCs w:val="18"/>
          <w:color w:val="auto"/>
        </w:rPr>
      </w:pPr>
    </w:p>
    <w:p>
      <w:pPr>
        <w:ind w:left="752" w:hanging="469"/>
        <w:spacing w:after="0"/>
        <w:tabs>
          <w:tab w:leader="none" w:pos="7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7.4% of Common Stock (7.9% of Class A Common Stock) (3)(4)(5)</w:t>
      </w:r>
    </w:p>
    <w:p>
      <w:pPr>
        <w:spacing w:after="0" w:line="318" w:lineRule="exact"/>
        <w:rPr>
          <w:rFonts w:ascii="Arial" w:cs="Arial" w:eastAsia="Arial" w:hAnsi="Arial"/>
          <w:sz w:val="18"/>
          <w:szCs w:val="18"/>
          <w:color w:val="auto"/>
        </w:rPr>
      </w:pPr>
    </w:p>
    <w:p>
      <w:pPr>
        <w:ind w:left="752" w:hanging="469"/>
        <w:spacing w:after="0"/>
        <w:tabs>
          <w:tab w:leader="none" w:pos="752" w:val="left"/>
        </w:tabs>
        <w:numPr>
          <w:ilvl w:val="1"/>
          <w:numId w:val="2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8" w:lineRule="exact"/>
        <w:rPr>
          <w:rFonts w:ascii="Arial" w:cs="Arial" w:eastAsia="Arial" w:hAnsi="Arial"/>
          <w:sz w:val="18"/>
          <w:szCs w:val="18"/>
          <w:color w:val="auto"/>
        </w:rPr>
      </w:pPr>
    </w:p>
    <w:p>
      <w:pPr>
        <w:ind w:left="332" w:hanging="332"/>
        <w:spacing w:after="0"/>
        <w:tabs>
          <w:tab w:leader="none" w:pos="332"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46" w:lineRule="exact"/>
        <w:rPr>
          <w:rFonts w:ascii="Arial" w:cs="Arial" w:eastAsia="Arial" w:hAnsi="Arial"/>
          <w:sz w:val="16"/>
          <w:szCs w:val="16"/>
          <w:color w:val="auto"/>
        </w:rPr>
      </w:pPr>
    </w:p>
    <w:p>
      <w:pPr>
        <w:ind w:left="332" w:right="100" w:hanging="332"/>
        <w:spacing w:after="0" w:line="250" w:lineRule="auto"/>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Consists of 2,742,223 shares held of the Issuer’s Class A common stock held by 2018 LP and 534,328 shares held of the Issuer’s Class A common stock held by 2016 LP. 2018 LLC is the general partner of 2018 LP and 2016 LLC is the general partner of 2016 LP. The Managing Members are managing managers of each of 2018 LLC and 2016 LLC. 2018 LP, 2018 LLC and the Managing Members share power to direct the voting and disposition of the shares held by 2018 LP and 2016 LP, 2016 LLC and the Managing Members share power to direct the voting and disposition of the shares held by 2016 LP. The information with respect to the ownership of the Class A common stock by the Reporting Persons filing this statement on Schedule 13G is provided as of December 31, 2021.</w:t>
      </w:r>
    </w:p>
    <w:p>
      <w:pPr>
        <w:spacing w:after="0" w:line="2" w:lineRule="exact"/>
        <w:rPr>
          <w:rFonts w:ascii="Arial" w:cs="Arial" w:eastAsia="Arial" w:hAnsi="Arial"/>
          <w:sz w:val="18"/>
          <w:szCs w:val="18"/>
          <w:color w:val="auto"/>
        </w:rPr>
      </w:pPr>
    </w:p>
    <w:p>
      <w:pPr>
        <w:ind w:left="332" w:right="180" w:hanging="332"/>
        <w:spacing w:after="0" w:line="250" w:lineRule="auto"/>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Common Stock beneficial ownership percentage is based on a total of 44,390,865 shares of Common Stock (41,714,711 shares of Class A Common Stock and 2,676,154 shares of Class B Common Stock) outstanding as of September 30, 2021, as reported on the Issuer’s Quarterly Report on Form 10-Q for the quarter ended September 30, 2021, filed with the SEC on November 10, 2021.</w:t>
      </w:r>
    </w:p>
    <w:p>
      <w:pPr>
        <w:spacing w:after="0" w:line="1" w:lineRule="exact"/>
        <w:rPr>
          <w:rFonts w:ascii="Arial" w:cs="Arial" w:eastAsia="Arial" w:hAnsi="Arial"/>
          <w:sz w:val="18"/>
          <w:szCs w:val="18"/>
          <w:color w:val="auto"/>
        </w:rPr>
      </w:pPr>
    </w:p>
    <w:p>
      <w:pPr>
        <w:ind w:left="332" w:right="200" w:hanging="332"/>
        <w:spacing w:after="0" w:line="250" w:lineRule="auto"/>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Class A Common Stock beneficial ownership percentage is based on 41,714,711 shares of the Issuer’s Class A Common Stock outstanding as of September 30, 2021, as reported on the Issuer’s Quarterly Report on Form 10-Q for the quarter ended September 30, 2021, filed with the SEC on November 10, 2021.</w:t>
      </w:r>
    </w:p>
    <w:p>
      <w:pPr>
        <w:spacing w:after="0" w:line="1" w:lineRule="exact"/>
        <w:rPr>
          <w:rFonts w:ascii="Arial" w:cs="Arial" w:eastAsia="Arial" w:hAnsi="Arial"/>
          <w:sz w:val="18"/>
          <w:szCs w:val="18"/>
          <w:color w:val="auto"/>
        </w:rPr>
      </w:pPr>
    </w:p>
    <w:p>
      <w:pPr>
        <w:ind w:left="332" w:hanging="332"/>
        <w:spacing w:after="0"/>
        <w:tabs>
          <w:tab w:leader="none" w:pos="33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shares beneficially owned by the Reporting Person represent 3.4% of the combined voting power of the Issuer’s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-2059305</wp:posOffset>
            </wp:positionV>
            <wp:extent cx="66948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-2539365</wp:posOffset>
            </wp:positionV>
            <wp:extent cx="66948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-3019425</wp:posOffset>
            </wp:positionV>
            <wp:extent cx="66948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-3362325</wp:posOffset>
            </wp:positionV>
            <wp:extent cx="669480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-3842385</wp:posOffset>
            </wp:positionV>
            <wp:extent cx="58464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32"/>
          </w:cols>
          <w:pgMar w:left="328" w:top="962" w:right="339" w:bottom="1440" w:gutter="0" w:footer="0" w:header="0"/>
        </w:sectPr>
      </w:pPr>
    </w:p>
    <w:bookmarkStart w:id="6" w:name="page7"/>
    <w:bookmarkEnd w:id="6"/>
    <w:p>
      <w:pPr>
        <w:ind w:left="52"/>
        <w:spacing w:after="0"/>
        <w:rPr>
          <w:sz w:val="20"/>
          <w:szCs w:val="20"/>
          <w:color w:val="auto"/>
        </w:rPr>
      </w:pPr>
      <w:r>
        <w:rPr>
          <w:rFonts w:ascii="Arial" w:cs="Arial" w:eastAsia="Arial" w:hAnsi="Arial"/>
          <w:sz w:val="18"/>
          <w:szCs w:val="18"/>
          <w:color w:val="auto"/>
        </w:rPr>
        <w:t>CUSIP No. 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752" w:right="8420" w:hanging="469"/>
        <w:spacing w:after="0" w:line="277" w:lineRule="auto"/>
        <w:tabs>
          <w:tab w:leader="none" w:pos="7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Names of Reporting Persons Seth Levine</w:t>
      </w:r>
    </w:p>
    <w:p>
      <w:pPr>
        <w:spacing w:after="0" w:line="278" w:lineRule="exact"/>
        <w:rPr>
          <w:rFonts w:ascii="Arial" w:cs="Arial" w:eastAsia="Arial" w:hAnsi="Arial"/>
          <w:sz w:val="18"/>
          <w:szCs w:val="18"/>
          <w:color w:val="auto"/>
        </w:rPr>
      </w:pPr>
    </w:p>
    <w:p>
      <w:pPr>
        <w:ind w:left="752" w:hanging="469"/>
        <w:spacing w:after="0"/>
        <w:tabs>
          <w:tab w:leader="none" w:pos="7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365" w:lineRule="exact"/>
        <w:rPr>
          <w:rFonts w:ascii="Arial" w:cs="Arial" w:eastAsia="Arial" w:hAnsi="Arial"/>
          <w:sz w:val="18"/>
          <w:szCs w:val="18"/>
          <w:color w:val="auto"/>
        </w:rPr>
      </w:pPr>
    </w:p>
    <w:p>
      <w:pPr>
        <w:ind w:left="752" w:hanging="469"/>
        <w:spacing w:after="0"/>
        <w:tabs>
          <w:tab w:leader="none" w:pos="7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752" w:right="7860" w:hanging="469"/>
        <w:spacing w:after="0" w:line="342" w:lineRule="auto"/>
        <w:tabs>
          <w:tab w:leader="none" w:pos="752" w:val="left"/>
        </w:tabs>
        <w:numPr>
          <w:ilvl w:val="0"/>
          <w:numId w:val="23"/>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-14605</wp:posOffset>
            </wp:positionV>
            <wp:extent cx="66948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-494665</wp:posOffset>
            </wp:positionV>
            <wp:extent cx="66948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-837565</wp:posOffset>
            </wp:positionV>
            <wp:extent cx="61976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-1052195</wp:posOffset>
            </wp:positionV>
            <wp:extent cx="61976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-1600835</wp:posOffset>
            </wp:positionV>
            <wp:extent cx="66948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25"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23"/>
                <w:szCs w:val="23"/>
                <w:color w:val="auto"/>
              </w:rPr>
            </w:pPr>
          </w:p>
        </w:tc>
        <w:tc>
          <w:tcPr>
            <w:tcW w:w="9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3,276,551 shares of Class A Common Stock (2)</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860" w:type="dxa"/>
            <w:vAlign w:val="bottom"/>
          </w:tcPr>
          <w:p>
            <w:pPr>
              <w:spacing w:after="0"/>
              <w:rPr>
                <w:sz w:val="18"/>
                <w:szCs w:val="18"/>
                <w:color w:val="auto"/>
              </w:rPr>
            </w:pPr>
          </w:p>
        </w:tc>
        <w:tc>
          <w:tcPr>
            <w:tcW w:w="920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9"/>
                <w:szCs w:val="9"/>
                <w:color w:val="auto"/>
              </w:rPr>
            </w:pPr>
          </w:p>
        </w:tc>
        <w:tc>
          <w:tcPr>
            <w:tcW w:w="9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72" w:hanging="655"/>
        <w:spacing w:after="0"/>
        <w:tabs>
          <w:tab w:leader="none" w:pos="2072"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072"/>
        <w:spacing w:after="0"/>
        <w:rPr>
          <w:rFonts w:ascii="Arial" w:cs="Arial" w:eastAsia="Arial" w:hAnsi="Arial"/>
          <w:sz w:val="18"/>
          <w:szCs w:val="18"/>
          <w:color w:val="auto"/>
        </w:rPr>
      </w:pPr>
      <w:r>
        <w:rPr>
          <w:rFonts w:ascii="Arial" w:cs="Arial" w:eastAsia="Arial" w:hAnsi="Arial"/>
          <w:sz w:val="18"/>
          <w:szCs w:val="18"/>
          <w:color w:val="auto"/>
        </w:rPr>
        <w:t>3,276,551 shares of Class A Common Stock (2)</w:t>
      </w:r>
    </w:p>
    <w:p>
      <w:pPr>
        <w:spacing w:after="0" w:line="318" w:lineRule="exact"/>
        <w:rPr>
          <w:rFonts w:ascii="Arial" w:cs="Arial" w:eastAsia="Arial" w:hAnsi="Arial"/>
          <w:sz w:val="18"/>
          <w:szCs w:val="18"/>
          <w:color w:val="auto"/>
        </w:rPr>
      </w:pPr>
    </w:p>
    <w:p>
      <w:pPr>
        <w:ind w:left="752" w:right="5680" w:hanging="469"/>
        <w:spacing w:after="0" w:line="277" w:lineRule="auto"/>
        <w:tabs>
          <w:tab w:leader="none" w:pos="7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3,276,551 shares of Class A Common Stock (2)</w:t>
      </w:r>
    </w:p>
    <w:p>
      <w:pPr>
        <w:spacing w:after="0" w:line="278" w:lineRule="exact"/>
        <w:rPr>
          <w:rFonts w:ascii="Arial" w:cs="Arial" w:eastAsia="Arial" w:hAnsi="Arial"/>
          <w:sz w:val="18"/>
          <w:szCs w:val="18"/>
          <w:color w:val="auto"/>
        </w:rPr>
      </w:pPr>
    </w:p>
    <w:p>
      <w:pPr>
        <w:ind w:left="752" w:hanging="469"/>
        <w:spacing w:after="0"/>
        <w:tabs>
          <w:tab w:leader="none" w:pos="7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333" w:lineRule="exact"/>
        <w:rPr>
          <w:rFonts w:ascii="Arial" w:cs="Arial" w:eastAsia="Arial" w:hAnsi="Arial"/>
          <w:sz w:val="18"/>
          <w:szCs w:val="18"/>
          <w:color w:val="auto"/>
        </w:rPr>
      </w:pPr>
    </w:p>
    <w:p>
      <w:pPr>
        <w:ind w:left="752" w:hanging="469"/>
        <w:spacing w:after="0"/>
        <w:tabs>
          <w:tab w:leader="none" w:pos="7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7.4% of Common Stock (7.9% of Class A Common Stock) (3)(4)(5)</w:t>
      </w:r>
    </w:p>
    <w:p>
      <w:pPr>
        <w:spacing w:after="0" w:line="318" w:lineRule="exact"/>
        <w:rPr>
          <w:rFonts w:ascii="Arial" w:cs="Arial" w:eastAsia="Arial" w:hAnsi="Arial"/>
          <w:sz w:val="18"/>
          <w:szCs w:val="18"/>
          <w:color w:val="auto"/>
        </w:rPr>
      </w:pPr>
    </w:p>
    <w:p>
      <w:pPr>
        <w:ind w:left="752" w:hanging="469"/>
        <w:spacing w:after="0"/>
        <w:tabs>
          <w:tab w:leader="none" w:pos="7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8" w:lineRule="exact"/>
        <w:rPr>
          <w:rFonts w:ascii="Arial" w:cs="Arial" w:eastAsia="Arial" w:hAnsi="Arial"/>
          <w:sz w:val="18"/>
          <w:szCs w:val="18"/>
          <w:color w:val="auto"/>
        </w:rPr>
      </w:pPr>
    </w:p>
    <w:p>
      <w:pPr>
        <w:ind w:left="332" w:hanging="332"/>
        <w:spacing w:after="0"/>
        <w:tabs>
          <w:tab w:leader="none" w:pos="3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46" w:lineRule="exact"/>
        <w:rPr>
          <w:rFonts w:ascii="Arial" w:cs="Arial" w:eastAsia="Arial" w:hAnsi="Arial"/>
          <w:sz w:val="16"/>
          <w:szCs w:val="16"/>
          <w:color w:val="auto"/>
        </w:rPr>
      </w:pPr>
    </w:p>
    <w:p>
      <w:pPr>
        <w:ind w:left="332" w:right="100" w:hanging="332"/>
        <w:spacing w:after="0" w:line="250" w:lineRule="auto"/>
        <w:tabs>
          <w:tab w:leader="none" w:pos="3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2,742,223 shares held of the Issuer’s Class A common stock held by 2018 LP and 534,328 shares held of the Issuer’s Class A common stock held by 2016 LP. 2018 LLC is the general partner of 2018 LP and 2016 LLC is the general partner of 2016 LP. The Managing Members are managing managers of each of 2018 LLC and 2016 LLC. 2018 LP, 2018 LLC and the Managing Members share power to direct the voting and disposition of the shares held by 2018 LP and 2016 LP, 2016 LLC and the Managing Members share power to direct the voting and disposition of the shares held by 2016 LP. The information with respect to the ownership of the Class A common stock by the Reporting Persons filing this statement on Schedule 13G is provided as of December 31, 2021.</w:t>
      </w:r>
    </w:p>
    <w:p>
      <w:pPr>
        <w:spacing w:after="0" w:line="2" w:lineRule="exact"/>
        <w:rPr>
          <w:rFonts w:ascii="Arial" w:cs="Arial" w:eastAsia="Arial" w:hAnsi="Arial"/>
          <w:sz w:val="18"/>
          <w:szCs w:val="18"/>
          <w:color w:val="auto"/>
        </w:rPr>
      </w:pPr>
    </w:p>
    <w:p>
      <w:pPr>
        <w:ind w:left="332" w:right="180" w:hanging="332"/>
        <w:spacing w:after="0" w:line="250" w:lineRule="auto"/>
        <w:tabs>
          <w:tab w:leader="none" w:pos="3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Common Stock beneficial ownership percentage is based on a total of 44,390,865 shares of Common Stock (41,714,711 shares of Class A Common Stock and 2,676,154 shares of Class B Common Stock) outstanding as of September 30, 2021, as reported on the Issuer’s Quarterly Report on Form 10-Q for the quarter ended September 30, 2021, filed with the SEC on November 10, 2021.</w:t>
      </w:r>
    </w:p>
    <w:p>
      <w:pPr>
        <w:spacing w:after="0" w:line="1" w:lineRule="exact"/>
        <w:rPr>
          <w:rFonts w:ascii="Arial" w:cs="Arial" w:eastAsia="Arial" w:hAnsi="Arial"/>
          <w:sz w:val="18"/>
          <w:szCs w:val="18"/>
          <w:color w:val="auto"/>
        </w:rPr>
      </w:pPr>
    </w:p>
    <w:p>
      <w:pPr>
        <w:ind w:left="332" w:right="200" w:hanging="332"/>
        <w:spacing w:after="0" w:line="250" w:lineRule="auto"/>
        <w:tabs>
          <w:tab w:leader="none" w:pos="3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Class A Common Stock beneficial ownership percentage is based on 41,714,711 shares of the Issuer’s Class A Common Stock outstanding as of September 30, 2021, as reported on the Issuer’s Quarterly Report on Form 10-Q for the quarter ended September 30, 2021, filed with the SEC on November 10, 2021.</w:t>
      </w:r>
    </w:p>
    <w:p>
      <w:pPr>
        <w:spacing w:after="0" w:line="1" w:lineRule="exact"/>
        <w:rPr>
          <w:rFonts w:ascii="Arial" w:cs="Arial" w:eastAsia="Arial" w:hAnsi="Arial"/>
          <w:sz w:val="18"/>
          <w:szCs w:val="18"/>
          <w:color w:val="auto"/>
        </w:rPr>
      </w:pPr>
    </w:p>
    <w:p>
      <w:pPr>
        <w:ind w:left="332" w:hanging="332"/>
        <w:spacing w:after="0"/>
        <w:tabs>
          <w:tab w:leader="none" w:pos="332"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shares beneficially owned by the Reporting Person represent 3.4% of the combined voting power of the Issuer’s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-2059305</wp:posOffset>
            </wp:positionV>
            <wp:extent cx="66948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-2539365</wp:posOffset>
            </wp:positionV>
            <wp:extent cx="66948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-3019425</wp:posOffset>
            </wp:positionV>
            <wp:extent cx="66948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-3362325</wp:posOffset>
            </wp:positionV>
            <wp:extent cx="66948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-3842385</wp:posOffset>
            </wp:positionV>
            <wp:extent cx="58464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62" w:right="339" w:bottom="1440" w:gutter="0" w:footer="0" w:header="0"/>
        </w:sectPr>
      </w:pPr>
    </w:p>
    <w:bookmarkStart w:id="7" w:name="page8"/>
    <w:bookmarkEnd w:id="7"/>
    <w:p>
      <w:pPr>
        <w:ind w:left="52"/>
        <w:spacing w:after="0"/>
        <w:rPr>
          <w:sz w:val="20"/>
          <w:szCs w:val="20"/>
          <w:color w:val="auto"/>
        </w:rPr>
      </w:pPr>
      <w:r>
        <w:rPr>
          <w:rFonts w:ascii="Arial" w:cs="Arial" w:eastAsia="Arial" w:hAnsi="Arial"/>
          <w:sz w:val="18"/>
          <w:szCs w:val="18"/>
          <w:color w:val="auto"/>
        </w:rPr>
        <w:t>CUSIP No. 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752" w:right="8420" w:hanging="469"/>
        <w:spacing w:after="0" w:line="308" w:lineRule="auto"/>
        <w:tabs>
          <w:tab w:leader="none" w:pos="752" w:val="left"/>
        </w:tabs>
        <w:numPr>
          <w:ilvl w:val="0"/>
          <w:numId w:val="27"/>
        </w:numPr>
        <w:rPr>
          <w:rFonts w:ascii="Arial" w:cs="Arial" w:eastAsia="Arial" w:hAnsi="Arial"/>
          <w:sz w:val="17"/>
          <w:szCs w:val="17"/>
          <w:color w:val="auto"/>
        </w:rPr>
      </w:pPr>
      <w:r>
        <w:rPr>
          <w:rFonts w:ascii="Arial" w:cs="Arial" w:eastAsia="Arial" w:hAnsi="Arial"/>
          <w:sz w:val="17"/>
          <w:szCs w:val="17"/>
          <w:color w:val="auto"/>
        </w:rPr>
        <w:t>Names of Reporting Persons Ryan A. McIntyre</w:t>
      </w:r>
    </w:p>
    <w:p>
      <w:pPr>
        <w:spacing w:after="0" w:line="254" w:lineRule="exact"/>
        <w:rPr>
          <w:rFonts w:ascii="Arial" w:cs="Arial" w:eastAsia="Arial" w:hAnsi="Arial"/>
          <w:sz w:val="17"/>
          <w:szCs w:val="17"/>
          <w:color w:val="auto"/>
        </w:rPr>
      </w:pPr>
    </w:p>
    <w:p>
      <w:pPr>
        <w:ind w:left="752" w:hanging="469"/>
        <w:spacing w:after="0"/>
        <w:tabs>
          <w:tab w:leader="none" w:pos="7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84"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2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30" w:lineRule="exact"/>
        <w:rPr>
          <w:rFonts w:ascii="Arial" w:cs="Arial" w:eastAsia="Arial" w:hAnsi="Arial"/>
          <w:sz w:val="18"/>
          <w:szCs w:val="18"/>
          <w:color w:val="auto"/>
        </w:rPr>
      </w:pPr>
    </w:p>
    <w:p>
      <w:pPr>
        <w:ind w:left="1532" w:hanging="790"/>
        <w:spacing w:after="0" w:line="207" w:lineRule="exact"/>
        <w:tabs>
          <w:tab w:leader="none" w:pos="1532" w:val="left"/>
        </w:tabs>
        <w:numPr>
          <w:ilvl w:val="1"/>
          <w:numId w:val="2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(1)</w:t>
      </w:r>
    </w:p>
    <w:p>
      <w:pPr>
        <w:spacing w:after="0" w:line="365" w:lineRule="exact"/>
        <w:rPr>
          <w:rFonts w:ascii="Arial" w:cs="Arial" w:eastAsia="Arial" w:hAnsi="Arial"/>
          <w:sz w:val="18"/>
          <w:szCs w:val="18"/>
          <w:color w:val="auto"/>
        </w:rPr>
      </w:pPr>
    </w:p>
    <w:p>
      <w:pPr>
        <w:ind w:left="752" w:hanging="469"/>
        <w:spacing w:after="0"/>
        <w:tabs>
          <w:tab w:leader="none" w:pos="7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752" w:right="7860" w:hanging="469"/>
        <w:spacing w:after="0" w:line="342" w:lineRule="auto"/>
        <w:tabs>
          <w:tab w:leader="none" w:pos="752" w:val="left"/>
        </w:tabs>
        <w:numPr>
          <w:ilvl w:val="0"/>
          <w:numId w:val="27"/>
        </w:numPr>
        <w:rPr>
          <w:rFonts w:ascii="Arial" w:cs="Arial" w:eastAsia="Arial" w:hAnsi="Arial"/>
          <w:sz w:val="16"/>
          <w:szCs w:val="16"/>
          <w:color w:val="auto"/>
        </w:rPr>
      </w:pPr>
      <w:r>
        <w:rPr>
          <w:rFonts w:ascii="Arial" w:cs="Arial" w:eastAsia="Arial" w:hAnsi="Arial"/>
          <w:sz w:val="16"/>
          <w:szCs w:val="16"/>
          <w:color w:val="auto"/>
        </w:rPr>
        <w:t>Citizenship or Place of Organization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-14605</wp:posOffset>
            </wp:positionV>
            <wp:extent cx="66948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-494665</wp:posOffset>
            </wp:positionV>
            <wp:extent cx="66948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-837565</wp:posOffset>
            </wp:positionV>
            <wp:extent cx="61976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934085</wp:posOffset>
            </wp:positionH>
            <wp:positionV relativeFrom="paragraph">
              <wp:posOffset>-1052195</wp:posOffset>
            </wp:positionV>
            <wp:extent cx="61976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97600"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-1600835</wp:posOffset>
            </wp:positionV>
            <wp:extent cx="66948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94805" cy="8255"/>
                    </a:xfrm>
                    <a:prstGeom prst="rect">
                      <a:avLst/>
                    </a:prstGeom>
                    <a:noFill/>
                  </pic:spPr>
                </pic:pic>
              </a:graphicData>
            </a:graphic>
          </wp:anchor>
        </w:drawing>
      </w:r>
    </w:p>
    <w:p>
      <w:pPr>
        <w:spacing w:after="0" w:line="225" w:lineRule="exact"/>
        <w:rPr>
          <w:sz w:val="20"/>
          <w:szCs w:val="20"/>
          <w:color w:val="auto"/>
        </w:rPr>
      </w:pPr>
    </w:p>
    <w:tbl>
      <w:tblPr>
        <w:tblLayout w:type="fixed"/>
        <w:tblInd w:w="52"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5.</w:t>
            </w:r>
          </w:p>
        </w:tc>
        <w:tc>
          <w:tcPr>
            <w:tcW w:w="920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0" w:type="dxa"/>
            <w:vAlign w:val="bottom"/>
          </w:tcPr>
          <w:p>
            <w:pPr>
              <w:ind w:lef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12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60" w:type="dxa"/>
            <w:vAlign w:val="bottom"/>
          </w:tcPr>
          <w:p>
            <w:pPr>
              <w:spacing w:after="0"/>
              <w:rPr>
                <w:sz w:val="4"/>
                <w:szCs w:val="4"/>
                <w:color w:val="auto"/>
              </w:rPr>
            </w:pPr>
          </w:p>
        </w:tc>
        <w:tc>
          <w:tcPr>
            <w:tcW w:w="9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120" w:type="dxa"/>
            <w:vAlign w:val="bottom"/>
            <w:vMerge w:val="continue"/>
          </w:tcPr>
          <w:p>
            <w:pPr>
              <w:spacing w:after="0"/>
              <w:rPr>
                <w:sz w:val="24"/>
                <w:szCs w:val="24"/>
                <w:color w:val="auto"/>
              </w:rPr>
            </w:pPr>
          </w:p>
        </w:tc>
        <w:tc>
          <w:tcPr>
            <w:tcW w:w="860" w:type="dxa"/>
            <w:vAlign w:val="bottom"/>
            <w:vMerge w:val="restart"/>
          </w:tcPr>
          <w:p>
            <w:pPr>
              <w:jc w:val="right"/>
              <w:ind w:right="390"/>
              <w:spacing w:after="0"/>
              <w:rPr>
                <w:sz w:val="20"/>
                <w:szCs w:val="20"/>
                <w:color w:val="auto"/>
              </w:rPr>
            </w:pPr>
            <w:r>
              <w:rPr>
                <w:rFonts w:ascii="Arial" w:cs="Arial" w:eastAsia="Arial" w:hAnsi="Arial"/>
                <w:sz w:val="18"/>
                <w:szCs w:val="18"/>
                <w:color w:val="auto"/>
              </w:rPr>
              <w:t>6.</w:t>
            </w:r>
          </w:p>
        </w:tc>
        <w:tc>
          <w:tcPr>
            <w:tcW w:w="9200" w:type="dxa"/>
            <w:vAlign w:val="bottom"/>
            <w:vMerge w:val="restart"/>
          </w:tcPr>
          <w:p>
            <w:pPr>
              <w:ind w:left="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12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860" w:type="dxa"/>
            <w:vAlign w:val="bottom"/>
            <w:vMerge w:val="continue"/>
          </w:tcPr>
          <w:p>
            <w:pPr>
              <w:spacing w:after="0"/>
              <w:rPr>
                <w:sz w:val="15"/>
                <w:szCs w:val="15"/>
                <w:color w:val="auto"/>
              </w:rPr>
            </w:pPr>
          </w:p>
        </w:tc>
        <w:tc>
          <w:tcPr>
            <w:tcW w:w="9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Beneficially</w:t>
            </w:r>
          </w:p>
        </w:tc>
        <w:tc>
          <w:tcPr>
            <w:tcW w:w="860" w:type="dxa"/>
            <w:vAlign w:val="bottom"/>
          </w:tcPr>
          <w:p>
            <w:pPr>
              <w:spacing w:after="0"/>
              <w:rPr>
                <w:sz w:val="23"/>
                <w:szCs w:val="23"/>
                <w:color w:val="auto"/>
              </w:rPr>
            </w:pPr>
          </w:p>
        </w:tc>
        <w:tc>
          <w:tcPr>
            <w:tcW w:w="9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3,276,551 shares of Class A Common Stock (2)</w:t>
            </w:r>
          </w:p>
        </w:tc>
        <w:tc>
          <w:tcPr>
            <w:tcW w:w="0" w:type="dxa"/>
            <w:vAlign w:val="bottom"/>
          </w:tcPr>
          <w:p>
            <w:pPr>
              <w:spacing w:after="0"/>
              <w:rPr>
                <w:sz w:val="1"/>
                <w:szCs w:val="1"/>
                <w:color w:val="auto"/>
              </w:rPr>
            </w:pPr>
          </w:p>
        </w:tc>
      </w:tr>
      <w:tr>
        <w:trPr>
          <w:trHeight w:val="182"/>
        </w:trPr>
        <w:tc>
          <w:tcPr>
            <w:tcW w:w="112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6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Each</w:t>
            </w:r>
          </w:p>
        </w:tc>
        <w:tc>
          <w:tcPr>
            <w:tcW w:w="860" w:type="dxa"/>
            <w:vAlign w:val="bottom"/>
          </w:tcPr>
          <w:p>
            <w:pPr>
              <w:jc w:val="right"/>
              <w:ind w:right="390"/>
              <w:spacing w:after="0"/>
              <w:rPr>
                <w:sz w:val="20"/>
                <w:szCs w:val="20"/>
                <w:color w:val="auto"/>
              </w:rPr>
            </w:pPr>
            <w:r>
              <w:rPr>
                <w:rFonts w:ascii="Arial" w:cs="Arial" w:eastAsia="Arial" w:hAnsi="Arial"/>
                <w:sz w:val="18"/>
                <w:szCs w:val="18"/>
                <w:color w:val="auto"/>
              </w:rPr>
              <w:t>7.</w:t>
            </w:r>
          </w:p>
        </w:tc>
        <w:tc>
          <w:tcPr>
            <w:tcW w:w="920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Reporting</w:t>
            </w:r>
          </w:p>
        </w:tc>
        <w:tc>
          <w:tcPr>
            <w:tcW w:w="860" w:type="dxa"/>
            <w:vAlign w:val="bottom"/>
          </w:tcPr>
          <w:p>
            <w:pPr>
              <w:spacing w:after="0"/>
              <w:rPr>
                <w:sz w:val="18"/>
                <w:szCs w:val="18"/>
                <w:color w:val="auto"/>
              </w:rPr>
            </w:pPr>
          </w:p>
        </w:tc>
        <w:tc>
          <w:tcPr>
            <w:tcW w:w="9200" w:type="dxa"/>
            <w:vAlign w:val="bottom"/>
          </w:tcPr>
          <w:p>
            <w:pPr>
              <w:ind w:lef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12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860" w:type="dxa"/>
            <w:vAlign w:val="bottom"/>
          </w:tcPr>
          <w:p>
            <w:pPr>
              <w:spacing w:after="0"/>
              <w:rPr>
                <w:sz w:val="9"/>
                <w:szCs w:val="9"/>
                <w:color w:val="auto"/>
              </w:rPr>
            </w:pPr>
          </w:p>
        </w:tc>
        <w:tc>
          <w:tcPr>
            <w:tcW w:w="92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860" w:type="dxa"/>
            <w:vAlign w:val="bottom"/>
          </w:tcPr>
          <w:p>
            <w:pPr>
              <w:spacing w:after="0"/>
              <w:rPr>
                <w:sz w:val="8"/>
                <w:szCs w:val="8"/>
                <w:color w:val="auto"/>
              </w:rPr>
            </w:pPr>
          </w:p>
        </w:tc>
        <w:tc>
          <w:tcPr>
            <w:tcW w:w="9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2072" w:hanging="655"/>
        <w:spacing w:after="0"/>
        <w:tabs>
          <w:tab w:leader="none" w:pos="2072" w:val="left"/>
        </w:tabs>
        <w:numPr>
          <w:ilvl w:val="2"/>
          <w:numId w:val="2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072"/>
        <w:spacing w:after="0"/>
        <w:rPr>
          <w:rFonts w:ascii="Arial" w:cs="Arial" w:eastAsia="Arial" w:hAnsi="Arial"/>
          <w:sz w:val="18"/>
          <w:szCs w:val="18"/>
          <w:color w:val="auto"/>
        </w:rPr>
      </w:pPr>
      <w:r>
        <w:rPr>
          <w:rFonts w:ascii="Arial" w:cs="Arial" w:eastAsia="Arial" w:hAnsi="Arial"/>
          <w:sz w:val="18"/>
          <w:szCs w:val="18"/>
          <w:color w:val="auto"/>
        </w:rPr>
        <w:t>3,276,551 shares of Class A Common Stock (2)</w:t>
      </w:r>
    </w:p>
    <w:p>
      <w:pPr>
        <w:spacing w:after="0" w:line="318" w:lineRule="exact"/>
        <w:rPr>
          <w:rFonts w:ascii="Arial" w:cs="Arial" w:eastAsia="Arial" w:hAnsi="Arial"/>
          <w:sz w:val="18"/>
          <w:szCs w:val="18"/>
          <w:color w:val="auto"/>
        </w:rPr>
      </w:pPr>
    </w:p>
    <w:p>
      <w:pPr>
        <w:ind w:left="752" w:right="5680" w:hanging="469"/>
        <w:spacing w:after="0" w:line="277" w:lineRule="auto"/>
        <w:tabs>
          <w:tab w:leader="none" w:pos="7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3,276,551 shares of Class A Common Stock (2)</w:t>
      </w:r>
    </w:p>
    <w:p>
      <w:pPr>
        <w:spacing w:after="0" w:line="278" w:lineRule="exact"/>
        <w:rPr>
          <w:rFonts w:ascii="Arial" w:cs="Arial" w:eastAsia="Arial" w:hAnsi="Arial"/>
          <w:sz w:val="18"/>
          <w:szCs w:val="18"/>
          <w:color w:val="auto"/>
        </w:rPr>
      </w:pPr>
    </w:p>
    <w:p>
      <w:pPr>
        <w:ind w:left="752" w:hanging="469"/>
        <w:spacing w:after="0"/>
        <w:tabs>
          <w:tab w:leader="none" w:pos="7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333" w:lineRule="exact"/>
        <w:rPr>
          <w:rFonts w:ascii="Arial" w:cs="Arial" w:eastAsia="Arial" w:hAnsi="Arial"/>
          <w:sz w:val="18"/>
          <w:szCs w:val="18"/>
          <w:color w:val="auto"/>
        </w:rPr>
      </w:pPr>
    </w:p>
    <w:p>
      <w:pPr>
        <w:ind w:left="752" w:hanging="469"/>
        <w:spacing w:after="0"/>
        <w:tabs>
          <w:tab w:leader="none" w:pos="7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7.4% of Common Stock (7.9% of Class A Common Stock) (3)(4)(5)</w:t>
      </w:r>
    </w:p>
    <w:p>
      <w:pPr>
        <w:spacing w:after="0" w:line="318" w:lineRule="exact"/>
        <w:rPr>
          <w:rFonts w:ascii="Arial" w:cs="Arial" w:eastAsia="Arial" w:hAnsi="Arial"/>
          <w:sz w:val="18"/>
          <w:szCs w:val="18"/>
          <w:color w:val="auto"/>
        </w:rPr>
      </w:pPr>
    </w:p>
    <w:p>
      <w:pPr>
        <w:ind w:left="752" w:hanging="469"/>
        <w:spacing w:after="0"/>
        <w:tabs>
          <w:tab w:leader="none" w:pos="752" w:val="left"/>
        </w:tabs>
        <w:numPr>
          <w:ilvl w:val="1"/>
          <w:numId w:val="2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7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8" w:lineRule="exact"/>
        <w:rPr>
          <w:rFonts w:ascii="Arial" w:cs="Arial" w:eastAsia="Arial" w:hAnsi="Arial"/>
          <w:sz w:val="18"/>
          <w:szCs w:val="18"/>
          <w:color w:val="auto"/>
        </w:rPr>
      </w:pPr>
    </w:p>
    <w:p>
      <w:pPr>
        <w:ind w:left="332" w:hanging="332"/>
        <w:spacing w:after="0"/>
        <w:tabs>
          <w:tab w:leader="none" w:pos="332"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This Schedule 13G is filed by the Reporting Persons. The Reporting Persons expressly disclaim status as a “group” for purposes of this Schedule 13G.</w:t>
      </w:r>
    </w:p>
    <w:p>
      <w:pPr>
        <w:spacing w:after="0" w:line="46" w:lineRule="exact"/>
        <w:rPr>
          <w:rFonts w:ascii="Arial" w:cs="Arial" w:eastAsia="Arial" w:hAnsi="Arial"/>
          <w:sz w:val="16"/>
          <w:szCs w:val="16"/>
          <w:color w:val="auto"/>
        </w:rPr>
      </w:pPr>
    </w:p>
    <w:p>
      <w:pPr>
        <w:ind w:left="332" w:right="100" w:hanging="332"/>
        <w:spacing w:after="0" w:line="250" w:lineRule="auto"/>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2,742,223 shares held of the Issuer’s Class A common stock held by 2018 LP and 534,328 shares held of the Issuer’s Class A common stock held by 2016 LP. 2018 LLC is the general partner of 2018 LP and 2016 LLC is the general partner of 2016 LP. The Managing Members are managing managers of each of 2018 LLC and 2016 LLC. 2018 LP, 2018 LLC and the Managing Members share power to direct the voting and disposition of the shares held by 2018 LP and 2016 LP, 2016 LLC and the Managing Members share power to direct the voting and disposition of the shares held by 2016 LP. The information with respect to the ownership of the Class A common stock by the Reporting Persons filing this statement on Schedule 13G is provided as of December 31, 2021.</w:t>
      </w:r>
    </w:p>
    <w:p>
      <w:pPr>
        <w:spacing w:after="0" w:line="2" w:lineRule="exact"/>
        <w:rPr>
          <w:rFonts w:ascii="Arial" w:cs="Arial" w:eastAsia="Arial" w:hAnsi="Arial"/>
          <w:sz w:val="18"/>
          <w:szCs w:val="18"/>
          <w:color w:val="auto"/>
        </w:rPr>
      </w:pPr>
    </w:p>
    <w:p>
      <w:pPr>
        <w:ind w:left="332" w:right="180" w:hanging="332"/>
        <w:spacing w:after="0" w:line="250" w:lineRule="auto"/>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Common Stock beneficial ownership percentage is based on a total of 44,390,865 shares of Common Stock (41,714,711 shares of Class A Common Stock and 2,676,154 shares of Class B Common Stock) outstanding as of September 30, 2021, as reported on the Issuer’s Quarterly Report on Form 10-Q for the quarter ended September 30, 2021, filed with the SEC on November 10, 2021.</w:t>
      </w:r>
    </w:p>
    <w:p>
      <w:pPr>
        <w:spacing w:after="0" w:line="1" w:lineRule="exact"/>
        <w:rPr>
          <w:rFonts w:ascii="Arial" w:cs="Arial" w:eastAsia="Arial" w:hAnsi="Arial"/>
          <w:sz w:val="18"/>
          <w:szCs w:val="18"/>
          <w:color w:val="auto"/>
        </w:rPr>
      </w:pPr>
    </w:p>
    <w:p>
      <w:pPr>
        <w:ind w:left="332" w:right="200" w:hanging="332"/>
        <w:spacing w:after="0" w:line="250" w:lineRule="auto"/>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Class A Common Stock beneficial ownership percentage is based on 41,714,711 shares of the Issuer’s Class A Common Stock outstanding as of September 30, 2021, as reported on the Issuer’s Quarterly Report on Form 10-Q for the quarter ended September 30, 2021, filed with the SEC on November 10, 2021.</w:t>
      </w:r>
    </w:p>
    <w:p>
      <w:pPr>
        <w:spacing w:after="0" w:line="1" w:lineRule="exact"/>
        <w:rPr>
          <w:rFonts w:ascii="Arial" w:cs="Arial" w:eastAsia="Arial" w:hAnsi="Arial"/>
          <w:sz w:val="18"/>
          <w:szCs w:val="18"/>
          <w:color w:val="auto"/>
        </w:rPr>
      </w:pPr>
    </w:p>
    <w:p>
      <w:pPr>
        <w:ind w:left="332" w:hanging="332"/>
        <w:spacing w:after="0"/>
        <w:tabs>
          <w:tab w:leader="none" w:pos="3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shares beneficially owned by the Reporting Person represent 3.4% of the combined voting power of the Issuer’s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-2059305</wp:posOffset>
            </wp:positionV>
            <wp:extent cx="669480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-2539365</wp:posOffset>
            </wp:positionV>
            <wp:extent cx="66948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-3019425</wp:posOffset>
            </wp:positionV>
            <wp:extent cx="669480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436880</wp:posOffset>
            </wp:positionH>
            <wp:positionV relativeFrom="paragraph">
              <wp:posOffset>-3362325</wp:posOffset>
            </wp:positionV>
            <wp:extent cx="66948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94805" cy="8255"/>
                    </a:xfrm>
                    <a:prstGeom prst="rect">
                      <a:avLst/>
                    </a:prstGeom>
                    <a:noFill/>
                  </pic:spPr>
                </pic:pic>
              </a:graphicData>
            </a:graphic>
          </wp:anchor>
        </w:drawing>
        <w:drawing>
          <wp:anchor simplePos="0" relativeHeight="251657728" behindDoc="1" locked="0" layoutInCell="0" allowOverlap="1">
            <wp:simplePos x="0" y="0"/>
            <wp:positionH relativeFrom="column">
              <wp:posOffset>1285875</wp:posOffset>
            </wp:positionH>
            <wp:positionV relativeFrom="paragraph">
              <wp:posOffset>-3842385</wp:posOffset>
            </wp:positionV>
            <wp:extent cx="584644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464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962"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1.</w:t>
      </w:r>
    </w:p>
    <w:p>
      <w:pPr>
        <w:spacing w:after="0" w:line="121" w:lineRule="exact"/>
        <w:rPr>
          <w:sz w:val="20"/>
          <w:szCs w:val="20"/>
          <w:color w:val="auto"/>
        </w:rPr>
      </w:pPr>
    </w:p>
    <w:p>
      <w:pPr>
        <w:ind w:left="1360" w:right="7640" w:hanging="454"/>
        <w:spacing w:after="0" w:line="342" w:lineRule="auto"/>
        <w:tabs>
          <w:tab w:leader="none" w:pos="13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Name of Issuer Xometry, Inc.</w:t>
      </w:r>
    </w:p>
    <w:p>
      <w:pPr>
        <w:spacing w:after="0" w:line="29" w:lineRule="exact"/>
        <w:rPr>
          <w:rFonts w:ascii="Arial" w:cs="Arial" w:eastAsia="Arial" w:hAnsi="Arial"/>
          <w:sz w:val="16"/>
          <w:szCs w:val="16"/>
          <w:color w:val="auto"/>
        </w:rPr>
      </w:pPr>
    </w:p>
    <w:p>
      <w:pPr>
        <w:ind w:left="1360" w:right="5340" w:hanging="454"/>
        <w:spacing w:after="0" w:line="258" w:lineRule="auto"/>
        <w:tabs>
          <w:tab w:leader="none" w:pos="1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Address of Issuer’s Principal Executive Offices 7529 Standish Place, Suite 200</w:t>
      </w:r>
    </w:p>
    <w:p>
      <w:pPr>
        <w:spacing w:after="0" w:line="1"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Derwood, MD 20855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40005</wp:posOffset>
            </wp:positionV>
            <wp:extent cx="62750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-447675</wp:posOffset>
            </wp:positionV>
            <wp:extent cx="62750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121" w:lineRule="exact"/>
        <w:rPr>
          <w:sz w:val="20"/>
          <w:szCs w:val="20"/>
          <w:color w:val="auto"/>
        </w:rPr>
      </w:pPr>
    </w:p>
    <w:p>
      <w:pPr>
        <w:ind w:left="1360" w:right="6200" w:hanging="454"/>
        <w:spacing w:after="0" w:line="253" w:lineRule="auto"/>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Name of Person Filing Foundry Group Next 2018, L.P. FG Next GP 2018, LLC Foundry Venture Capital 2016, L.P. Foundry Venture 2016, LLC Bradley A. Feld</w:t>
      </w:r>
    </w:p>
    <w:p>
      <w:pPr>
        <w:spacing w:after="0" w:line="1" w:lineRule="exact"/>
        <w:rPr>
          <w:rFonts w:ascii="Arial" w:cs="Arial" w:eastAsia="Arial" w:hAnsi="Arial"/>
          <w:sz w:val="18"/>
          <w:szCs w:val="18"/>
          <w:color w:val="auto"/>
        </w:rPr>
      </w:pPr>
    </w:p>
    <w:p>
      <w:pPr>
        <w:ind w:left="1360" w:right="7440"/>
        <w:spacing w:after="0" w:line="323" w:lineRule="auto"/>
        <w:rPr>
          <w:rFonts w:ascii="Arial" w:cs="Arial" w:eastAsia="Arial" w:hAnsi="Arial"/>
          <w:sz w:val="18"/>
          <w:szCs w:val="18"/>
          <w:color w:val="auto"/>
        </w:rPr>
      </w:pPr>
      <w:r>
        <w:rPr>
          <w:rFonts w:ascii="Arial" w:cs="Arial" w:eastAsia="Arial" w:hAnsi="Arial"/>
          <w:sz w:val="16"/>
          <w:szCs w:val="16"/>
          <w:color w:val="auto"/>
        </w:rPr>
        <w:t>Seth Levine Ryan A. McIntyre</w:t>
      </w:r>
    </w:p>
    <w:p>
      <w:pPr>
        <w:spacing w:after="0" w:line="43" w:lineRule="exact"/>
        <w:rPr>
          <w:rFonts w:ascii="Arial" w:cs="Arial" w:eastAsia="Arial" w:hAnsi="Arial"/>
          <w:sz w:val="18"/>
          <w:szCs w:val="18"/>
          <w:color w:val="auto"/>
        </w:rPr>
      </w:pPr>
    </w:p>
    <w:p>
      <w:pPr>
        <w:ind w:left="1360" w:right="4480" w:hanging="454"/>
        <w:spacing w:after="0" w:line="258" w:lineRule="auto"/>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645 Walnut Street</w:t>
      </w:r>
    </w:p>
    <w:p>
      <w:pPr>
        <w:spacing w:after="0" w:line="1"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Boulder, CO 80302</w:t>
      </w:r>
    </w:p>
    <w:p>
      <w:pPr>
        <w:spacing w:after="0" w:line="345" w:lineRule="exact"/>
        <w:rPr>
          <w:rFonts w:ascii="Arial" w:cs="Arial" w:eastAsia="Arial" w:hAnsi="Arial"/>
          <w:sz w:val="18"/>
          <w:szCs w:val="18"/>
          <w:color w:val="auto"/>
        </w:rPr>
      </w:pPr>
    </w:p>
    <w:p>
      <w:pPr>
        <w:ind w:left="1360" w:hanging="454"/>
        <w:spacing w:after="0"/>
        <w:tabs>
          <w:tab w:leader="none" w:pos="13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-310515</wp:posOffset>
            </wp:positionV>
            <wp:extent cx="62750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75070" cy="8890"/>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-798830</wp:posOffset>
            </wp:positionV>
            <wp:extent cx="62750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57"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Entities:</w:t>
            </w:r>
          </w:p>
        </w:tc>
        <w:tc>
          <w:tcPr>
            <w:tcW w:w="2920" w:type="dxa"/>
            <w:vAlign w:val="bottom"/>
          </w:tcPr>
          <w:p>
            <w:pPr>
              <w:ind w:left="200"/>
              <w:spacing w:after="0"/>
              <w:rPr>
                <w:sz w:val="20"/>
                <w:szCs w:val="20"/>
                <w:color w:val="auto"/>
              </w:rPr>
            </w:pPr>
            <w:r>
              <w:rPr>
                <w:rFonts w:ascii="Arial" w:cs="Arial" w:eastAsia="Arial" w:hAnsi="Arial"/>
                <w:sz w:val="18"/>
                <w:szCs w:val="18"/>
                <w:color w:val="auto"/>
              </w:rPr>
              <w:t>Foundry Group Next 2018, L.P.</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1960" w:type="dxa"/>
            <w:vAlign w:val="bottom"/>
          </w:tcPr>
          <w:p>
            <w:pPr>
              <w:ind w:left="140"/>
              <w:spacing w:after="0"/>
              <w:rPr>
                <w:sz w:val="20"/>
                <w:szCs w:val="20"/>
                <w:color w:val="auto"/>
              </w:rPr>
            </w:pPr>
            <w:r>
              <w:rPr>
                <w:rFonts w:ascii="Arial" w:cs="Arial" w:eastAsia="Arial" w:hAnsi="Arial"/>
                <w:sz w:val="18"/>
                <w:szCs w:val="18"/>
                <w:color w:val="auto"/>
              </w:rPr>
              <w:t>Delaware</w:t>
            </w:r>
          </w:p>
        </w:tc>
      </w:tr>
      <w:tr>
        <w:trPr>
          <w:trHeight w:val="243"/>
        </w:trPr>
        <w:tc>
          <w:tcPr>
            <w:tcW w:w="104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FG Next GP 2018, LLC</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1960" w:type="dxa"/>
            <w:vAlign w:val="bottom"/>
          </w:tcPr>
          <w:p>
            <w:pPr>
              <w:ind w:left="140"/>
              <w:spacing w:after="0"/>
              <w:rPr>
                <w:sz w:val="20"/>
                <w:szCs w:val="20"/>
                <w:color w:val="auto"/>
              </w:rPr>
            </w:pPr>
            <w:r>
              <w:rPr>
                <w:rFonts w:ascii="Arial" w:cs="Arial" w:eastAsia="Arial" w:hAnsi="Arial"/>
                <w:sz w:val="18"/>
                <w:szCs w:val="18"/>
                <w:color w:val="auto"/>
              </w:rPr>
              <w:t>Delaware</w:t>
            </w:r>
          </w:p>
        </w:tc>
      </w:tr>
      <w:tr>
        <w:trPr>
          <w:trHeight w:val="243"/>
        </w:trPr>
        <w:tc>
          <w:tcPr>
            <w:tcW w:w="104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w w:val="95"/>
              </w:rPr>
              <w:t>Foundry Venture Capital 2016, L.P.</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1960" w:type="dxa"/>
            <w:vAlign w:val="bottom"/>
          </w:tcPr>
          <w:p>
            <w:pPr>
              <w:ind w:left="140"/>
              <w:spacing w:after="0"/>
              <w:rPr>
                <w:sz w:val="20"/>
                <w:szCs w:val="20"/>
                <w:color w:val="auto"/>
              </w:rPr>
            </w:pPr>
            <w:r>
              <w:rPr>
                <w:rFonts w:ascii="Arial" w:cs="Arial" w:eastAsia="Arial" w:hAnsi="Arial"/>
                <w:sz w:val="18"/>
                <w:szCs w:val="18"/>
                <w:color w:val="auto"/>
              </w:rPr>
              <w:t>Delaware</w:t>
            </w:r>
          </w:p>
        </w:tc>
      </w:tr>
      <w:tr>
        <w:trPr>
          <w:trHeight w:val="243"/>
        </w:trPr>
        <w:tc>
          <w:tcPr>
            <w:tcW w:w="1040" w:type="dxa"/>
            <w:vAlign w:val="bottom"/>
          </w:tcPr>
          <w:p>
            <w:pPr>
              <w:spacing w:after="0"/>
              <w:rPr>
                <w:sz w:val="21"/>
                <w:szCs w:val="21"/>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Foundry Venture 2016, LLC</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1960" w:type="dxa"/>
            <w:vAlign w:val="bottom"/>
          </w:tcPr>
          <w:p>
            <w:pPr>
              <w:ind w:left="140"/>
              <w:spacing w:after="0"/>
              <w:rPr>
                <w:sz w:val="20"/>
                <w:szCs w:val="20"/>
                <w:color w:val="auto"/>
              </w:rPr>
            </w:pPr>
            <w:r>
              <w:rPr>
                <w:rFonts w:ascii="Arial" w:cs="Arial" w:eastAsia="Arial" w:hAnsi="Arial"/>
                <w:sz w:val="18"/>
                <w:szCs w:val="18"/>
                <w:color w:val="auto"/>
              </w:rPr>
              <w:t>Delaware</w:t>
            </w:r>
          </w:p>
        </w:tc>
      </w:tr>
      <w:tr>
        <w:trPr>
          <w:trHeight w:val="459"/>
        </w:trPr>
        <w:tc>
          <w:tcPr>
            <w:tcW w:w="1040" w:type="dxa"/>
            <w:vAlign w:val="bottom"/>
          </w:tcPr>
          <w:p>
            <w:pPr>
              <w:spacing w:after="0"/>
              <w:rPr>
                <w:sz w:val="20"/>
                <w:szCs w:val="20"/>
                <w:color w:val="auto"/>
              </w:rPr>
            </w:pPr>
            <w:r>
              <w:rPr>
                <w:rFonts w:ascii="Arial" w:cs="Arial" w:eastAsia="Arial" w:hAnsi="Arial"/>
                <w:sz w:val="18"/>
                <w:szCs w:val="18"/>
                <w:color w:val="auto"/>
              </w:rPr>
              <w:t>Individuals:</w:t>
            </w:r>
          </w:p>
        </w:tc>
        <w:tc>
          <w:tcPr>
            <w:tcW w:w="2920" w:type="dxa"/>
            <w:vAlign w:val="bottom"/>
          </w:tcPr>
          <w:p>
            <w:pPr>
              <w:ind w:left="200"/>
              <w:spacing w:after="0"/>
              <w:rPr>
                <w:sz w:val="20"/>
                <w:szCs w:val="20"/>
                <w:color w:val="auto"/>
              </w:rPr>
            </w:pPr>
            <w:r>
              <w:rPr>
                <w:rFonts w:ascii="Arial" w:cs="Arial" w:eastAsia="Arial" w:hAnsi="Arial"/>
                <w:sz w:val="18"/>
                <w:szCs w:val="18"/>
                <w:color w:val="auto"/>
              </w:rPr>
              <w:t>Bradley A. Feld</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w w:val="97"/>
              </w:rPr>
              <w:t>-   United States of America</w:t>
            </w:r>
          </w:p>
        </w:tc>
      </w:tr>
      <w:tr>
        <w:trPr>
          <w:trHeight w:val="229"/>
        </w:trPr>
        <w:tc>
          <w:tcPr>
            <w:tcW w:w="1040" w:type="dxa"/>
            <w:vAlign w:val="bottom"/>
          </w:tcPr>
          <w:p>
            <w:pPr>
              <w:spacing w:after="0"/>
              <w:rPr>
                <w:sz w:val="19"/>
                <w:szCs w:val="19"/>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Seth Levine</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w w:val="97"/>
              </w:rPr>
              <w:t>-   United States of America</w:t>
            </w:r>
          </w:p>
        </w:tc>
      </w:tr>
      <w:tr>
        <w:trPr>
          <w:trHeight w:val="230"/>
        </w:trPr>
        <w:tc>
          <w:tcPr>
            <w:tcW w:w="1040" w:type="dxa"/>
            <w:vAlign w:val="bottom"/>
          </w:tcPr>
          <w:p>
            <w:pPr>
              <w:spacing w:after="0"/>
              <w:rPr>
                <w:sz w:val="20"/>
                <w:szCs w:val="20"/>
                <w:color w:val="auto"/>
              </w:rPr>
            </w:pPr>
          </w:p>
        </w:tc>
        <w:tc>
          <w:tcPr>
            <w:tcW w:w="2920" w:type="dxa"/>
            <w:vAlign w:val="bottom"/>
          </w:tcPr>
          <w:p>
            <w:pPr>
              <w:ind w:left="200"/>
              <w:spacing w:after="0"/>
              <w:rPr>
                <w:sz w:val="20"/>
                <w:szCs w:val="20"/>
                <w:color w:val="auto"/>
              </w:rPr>
            </w:pPr>
            <w:r>
              <w:rPr>
                <w:rFonts w:ascii="Arial" w:cs="Arial" w:eastAsia="Arial" w:hAnsi="Arial"/>
                <w:sz w:val="18"/>
                <w:szCs w:val="18"/>
                <w:color w:val="auto"/>
              </w:rPr>
              <w:t>Ryan A. McIntyre</w:t>
            </w:r>
          </w:p>
        </w:tc>
        <w:tc>
          <w:tcPr>
            <w:tcW w:w="2340" w:type="dxa"/>
            <w:vAlign w:val="bottom"/>
            <w:gridSpan w:val="2"/>
          </w:tcPr>
          <w:p>
            <w:pPr>
              <w:ind w:left="180"/>
              <w:spacing w:after="0"/>
              <w:rPr>
                <w:sz w:val="20"/>
                <w:szCs w:val="20"/>
                <w:color w:val="auto"/>
              </w:rPr>
            </w:pPr>
            <w:r>
              <w:rPr>
                <w:rFonts w:ascii="Arial" w:cs="Arial" w:eastAsia="Arial" w:hAnsi="Arial"/>
                <w:sz w:val="18"/>
                <w:szCs w:val="18"/>
                <w:color w:val="auto"/>
                <w:w w:val="97"/>
              </w:rPr>
              <w:t>-   United States of America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832485</wp:posOffset>
            </wp:positionH>
            <wp:positionV relativeFrom="paragraph">
              <wp:posOffset>34290</wp:posOffset>
            </wp:positionV>
            <wp:extent cx="62661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66180" cy="8890"/>
                    </a:xfrm>
                    <a:prstGeom prst="rect">
                      <a:avLst/>
                    </a:prstGeom>
                    <a:noFill/>
                  </pic:spPr>
                </pic:pic>
              </a:graphicData>
            </a:graphic>
          </wp:anchor>
        </w:drawing>
      </w:r>
    </w:p>
    <w:p>
      <w:pPr>
        <w:spacing w:after="0" w:line="87" w:lineRule="exact"/>
        <w:rPr>
          <w:sz w:val="20"/>
          <w:szCs w:val="20"/>
          <w:color w:val="auto"/>
        </w:rPr>
      </w:pPr>
    </w:p>
    <w:p>
      <w:pPr>
        <w:ind w:left="1360" w:right="6840" w:hanging="454"/>
        <w:spacing w:after="0" w:line="342" w:lineRule="auto"/>
        <w:tabs>
          <w:tab w:leader="none" w:pos="13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Title of Class of Securities Class A Common Stock</w:t>
      </w:r>
    </w:p>
    <w:p>
      <w:pPr>
        <w:spacing w:after="0" w:line="29" w:lineRule="exact"/>
        <w:rPr>
          <w:rFonts w:ascii="Arial" w:cs="Arial" w:eastAsia="Arial" w:hAnsi="Arial"/>
          <w:sz w:val="16"/>
          <w:szCs w:val="16"/>
          <w:color w:val="auto"/>
        </w:rPr>
      </w:pPr>
    </w:p>
    <w:p>
      <w:pPr>
        <w:ind w:left="1360" w:right="7600" w:hanging="454"/>
        <w:spacing w:after="0" w:line="342" w:lineRule="auto"/>
        <w:tabs>
          <w:tab w:leader="none" w:pos="13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CUSIP Number 98423F109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-14605</wp:posOffset>
            </wp:positionV>
            <wp:extent cx="62750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75070" cy="8255"/>
                    </a:xfrm>
                    <a:prstGeom prst="rect">
                      <a:avLst/>
                    </a:prstGeom>
                    <a:noFill/>
                  </pic:spPr>
                </pic:pic>
              </a:graphicData>
            </a:graphic>
          </wp:anchor>
        </w:drawing>
        <w:drawing>
          <wp:anchor simplePos="0" relativeHeight="251657728" behindDoc="1" locked="0" layoutInCell="0" allowOverlap="1">
            <wp:simplePos x="0" y="0"/>
            <wp:positionH relativeFrom="column">
              <wp:posOffset>824230</wp:posOffset>
            </wp:positionH>
            <wp:positionV relativeFrom="paragraph">
              <wp:posOffset>-366395</wp:posOffset>
            </wp:positionV>
            <wp:extent cx="62750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75070" cy="8255"/>
                    </a:xfrm>
                    <a:prstGeom prst="rect">
                      <a:avLst/>
                    </a:prstGeom>
                    <a:noFill/>
                  </pic:spPr>
                </pic:pic>
              </a:graphicData>
            </a:graphic>
          </wp:anchor>
        </w:drawing>
      </w:r>
    </w:p>
    <w:p>
      <w:pPr>
        <w:spacing w:after="0" w:line="31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140" w:lineRule="exact"/>
        <w:rPr>
          <w:sz w:val="20"/>
          <w:szCs w:val="20"/>
          <w:color w:val="auto"/>
        </w:rPr>
      </w:pPr>
    </w:p>
    <w:p>
      <w:pPr>
        <w:ind w:left="340" w:hanging="230"/>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Amount beneficially owned: See Row 9 of cover page for each Reporting Person</w:t>
      </w:r>
    </w:p>
    <w:p>
      <w:pPr>
        <w:spacing w:after="0" w:line="117" w:lineRule="exact"/>
        <w:rPr>
          <w:rFonts w:ascii="Arial" w:cs="Arial" w:eastAsia="Arial" w:hAnsi="Arial"/>
          <w:sz w:val="18"/>
          <w:szCs w:val="18"/>
          <w:color w:val="auto"/>
        </w:rPr>
      </w:pPr>
    </w:p>
    <w:p>
      <w:pPr>
        <w:ind w:left="360" w:hanging="250"/>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Percent of class: See Row 11 of cover page for each Reporting Person</w:t>
      </w:r>
    </w:p>
    <w:p>
      <w:pPr>
        <w:spacing w:after="0" w:line="117" w:lineRule="exact"/>
        <w:rPr>
          <w:rFonts w:ascii="Arial" w:cs="Arial" w:eastAsia="Arial" w:hAnsi="Arial"/>
          <w:sz w:val="18"/>
          <w:szCs w:val="18"/>
          <w:color w:val="auto"/>
        </w:rPr>
      </w:pPr>
    </w:p>
    <w:p>
      <w:pPr>
        <w:ind w:left="360" w:hanging="250"/>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560" w:hanging="207"/>
        <w:spacing w:after="0"/>
        <w:tabs>
          <w:tab w:leader="none" w:pos="5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Sole power to vote or to direct the vote: See Row 5 of cover page for each Reporting Person.</w:t>
      </w:r>
    </w:p>
    <w:p>
      <w:pPr>
        <w:spacing w:after="0" w:line="117" w:lineRule="exact"/>
        <w:rPr>
          <w:rFonts w:ascii="Arial" w:cs="Arial" w:eastAsia="Arial" w:hAnsi="Arial"/>
          <w:sz w:val="18"/>
          <w:szCs w:val="18"/>
          <w:color w:val="auto"/>
        </w:rPr>
      </w:pPr>
    </w:p>
    <w:p>
      <w:pPr>
        <w:ind w:left="620" w:hanging="267"/>
        <w:spacing w:after="0"/>
        <w:tabs>
          <w:tab w:leader="none" w:pos="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Shared power to vote or to direct the vote: See Row 6 of cover page for each Reporting Person.</w:t>
      </w:r>
    </w:p>
    <w:p>
      <w:pPr>
        <w:spacing w:after="0" w:line="117" w:lineRule="exact"/>
        <w:rPr>
          <w:rFonts w:ascii="Arial" w:cs="Arial" w:eastAsia="Arial" w:hAnsi="Arial"/>
          <w:sz w:val="18"/>
          <w:szCs w:val="18"/>
          <w:color w:val="auto"/>
        </w:rPr>
      </w:pPr>
    </w:p>
    <w:p>
      <w:pPr>
        <w:ind w:left="660" w:hanging="307"/>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Row 7 of cover page for each Reporting Person.</w:t>
      </w:r>
    </w:p>
    <w:p>
      <w:pPr>
        <w:spacing w:after="0" w:line="117" w:lineRule="exact"/>
        <w:rPr>
          <w:rFonts w:ascii="Arial" w:cs="Arial" w:eastAsia="Arial" w:hAnsi="Arial"/>
          <w:sz w:val="18"/>
          <w:szCs w:val="18"/>
          <w:color w:val="auto"/>
        </w:rPr>
      </w:pPr>
    </w:p>
    <w:p>
      <w:pPr>
        <w:ind w:left="660" w:hanging="307"/>
        <w:spacing w:after="0"/>
        <w:tabs>
          <w:tab w:leader="none" w:pos="6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Row 8 of cover page for each Reporting Person.</w:t>
      </w: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00"/>
          </w:cols>
          <w:pgMar w:left="380" w:top="958" w:right="1419" w:bottom="1440" w:gutter="0" w:footer="0" w:header="0"/>
        </w:sectPr>
      </w:pPr>
    </w:p>
    <w:bookmarkStart w:id="9" w:name="page10"/>
    <w:bookmarkEnd w:id="9"/>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Five Percent or Less of a Class</w:t>
      </w:r>
    </w:p>
    <w:p>
      <w:pPr>
        <w:spacing w:after="0" w:line="121"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9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1020" w:right="340" w:hanging="1011"/>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00"/>
          </w:cols>
          <w:pgMar w:left="380" w:top="958" w:right="8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Dated: February 14, 2022</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Foundry Group Next 2018, L.P.</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Foundry Venture Capital 2016, L.P.</w:t>
            </w:r>
          </w:p>
        </w:tc>
      </w:tr>
      <w:tr>
        <w:trPr>
          <w:trHeight w:val="445"/>
        </w:trPr>
        <w:tc>
          <w:tcPr>
            <w:tcW w:w="4960" w:type="dxa"/>
            <w:vAlign w:val="bottom"/>
            <w:gridSpan w:val="2"/>
          </w:tcPr>
          <w:p>
            <w:pPr>
              <w:spacing w:after="0"/>
              <w:rPr>
                <w:sz w:val="20"/>
                <w:szCs w:val="20"/>
                <w:color w:val="auto"/>
              </w:rPr>
            </w:pPr>
            <w:r>
              <w:rPr>
                <w:rFonts w:ascii="Arial" w:cs="Arial" w:eastAsia="Arial" w:hAnsi="Arial"/>
                <w:sz w:val="18"/>
                <w:szCs w:val="18"/>
                <w:color w:val="auto"/>
              </w:rPr>
              <w:t>By: FG Next GP 2018, LLC</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By: Foundry Venture 2016, LLC</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136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66"/>
        </w:trPr>
        <w:tc>
          <w:tcPr>
            <w:tcW w:w="4960" w:type="dxa"/>
            <w:vAlign w:val="bottom"/>
            <w:gridSpan w:val="2"/>
          </w:tcPr>
          <w:p>
            <w:pPr>
              <w:spacing w:after="0"/>
              <w:rPr>
                <w:sz w:val="20"/>
                <w:szCs w:val="20"/>
                <w:color w:val="auto"/>
              </w:rPr>
            </w:pPr>
            <w:r>
              <w:rPr>
                <w:rFonts w:ascii="Arial" w:cs="Arial" w:eastAsia="Arial" w:hAnsi="Arial"/>
                <w:sz w:val="18"/>
                <w:szCs w:val="18"/>
                <w:color w:val="auto"/>
              </w:rPr>
              <w:t>By: /s/ Bradley A. Feld</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By: /s/ Bradley A. Feld</w:t>
            </w:r>
          </w:p>
        </w:tc>
      </w:tr>
      <w:tr>
        <w:trPr>
          <w:trHeight w:val="202"/>
        </w:trPr>
        <w:tc>
          <w:tcPr>
            <w:tcW w:w="340" w:type="dxa"/>
            <w:vAlign w:val="bottom"/>
          </w:tcPr>
          <w:p>
            <w:pPr>
              <w:spacing w:after="0"/>
              <w:rPr>
                <w:sz w:val="17"/>
                <w:szCs w:val="17"/>
                <w:color w:val="auto"/>
              </w:rPr>
            </w:pPr>
          </w:p>
        </w:tc>
        <w:tc>
          <w:tcPr>
            <w:tcW w:w="4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Bradley A. Feld</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Bradley A. Feld</w:t>
            </w:r>
          </w:p>
        </w:tc>
      </w:tr>
      <w:tr>
        <w:trPr>
          <w:trHeight w:val="230"/>
        </w:trPr>
        <w:tc>
          <w:tcPr>
            <w:tcW w:w="4960" w:type="dxa"/>
            <w:vAlign w:val="bottom"/>
            <w:gridSpan w:val="2"/>
          </w:tcPr>
          <w:p>
            <w:pPr>
              <w:ind w:left="340"/>
              <w:spacing w:after="0"/>
              <w:rPr>
                <w:sz w:val="20"/>
                <w:szCs w:val="20"/>
                <w:color w:val="auto"/>
              </w:rPr>
            </w:pPr>
            <w:r>
              <w:rPr>
                <w:rFonts w:ascii="Arial" w:cs="Arial" w:eastAsia="Arial" w:hAnsi="Arial"/>
                <w:sz w:val="18"/>
                <w:szCs w:val="18"/>
                <w:color w:val="auto"/>
              </w:rPr>
              <w:t>Title: Managing Member</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Title: Managing Member</w:t>
            </w:r>
          </w:p>
        </w:tc>
      </w:tr>
      <w:tr>
        <w:trPr>
          <w:trHeight w:val="459"/>
        </w:trPr>
        <w:tc>
          <w:tcPr>
            <w:tcW w:w="4960" w:type="dxa"/>
            <w:vAlign w:val="bottom"/>
            <w:gridSpan w:val="2"/>
          </w:tcPr>
          <w:p>
            <w:pPr>
              <w:spacing w:after="0"/>
              <w:rPr>
                <w:sz w:val="20"/>
                <w:szCs w:val="20"/>
                <w:color w:val="auto"/>
              </w:rPr>
            </w:pPr>
            <w:r>
              <w:rPr>
                <w:rFonts w:ascii="Arial" w:cs="Arial" w:eastAsia="Arial" w:hAnsi="Arial"/>
                <w:sz w:val="18"/>
                <w:szCs w:val="18"/>
                <w:color w:val="auto"/>
              </w:rPr>
              <w:t>FG Next GP 2018, LLC</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Foundry Venture 2016, LLC</w:t>
            </w:r>
          </w:p>
        </w:tc>
      </w:tr>
      <w:tr>
        <w:trPr>
          <w:trHeight w:val="466"/>
        </w:trPr>
        <w:tc>
          <w:tcPr>
            <w:tcW w:w="4960" w:type="dxa"/>
            <w:vAlign w:val="bottom"/>
            <w:gridSpan w:val="2"/>
          </w:tcPr>
          <w:p>
            <w:pPr>
              <w:spacing w:after="0"/>
              <w:rPr>
                <w:sz w:val="20"/>
                <w:szCs w:val="20"/>
                <w:color w:val="auto"/>
              </w:rPr>
            </w:pPr>
            <w:r>
              <w:rPr>
                <w:rFonts w:ascii="Arial" w:cs="Arial" w:eastAsia="Arial" w:hAnsi="Arial"/>
                <w:sz w:val="18"/>
                <w:szCs w:val="18"/>
                <w:color w:val="auto"/>
              </w:rPr>
              <w:t>By: /s/ Bradley A. Feld</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By: /s/ Bradley A. Feld</w:t>
            </w:r>
          </w:p>
        </w:tc>
      </w:tr>
      <w:tr>
        <w:trPr>
          <w:trHeight w:val="202"/>
        </w:trPr>
        <w:tc>
          <w:tcPr>
            <w:tcW w:w="340" w:type="dxa"/>
            <w:vAlign w:val="bottom"/>
          </w:tcPr>
          <w:p>
            <w:pPr>
              <w:spacing w:after="0"/>
              <w:rPr>
                <w:sz w:val="17"/>
                <w:szCs w:val="17"/>
                <w:color w:val="auto"/>
              </w:rPr>
            </w:pPr>
          </w:p>
        </w:tc>
        <w:tc>
          <w:tcPr>
            <w:tcW w:w="4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Bradley A. Feld</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Bradley A. Feld</w:t>
            </w:r>
          </w:p>
        </w:tc>
      </w:tr>
      <w:tr>
        <w:trPr>
          <w:trHeight w:val="230"/>
        </w:trPr>
        <w:tc>
          <w:tcPr>
            <w:tcW w:w="4960" w:type="dxa"/>
            <w:vAlign w:val="bottom"/>
            <w:gridSpan w:val="2"/>
          </w:tcPr>
          <w:p>
            <w:pPr>
              <w:ind w:left="340"/>
              <w:spacing w:after="0"/>
              <w:rPr>
                <w:sz w:val="20"/>
                <w:szCs w:val="20"/>
                <w:color w:val="auto"/>
              </w:rPr>
            </w:pPr>
            <w:r>
              <w:rPr>
                <w:rFonts w:ascii="Arial" w:cs="Arial" w:eastAsia="Arial" w:hAnsi="Arial"/>
                <w:sz w:val="18"/>
                <w:szCs w:val="18"/>
                <w:color w:val="auto"/>
              </w:rPr>
              <w:t>Title: Managing Member</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Title: Managing Member</w:t>
            </w:r>
          </w:p>
        </w:tc>
      </w:tr>
      <w:tr>
        <w:trPr>
          <w:trHeight w:val="466"/>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Bradley A. Feld</w:t>
            </w:r>
          </w:p>
        </w:tc>
        <w:tc>
          <w:tcPr>
            <w:tcW w:w="1360" w:type="dxa"/>
            <w:vAlign w:val="bottom"/>
          </w:tcPr>
          <w:p>
            <w:pPr>
              <w:spacing w:after="0"/>
              <w:rPr>
                <w:sz w:val="24"/>
                <w:szCs w:val="24"/>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Ryan A. McIntyre</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Bradley A. Feld</w:t>
            </w:r>
          </w:p>
        </w:tc>
        <w:tc>
          <w:tcPr>
            <w:tcW w:w="136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Ryan A. McIntyre</w:t>
            </w:r>
          </w:p>
        </w:tc>
      </w:tr>
      <w:tr>
        <w:trPr>
          <w:trHeight w:val="479"/>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Seth Levine</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Seth Levine</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0" w:type="dxa"/>
            <w:vAlign w:val="bottom"/>
          </w:tcPr>
          <w:p>
            <w:pPr>
              <w:spacing w:after="0"/>
              <w:rPr>
                <w:sz w:val="20"/>
                <w:szCs w:val="20"/>
                <w:color w:val="auto"/>
              </w:rPr>
            </w:pPr>
          </w:p>
        </w:tc>
      </w:tr>
    </w:tbl>
    <w:p>
      <w:pPr>
        <w:spacing w:after="0" w:line="2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40575"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0575" cy="154305"/>
                    </a:xfrm>
                    <a:prstGeom prst="rect">
                      <a:avLst/>
                    </a:prstGeom>
                    <a:noFill/>
                  </pic:spPr>
                </pic:pic>
              </a:graphicData>
            </a:graphic>
          </wp:anchor>
        </w:drawing>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Intentional misstatements or omissions of fact constitute Federal Criminal Violations (See 18 U.S.C. 1001).</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Exhibit(s)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 Joint Filing Statement</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STATEMENT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the undersigned, hereby express our agreement that the attached Schedule 13G (or any amendments thereto) relating to the Class A Common Stock of Xometry, Inc. is filed on behalf of each of us.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Dated: February 14, 2022</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Foundry Group Next 2018, L.P.</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Foundry Venture Capital 2016, L.P.</w:t>
            </w:r>
          </w:p>
        </w:tc>
      </w:tr>
      <w:tr>
        <w:trPr>
          <w:trHeight w:val="445"/>
        </w:trPr>
        <w:tc>
          <w:tcPr>
            <w:tcW w:w="4960" w:type="dxa"/>
            <w:vAlign w:val="bottom"/>
            <w:gridSpan w:val="2"/>
          </w:tcPr>
          <w:p>
            <w:pPr>
              <w:spacing w:after="0"/>
              <w:rPr>
                <w:sz w:val="20"/>
                <w:szCs w:val="20"/>
                <w:color w:val="auto"/>
              </w:rPr>
            </w:pPr>
            <w:r>
              <w:rPr>
                <w:rFonts w:ascii="Arial" w:cs="Arial" w:eastAsia="Arial" w:hAnsi="Arial"/>
                <w:sz w:val="18"/>
                <w:szCs w:val="18"/>
                <w:color w:val="auto"/>
              </w:rPr>
              <w:t>By: FG Next GP 2018, LLC</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By: Foundry Venture 2016, LLC</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its General Partner</w:t>
            </w:r>
          </w:p>
        </w:tc>
        <w:tc>
          <w:tcPr>
            <w:tcW w:w="136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its General Partner</w:t>
            </w:r>
          </w:p>
        </w:tc>
      </w:tr>
      <w:tr>
        <w:trPr>
          <w:trHeight w:val="466"/>
        </w:trPr>
        <w:tc>
          <w:tcPr>
            <w:tcW w:w="4960" w:type="dxa"/>
            <w:vAlign w:val="bottom"/>
            <w:gridSpan w:val="2"/>
          </w:tcPr>
          <w:p>
            <w:pPr>
              <w:spacing w:after="0"/>
              <w:rPr>
                <w:sz w:val="20"/>
                <w:szCs w:val="20"/>
                <w:color w:val="auto"/>
              </w:rPr>
            </w:pPr>
            <w:r>
              <w:rPr>
                <w:rFonts w:ascii="Arial" w:cs="Arial" w:eastAsia="Arial" w:hAnsi="Arial"/>
                <w:sz w:val="18"/>
                <w:szCs w:val="18"/>
                <w:color w:val="auto"/>
              </w:rPr>
              <w:t>By: /s/ Bradley A. Feld</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By: /s/ Bradley A. Feld</w:t>
            </w:r>
          </w:p>
        </w:tc>
      </w:tr>
      <w:tr>
        <w:trPr>
          <w:trHeight w:val="202"/>
        </w:trPr>
        <w:tc>
          <w:tcPr>
            <w:tcW w:w="340" w:type="dxa"/>
            <w:vAlign w:val="bottom"/>
          </w:tcPr>
          <w:p>
            <w:pPr>
              <w:spacing w:after="0"/>
              <w:rPr>
                <w:sz w:val="17"/>
                <w:szCs w:val="17"/>
                <w:color w:val="auto"/>
              </w:rPr>
            </w:pPr>
          </w:p>
        </w:tc>
        <w:tc>
          <w:tcPr>
            <w:tcW w:w="4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Bradley A. Feld</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Bradley A. Feld</w:t>
            </w:r>
          </w:p>
        </w:tc>
      </w:tr>
      <w:tr>
        <w:trPr>
          <w:trHeight w:val="230"/>
        </w:trPr>
        <w:tc>
          <w:tcPr>
            <w:tcW w:w="4960" w:type="dxa"/>
            <w:vAlign w:val="bottom"/>
            <w:gridSpan w:val="2"/>
          </w:tcPr>
          <w:p>
            <w:pPr>
              <w:ind w:left="340"/>
              <w:spacing w:after="0"/>
              <w:rPr>
                <w:sz w:val="20"/>
                <w:szCs w:val="20"/>
                <w:color w:val="auto"/>
              </w:rPr>
            </w:pPr>
            <w:r>
              <w:rPr>
                <w:rFonts w:ascii="Arial" w:cs="Arial" w:eastAsia="Arial" w:hAnsi="Arial"/>
                <w:sz w:val="18"/>
                <w:szCs w:val="18"/>
                <w:color w:val="auto"/>
              </w:rPr>
              <w:t>Title: Managing Member</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Title: Managing Member</w:t>
            </w:r>
          </w:p>
        </w:tc>
      </w:tr>
      <w:tr>
        <w:trPr>
          <w:trHeight w:val="459"/>
        </w:trPr>
        <w:tc>
          <w:tcPr>
            <w:tcW w:w="4960" w:type="dxa"/>
            <w:vAlign w:val="bottom"/>
            <w:gridSpan w:val="2"/>
          </w:tcPr>
          <w:p>
            <w:pPr>
              <w:spacing w:after="0"/>
              <w:rPr>
                <w:sz w:val="20"/>
                <w:szCs w:val="20"/>
                <w:color w:val="auto"/>
              </w:rPr>
            </w:pPr>
            <w:r>
              <w:rPr>
                <w:rFonts w:ascii="Arial" w:cs="Arial" w:eastAsia="Arial" w:hAnsi="Arial"/>
                <w:sz w:val="18"/>
                <w:szCs w:val="18"/>
                <w:color w:val="auto"/>
              </w:rPr>
              <w:t>FG Next GP 2018, LLC</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Foundry Venture 2016, LLC</w:t>
            </w:r>
          </w:p>
        </w:tc>
      </w:tr>
      <w:tr>
        <w:trPr>
          <w:trHeight w:val="466"/>
        </w:trPr>
        <w:tc>
          <w:tcPr>
            <w:tcW w:w="4960" w:type="dxa"/>
            <w:vAlign w:val="bottom"/>
            <w:gridSpan w:val="2"/>
          </w:tcPr>
          <w:p>
            <w:pPr>
              <w:spacing w:after="0"/>
              <w:rPr>
                <w:sz w:val="20"/>
                <w:szCs w:val="20"/>
                <w:color w:val="auto"/>
              </w:rPr>
            </w:pPr>
            <w:r>
              <w:rPr>
                <w:rFonts w:ascii="Arial" w:cs="Arial" w:eastAsia="Arial" w:hAnsi="Arial"/>
                <w:sz w:val="18"/>
                <w:szCs w:val="18"/>
                <w:color w:val="auto"/>
              </w:rPr>
              <w:t>By: /s/ Bradley A. Feld</w:t>
            </w:r>
          </w:p>
        </w:tc>
        <w:tc>
          <w:tcPr>
            <w:tcW w:w="136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By: /s/ Bradley A. Feld</w:t>
            </w:r>
          </w:p>
        </w:tc>
      </w:tr>
      <w:tr>
        <w:trPr>
          <w:trHeight w:val="202"/>
        </w:trPr>
        <w:tc>
          <w:tcPr>
            <w:tcW w:w="340" w:type="dxa"/>
            <w:vAlign w:val="bottom"/>
          </w:tcPr>
          <w:p>
            <w:pPr>
              <w:spacing w:after="0"/>
              <w:rPr>
                <w:sz w:val="17"/>
                <w:szCs w:val="17"/>
                <w:color w:val="auto"/>
              </w:rPr>
            </w:pPr>
          </w:p>
        </w:tc>
        <w:tc>
          <w:tcPr>
            <w:tcW w:w="4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Bradley A. Feld</w:t>
            </w:r>
          </w:p>
        </w:tc>
        <w:tc>
          <w:tcPr>
            <w:tcW w:w="1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Name: Bradley A. Feld</w:t>
            </w:r>
          </w:p>
        </w:tc>
      </w:tr>
      <w:tr>
        <w:trPr>
          <w:trHeight w:val="230"/>
        </w:trPr>
        <w:tc>
          <w:tcPr>
            <w:tcW w:w="4960" w:type="dxa"/>
            <w:vAlign w:val="bottom"/>
            <w:gridSpan w:val="2"/>
          </w:tcPr>
          <w:p>
            <w:pPr>
              <w:ind w:left="340"/>
              <w:spacing w:after="0"/>
              <w:rPr>
                <w:sz w:val="20"/>
                <w:szCs w:val="20"/>
                <w:color w:val="auto"/>
              </w:rPr>
            </w:pPr>
            <w:r>
              <w:rPr>
                <w:rFonts w:ascii="Arial" w:cs="Arial" w:eastAsia="Arial" w:hAnsi="Arial"/>
                <w:sz w:val="18"/>
                <w:szCs w:val="18"/>
                <w:color w:val="auto"/>
              </w:rPr>
              <w:t>Title: Managing Member</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Title: Managing Member</w:t>
            </w:r>
          </w:p>
        </w:tc>
      </w:tr>
      <w:tr>
        <w:trPr>
          <w:trHeight w:val="466"/>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Bradley A. Feld</w:t>
            </w:r>
          </w:p>
        </w:tc>
        <w:tc>
          <w:tcPr>
            <w:tcW w:w="1360" w:type="dxa"/>
            <w:vAlign w:val="bottom"/>
          </w:tcPr>
          <w:p>
            <w:pPr>
              <w:spacing w:after="0"/>
              <w:rPr>
                <w:sz w:val="24"/>
                <w:szCs w:val="24"/>
                <w:color w:val="auto"/>
              </w:rPr>
            </w:pPr>
          </w:p>
        </w:tc>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Ryan A. McIntyre</w:t>
            </w: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Bradley A. Feld</w:t>
            </w:r>
          </w:p>
        </w:tc>
        <w:tc>
          <w:tcPr>
            <w:tcW w:w="136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Ryan A. McIntyre</w:t>
            </w:r>
          </w:p>
        </w:tc>
      </w:tr>
      <w:tr>
        <w:trPr>
          <w:trHeight w:val="479"/>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Seth Levine</w:t>
            </w: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Seth Levine</w:t>
            </w:r>
          </w:p>
        </w:tc>
        <w:tc>
          <w:tcPr>
            <w:tcW w:w="1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0" w:type="dxa"/>
            <w:vAlign w:val="bottom"/>
          </w:tcPr>
          <w:p>
            <w:pPr>
              <w:spacing w:after="0"/>
              <w:rPr>
                <w:sz w:val="20"/>
                <w:szCs w:val="20"/>
                <w:color w:val="auto"/>
              </w:rPr>
            </w:pPr>
          </w:p>
        </w:tc>
      </w:tr>
      <w:tr>
        <w:trPr>
          <w:trHeight w:val="661"/>
        </w:trPr>
        <w:tc>
          <w:tcPr>
            <w:tcW w:w="34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lvl w:ilvl="1">
      <w:lvlJc w:val="left"/>
      <w:lvlText w:val="(%2)"/>
      <w:numFmt w:val="lowerLetter"/>
      <w:start w:val="1"/>
    </w:lvl>
  </w:abstractNum>
  <w:abstractNum w:abstractNumId="3">
    <w:nsid w:val="7C83E458"/>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4">
    <w:nsid w:val="257130A3"/>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5">
    <w:nsid w:val="62BBD95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436C6125"/>
    <w:multiLevelType w:val="hybridMultilevel"/>
    <w:lvl w:ilvl="0">
      <w:lvlJc w:val="left"/>
      <w:lvlText w:val="%1."/>
      <w:numFmt w:val="decimal"/>
      <w:start w:val="1"/>
    </w:lvl>
    <w:lvl w:ilvl="1">
      <w:lvlJc w:val="left"/>
      <w:lvlText w:val="(%2)"/>
      <w:numFmt w:val="lowerLetter"/>
      <w:start w:val="1"/>
    </w:lvl>
  </w:abstractNum>
  <w:abstractNum w:abstractNumId="7">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8">
    <w:nsid w:val="333AB105"/>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9">
    <w:nsid w:val="721DA31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0">
    <w:nsid w:val="2443A858"/>
    <w:multiLevelType w:val="hybridMultilevel"/>
    <w:lvl w:ilvl="0">
      <w:lvlJc w:val="left"/>
      <w:lvlText w:val="%1."/>
      <w:numFmt w:val="decimal"/>
      <w:start w:val="1"/>
    </w:lvl>
    <w:lvl w:ilvl="1">
      <w:lvlJc w:val="left"/>
      <w:lvlText w:val="(%2)"/>
      <w:numFmt w:val="lowerLetter"/>
      <w:start w:val="1"/>
    </w:lvl>
  </w:abstractNum>
  <w:abstractNum w:abstractNumId="11">
    <w:nsid w:val="2D1D5AE9"/>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2">
    <w:nsid w:val="6763845E"/>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3">
    <w:nsid w:val="75A2A8D4"/>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4">
    <w:nsid w:val="8EDBDAB"/>
    <w:multiLevelType w:val="hybridMultilevel"/>
    <w:lvl w:ilvl="0">
      <w:lvlJc w:val="left"/>
      <w:lvlText w:val="%1."/>
      <w:numFmt w:val="decimal"/>
      <w:start w:val="1"/>
    </w:lvl>
    <w:lvl w:ilvl="1">
      <w:lvlJc w:val="left"/>
      <w:lvlText w:val="(%2)"/>
      <w:numFmt w:val="lowerLetter"/>
      <w:start w:val="1"/>
    </w:lvl>
  </w:abstractNum>
  <w:abstractNum w:abstractNumId="15">
    <w:nsid w:val="79838CB2"/>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16">
    <w:nsid w:val="4353D0CD"/>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17">
    <w:nsid w:val="B03E0C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8">
    <w:nsid w:val="189A769B"/>
    <w:multiLevelType w:val="hybridMultilevel"/>
    <w:lvl w:ilvl="0">
      <w:lvlJc w:val="left"/>
      <w:lvlText w:val="%1."/>
      <w:numFmt w:val="decimal"/>
      <w:start w:val="1"/>
    </w:lvl>
    <w:lvl w:ilvl="1">
      <w:lvlJc w:val="left"/>
      <w:lvlText w:val="(%2)"/>
      <w:numFmt w:val="lowerLetter"/>
      <w:start w:val="1"/>
    </w:lvl>
  </w:abstractNum>
  <w:abstractNum w:abstractNumId="19">
    <w:nsid w:val="54E49EB4"/>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0">
    <w:nsid w:val="71F32454"/>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1">
    <w:nsid w:val="2CA8861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2">
    <w:nsid w:val="836C40E"/>
    <w:multiLevelType w:val="hybridMultilevel"/>
    <w:lvl w:ilvl="0">
      <w:lvlJc w:val="left"/>
      <w:lvlText w:val="%1."/>
      <w:numFmt w:val="decimal"/>
      <w:start w:val="1"/>
    </w:lvl>
    <w:lvl w:ilvl="1">
      <w:lvlJc w:val="left"/>
      <w:lvlText w:val="(%2)"/>
      <w:numFmt w:val="lowerLetter"/>
      <w:start w:val="1"/>
    </w:lvl>
  </w:abstractNum>
  <w:abstractNum w:abstractNumId="23">
    <w:nsid w:val="2901D82"/>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4">
    <w:nsid w:val="3A95F874"/>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5">
    <w:nsid w:val="813864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6">
    <w:nsid w:val="1E7FF521"/>
    <w:multiLevelType w:val="hybridMultilevel"/>
    <w:lvl w:ilvl="0">
      <w:lvlJc w:val="left"/>
      <w:lvlText w:val="%1."/>
      <w:numFmt w:val="decimal"/>
      <w:start w:val="1"/>
    </w:lvl>
    <w:lvl w:ilvl="1">
      <w:lvlJc w:val="left"/>
      <w:lvlText w:val="(%2)"/>
      <w:numFmt w:val="lowerLetter"/>
      <w:start w:val="1"/>
    </w:lvl>
  </w:abstractNum>
  <w:abstractNum w:abstractNumId="27">
    <w:nsid w:val="7C3DBD3D"/>
    <w:multiLevelType w:val="hybridMultilevel"/>
    <w:lvl w:ilvl="0">
      <w:lvlJc w:val="left"/>
      <w:lvlText w:val="%1"/>
      <w:numFmt w:val="decimal"/>
      <w:start w:val="1"/>
    </w:lvl>
    <w:lvl w:ilvl="1">
      <w:lvlJc w:val="left"/>
      <w:lvlText w:val="%2"/>
      <w:numFmt w:val="decimal"/>
      <w:start w:val="1"/>
    </w:lvl>
    <w:lvl w:ilvl="2">
      <w:lvlJc w:val="left"/>
      <w:lvlText w:val="%3."/>
      <w:numFmt w:val="decimal"/>
      <w:start w:val="8"/>
    </w:lvl>
  </w:abstractNum>
  <w:abstractNum w:abstractNumId="28">
    <w:nsid w:val="737B8DDC"/>
    <w:multiLevelType w:val="hybridMultilevel"/>
    <w:lvl w:ilvl="0">
      <w:lvlJc w:val="left"/>
      <w:lvlText w:val="%1"/>
      <w:numFmt w:val="decimal"/>
      <w:start w:val="1"/>
    </w:lvl>
    <w:lvl w:ilvl="1">
      <w:lvlJc w:val="left"/>
      <w:lvlText w:val="%2."/>
      <w:numFmt w:val="decimal"/>
      <w:start w:val="9"/>
    </w:lvl>
    <w:lvl w:ilvl="2">
      <w:lvlJc w:val="left"/>
      <w:lvlText w:val="%3"/>
      <w:numFmt w:val="decimal"/>
      <w:start w:val="1"/>
    </w:lvl>
  </w:abstractNum>
  <w:abstractNum w:abstractNumId="29">
    <w:nsid w:val="6CEAF08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30">
    <w:nsid w:val="22221A70"/>
    <w:multiLevelType w:val="hybridMultilevel"/>
    <w:lvl w:ilvl="0">
      <w:lvlJc w:val="left"/>
      <w:lvlText w:val="(%1)"/>
      <w:numFmt w:val="lowerLetter"/>
      <w:start w:val="1"/>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lowerLetter"/>
      <w:start w:val="4"/>
    </w:lvl>
  </w:abstractNum>
  <w:abstractNum w:abstractNumId="33">
    <w:nsid w:val="614FD4A1"/>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2022-02-14T17:06:45Z</dcterms:created>
  <dcterms:modified xsi:type="dcterms:W3CDTF">2022-02-14T17:06:45Z</dcterms:modified>
</cp:coreProperties>
</file>