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7"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On February 24, 2026, Xometry, Inc. (the “Company”) issued a press release announcing its fourth quarter and full year ended December 31, 2025 financial results. A copy of the press release is furnished as Exhibit 99.1 to this report.</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06"/>
        </w:trPr>
        <w:tc>
          <w:tcPr>
            <w:tcW w:w="1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February 24, 2026.</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Record Fourth Quarter and Strong Full Year 2025 Results</w:t>
      </w:r>
    </w:p>
    <w:p>
      <w:pPr>
        <w:spacing w:after="0" w:line="19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revenue increased 30% year-over-year to a record $192 million, driven by robust marketplace growth.</w:t>
      </w:r>
    </w:p>
    <w:p>
      <w:pPr>
        <w:spacing w:after="0" w:line="106" w:lineRule="exact"/>
        <w:rPr>
          <w:rFonts w:ascii="Times New Roman" w:cs="Times New Roman" w:eastAsia="Times New Roman" w:hAnsi="Times New Roman"/>
          <w:sz w:val="20"/>
          <w:szCs w:val="20"/>
          <w:color w:val="auto"/>
        </w:rPr>
      </w:pPr>
    </w:p>
    <w:p>
      <w:pPr>
        <w:ind w:left="1020" w:right="8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marketplace revenue growth accelerated to 33% year-over-year, driven by strong enterprise growth and expanded networks of buyers and suppliers.</w:t>
      </w:r>
    </w:p>
    <w:p>
      <w:pPr>
        <w:spacing w:after="0" w:line="48" w:lineRule="exact"/>
        <w:rPr>
          <w:rFonts w:ascii="Times New Roman" w:cs="Times New Roman" w:eastAsia="Times New Roman" w:hAnsi="Times New Roman"/>
          <w:sz w:val="20"/>
          <w:szCs w:val="20"/>
          <w:color w:val="auto"/>
        </w:rPr>
      </w:pPr>
    </w:p>
    <w:p>
      <w:pPr>
        <w:ind w:left="1020" w:right="36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gross profit increased 27% year-over-year to a record $75.2 million, driven by strong marketplace growth and marketplace gross margin expansion.</w:t>
      </w:r>
    </w:p>
    <w:p>
      <w:pPr>
        <w:spacing w:after="0" w:line="48" w:lineRule="exact"/>
        <w:rPr>
          <w:rFonts w:ascii="Times New Roman" w:cs="Times New Roman" w:eastAsia="Times New Roman" w:hAnsi="Times New Roman"/>
          <w:sz w:val="20"/>
          <w:szCs w:val="20"/>
          <w:color w:val="auto"/>
        </w:rPr>
      </w:pPr>
    </w:p>
    <w:p>
      <w:pPr>
        <w:ind w:left="1020" w:right="1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Adjusted EBITDA improved $7.3 million year-over-year to Adjusted EBITDA of $8.4 million, driven by expanding marketplace gross margin and strong operating expense leverage.</w:t>
      </w:r>
    </w:p>
    <w:p>
      <w:pPr>
        <w:spacing w:after="0" w:line="48" w:lineRule="exact"/>
        <w:rPr>
          <w:rFonts w:ascii="Times New Roman" w:cs="Times New Roman" w:eastAsia="Times New Roman" w:hAnsi="Times New Roman"/>
          <w:sz w:val="20"/>
          <w:szCs w:val="20"/>
          <w:color w:val="auto"/>
        </w:rPr>
      </w:pPr>
    </w:p>
    <w:p>
      <w:pPr>
        <w:ind w:left="1020" w:right="60" w:hanging="503"/>
        <w:spacing w:after="0" w:line="241"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Strong operating results were driven by consistent execution across growth initiatives: expanding buyer and supplier networks, driving deeper enterprise engagement, further expanding the marketplace platform, growing internationally, and enhancing services offerings.</w:t>
      </w:r>
    </w:p>
    <w:p>
      <w:pPr>
        <w:spacing w:after="0" w:line="128" w:lineRule="exact"/>
        <w:rPr>
          <w:sz w:val="20"/>
          <w:szCs w:val="20"/>
          <w:color w:val="auto"/>
        </w:rPr>
      </w:pPr>
    </w:p>
    <w:p>
      <w:pPr>
        <w:jc w:val="both"/>
        <w:ind w:right="560"/>
        <w:spacing w:after="0" w:line="242" w:lineRule="auto"/>
        <w:rPr>
          <w:sz w:val="20"/>
          <w:szCs w:val="20"/>
          <w:color w:val="auto"/>
        </w:rPr>
      </w:pPr>
      <w:r>
        <w:rPr>
          <w:rFonts w:ascii="Arial" w:cs="Arial" w:eastAsia="Arial" w:hAnsi="Arial"/>
          <w:sz w:val="20"/>
          <w:szCs w:val="20"/>
          <w:b w:val="1"/>
          <w:bCs w:val="1"/>
          <w:color w:val="auto"/>
        </w:rPr>
        <w:t>NORTH BETHESDA, MD., February 24, 2026 /Globe Newswire/</w:t>
      </w:r>
      <w:r>
        <w:rPr>
          <w:rFonts w:ascii="Arial" w:cs="Arial" w:eastAsia="Arial" w:hAnsi="Arial"/>
          <w:sz w:val="20"/>
          <w:szCs w:val="20"/>
          <w:color w:val="auto"/>
        </w:rPr>
        <w:t>-- Xometry, Inc. (NASDAQ: XMTR), the global AI-native</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buyers and suppliers of custom manufacturing, today announced its financial results for the fourth quarter and full year ended December 31, 2025.</w:t>
      </w:r>
    </w:p>
    <w:p>
      <w:pPr>
        <w:spacing w:after="0" w:line="17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“Q4 was another record quarter, capping a transformative year for Xometry as enterprise customers rapidly adopted our supply chain solutions,” said Randy Altschuler, CEO at Xometry. “In Q4, we delivered 30% revenue growth year-over-year underscoring the strength of our product driven growth, pace of marketplace innovation and expanding global network.”</w:t>
      </w:r>
    </w:p>
    <w:p>
      <w:pPr>
        <w:spacing w:after="0" w:line="171" w:lineRule="exact"/>
        <w:rPr>
          <w:sz w:val="20"/>
          <w:szCs w:val="20"/>
          <w:color w:val="auto"/>
        </w:rPr>
      </w:pPr>
    </w:p>
    <w:p>
      <w:pPr>
        <w:ind w:right="380"/>
        <w:spacing w:after="0" w:line="237" w:lineRule="auto"/>
        <w:rPr>
          <w:sz w:val="20"/>
          <w:szCs w:val="20"/>
          <w:color w:val="auto"/>
        </w:rPr>
      </w:pPr>
      <w:r>
        <w:rPr>
          <w:rFonts w:ascii="Arial" w:cs="Arial" w:eastAsia="Arial" w:hAnsi="Arial"/>
          <w:sz w:val="20"/>
          <w:szCs w:val="20"/>
          <w:color w:val="auto"/>
        </w:rPr>
        <w:t>“In Q4, we delivered robust marketplace gross profit growth, which increased 36% year-over-year,” said James Miln, CFO at Xometry. “Our Adjusted EBITDA improved by $7.3 million year-over-year to $8.4 million. In 2025, we delivered incremental Adjusted EBITDA margins of 20%, reflecting the strong leverage in our marketplace model. We expect to continue to deliver 20% annual incremental Adjusted EBITDA margins as we scale towards $1 billion in revenue.”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 Financial Highlights</w:t>
      </w:r>
    </w:p>
    <w:p>
      <w:pPr>
        <w:spacing w:after="0" w:line="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fourth quarter of 2025 was $178 million, an increase of 33% year-over-year.</w:t>
      </w:r>
    </w:p>
    <w:p>
      <w:pPr>
        <w:spacing w:after="0" w:line="106" w:lineRule="exact"/>
        <w:rPr>
          <w:rFonts w:ascii="Times New Roman" w:cs="Times New Roman" w:eastAsia="Times New Roman" w:hAnsi="Times New Roman"/>
          <w:sz w:val="20"/>
          <w:szCs w:val="20"/>
          <w:color w:val="auto"/>
        </w:rPr>
      </w:pPr>
    </w:p>
    <w:p>
      <w:pPr>
        <w:ind w:left="1020" w:right="46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20% from 68,267 as of December 31, 2024 to 81,821 as of December 31, 2025.</w:t>
      </w:r>
    </w:p>
    <w:p>
      <w:pPr>
        <w:spacing w:after="0" w:line="48" w:lineRule="exact"/>
        <w:rPr>
          <w:rFonts w:ascii="Times New Roman" w:cs="Times New Roman" w:eastAsia="Times New Roman" w:hAnsi="Times New Roman"/>
          <w:sz w:val="20"/>
          <w:szCs w:val="20"/>
          <w:color w:val="auto"/>
        </w:rPr>
      </w:pPr>
    </w:p>
    <w:p>
      <w:pPr>
        <w:ind w:left="1020" w:right="8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18% from 1,495 as of December 31, 2024 to 1,760 as of December 31, 2025.</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for the fourth quarter of 2025 was $13.9 million, a decrease of 1%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for the fourth quarter of 2025 was $8.6 million.</w:t>
      </w:r>
    </w:p>
    <w:p>
      <w:pPr>
        <w:spacing w:after="0" w:line="106" w:lineRule="exact"/>
        <w:rPr>
          <w:rFonts w:ascii="Times New Roman" w:cs="Times New Roman" w:eastAsia="Times New Roman" w:hAnsi="Times New Roman"/>
          <w:sz w:val="20"/>
          <w:szCs w:val="20"/>
          <w:color w:val="auto"/>
        </w:rPr>
      </w:pPr>
    </w:p>
    <w:p>
      <w:pPr>
        <w:ind w:left="1020" w:right="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fourth quarter of 2025 was $8.4 million, reflecting an improvement of $7.3 million year-over-year.</w:t>
      </w:r>
    </w:p>
    <w:p>
      <w:pPr>
        <w:spacing w:after="0" w:line="48" w:lineRule="exact"/>
        <w:rPr>
          <w:rFonts w:ascii="Times New Roman" w:cs="Times New Roman" w:eastAsia="Times New Roman" w:hAnsi="Times New Roman"/>
          <w:sz w:val="20"/>
          <w:szCs w:val="20"/>
          <w:color w:val="auto"/>
        </w:rPr>
      </w:pPr>
    </w:p>
    <w:p>
      <w:pPr>
        <w:ind w:left="1020" w:right="26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for the fourth quarter of 2025 was $9.1 million, as compared to a Non-GAAP net income of $3.2 million in the fourth quarter of 2024.</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$219 million as of December 31, 2025.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Fourth Quarter 2025 Business Highlights:</w:t>
      </w:r>
    </w:p>
    <w:p>
      <w:pPr>
        <w:spacing w:after="0" w:line="177" w:lineRule="exact"/>
        <w:rPr>
          <w:sz w:val="20"/>
          <w:szCs w:val="20"/>
          <w:color w:val="auto"/>
        </w:rPr>
      </w:pPr>
    </w:p>
    <w:p>
      <w:pPr>
        <w:ind w:left="1020" w:right="12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Grew the number of Active Suppliers 17% year-over year to 4,996 as of December 31, 2025. Xometry expanded its supplier base in the U.S. with a focus on larger suppliers with key quality certifications to serve the needs of larger enterprise customers. Globally, Xometry expanded its sourcing network to include more suppliers in Europe, China, India and Turkey.</w:t>
      </w:r>
    </w:p>
    <w:p>
      <w:pPr>
        <w:spacing w:after="0" w:line="66" w:lineRule="exact"/>
        <w:rPr>
          <w:rFonts w:ascii="Times New Roman" w:cs="Times New Roman" w:eastAsia="Times New Roman" w:hAnsi="Times New Roman"/>
          <w:sz w:val="20"/>
          <w:szCs w:val="20"/>
          <w:color w:val="auto"/>
        </w:rPr>
      </w:pPr>
    </w:p>
    <w:p>
      <w:pPr>
        <w:ind w:left="1020" w:right="2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performance-based listings on Thomasnet, allowing manufacturing and industrial suppliers to promote their businesses through targeted sponsored listings. Features of the improved supplier platform include the ability to advertise in defined target markets, customize ad budgets, and campaign tracking with Thomas’ powerful analytics platform.</w:t>
      </w:r>
    </w:p>
    <w:p>
      <w:pPr>
        <w:spacing w:after="0" w:line="66" w:lineRule="exact"/>
        <w:rPr>
          <w:rFonts w:ascii="Times New Roman" w:cs="Times New Roman" w:eastAsia="Times New Roman" w:hAnsi="Times New Roman"/>
          <w:sz w:val="20"/>
          <w:szCs w:val="20"/>
          <w:color w:val="auto"/>
        </w:rPr>
      </w:pPr>
    </w:p>
    <w:p>
      <w:pPr>
        <w:ind w:left="1020" w:right="6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improved search tools on Thomasnet, a leading digital platform connecting industrial buyers with more than 500,000 suppliers. Thomas’ smart search enables buyers to run complex, multi-capability searches and identify more relevant suppliers for their needs. Early results are positive with Thomas smart search driving over 15% more supplier evaluations compared to the legacy search functionality.</w:t>
      </w:r>
    </w:p>
    <w:p>
      <w:pPr>
        <w:spacing w:after="0" w:line="66" w:lineRule="exact"/>
        <w:rPr>
          <w:rFonts w:ascii="Times New Roman" w:cs="Times New Roman" w:eastAsia="Times New Roman" w:hAnsi="Times New Roman"/>
          <w:sz w:val="20"/>
          <w:szCs w:val="20"/>
          <w:color w:val="auto"/>
        </w:rPr>
      </w:pPr>
    </w:p>
    <w:p>
      <w:pPr>
        <w:ind w:left="1020" w:right="18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Expanded the Xometry platform including a new portfolio of high-performance materials. Xometry introduced eight new materials across fused deposition modeling and stereolithography additive manufacturing technologies. These materials are critical for advanced applications in the aerospace, defense and medical device industries, as well as the automotive industry.</w:t>
      </w:r>
    </w:p>
    <w:p>
      <w:pPr>
        <w:spacing w:after="0" w:line="66" w:lineRule="exact"/>
        <w:rPr>
          <w:rFonts w:ascii="Times New Roman" w:cs="Times New Roman" w:eastAsia="Times New Roman" w:hAnsi="Times New Roman"/>
          <w:sz w:val="20"/>
          <w:szCs w:val="20"/>
          <w:color w:val="auto"/>
        </w:rPr>
      </w:pPr>
    </w:p>
    <w:p>
      <w:pPr>
        <w:ind w:left="1020" w:right="40" w:hanging="503"/>
        <w:spacing w:after="0" w:line="252"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Expanded control over manufacturing specifications enabling buyers to choose how their parts are made. Xometry launched a “preferred subprocess” feature within its automated quoting platform. This update allows CNC customers to specify exact machining approaches while maintaining the speed of instant pricing and lead times. Xometry introduced new “looser” tolerance options enabling customers to maximize value on less precise components.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 Financial Highlights</w:t>
      </w:r>
    </w:p>
    <w:p>
      <w:pPr>
        <w:spacing w:after="0" w:line="16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full year of 2025 was $630 million, an increase of 30% year-over-year.</w:t>
      </w:r>
    </w:p>
    <w:p>
      <w:pPr>
        <w:spacing w:after="0" w:line="106" w:lineRule="exact"/>
        <w:rPr>
          <w:rFonts w:ascii="Times New Roman" w:cs="Times New Roman" w:eastAsia="Times New Roman" w:hAnsi="Times New Roman"/>
          <w:sz w:val="20"/>
          <w:szCs w:val="20"/>
          <w:color w:val="auto"/>
        </w:rPr>
      </w:pPr>
    </w:p>
    <w:p>
      <w:pPr>
        <w:jc w:val="both"/>
        <w:ind w:left="1020" w:right="220" w:hanging="503"/>
        <w:spacing w:after="0" w:line="283"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Enterprise growth was driven by strong sales execution and increasing adoption of technology solutions. Accounts with Last Twelve-Months Spend of at least $500,000 increased approximately 30% to over 140 in fiscal year 2025.</w:t>
      </w:r>
    </w:p>
    <w:p>
      <w:pPr>
        <w:spacing w:after="0" w:line="23"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for the full year of 2025 was $57.0 million, a decrease of 4% year-over-year.</w:t>
      </w:r>
    </w:p>
    <w:p>
      <w:pPr>
        <w:spacing w:after="0" w:line="106" w:lineRule="exact"/>
        <w:rPr>
          <w:rFonts w:ascii="Times New Roman" w:cs="Times New Roman" w:eastAsia="Times New Roman" w:hAnsi="Times New Roman"/>
          <w:sz w:val="20"/>
          <w:szCs w:val="20"/>
          <w:color w:val="auto"/>
        </w:rPr>
      </w:pPr>
    </w:p>
    <w:p>
      <w:pPr>
        <w:ind w:left="1020" w:right="500" w:hanging="503"/>
        <w:spacing w:after="0" w:line="283"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Net loss attributable to common stockholders for the full year of 2025 was $61.7 million, which includes a $16.4 million non-recurring loss on debt extinguishment, as compared to $50.4 million for the full year of 2024.</w:t>
      </w:r>
    </w:p>
    <w:p>
      <w:pPr>
        <w:spacing w:after="0" w:line="23" w:lineRule="exact"/>
        <w:rPr>
          <w:rFonts w:ascii="Times New Roman" w:cs="Times New Roman" w:eastAsia="Times New Roman" w:hAnsi="Times New Roman"/>
          <w:sz w:val="19"/>
          <w:szCs w:val="19"/>
          <w:color w:val="auto"/>
        </w:rPr>
      </w:pPr>
    </w:p>
    <w:p>
      <w:pPr>
        <w:ind w:left="1020" w:right="30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full year of 2025 was $18.5 million, reflecting an improvement of $28.2 million year-over-year.</w:t>
      </w:r>
    </w:p>
    <w:p>
      <w:pPr>
        <w:spacing w:after="0" w:line="48" w:lineRule="exact"/>
        <w:rPr>
          <w:rFonts w:ascii="Times New Roman" w:cs="Times New Roman" w:eastAsia="Times New Roman" w:hAnsi="Times New Roman"/>
          <w:sz w:val="20"/>
          <w:szCs w:val="20"/>
          <w:color w:val="auto"/>
        </w:rPr>
      </w:pPr>
    </w:p>
    <w:p>
      <w:pPr>
        <w:ind w:left="1020" w:right="500" w:hanging="503"/>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for the full year of 2025 was $20.8 million, as compared to a Non-GAAP net loss of $2.1 million for the full year of 2024.</w:t>
      </w:r>
    </w:p>
    <w:p>
      <w:pPr>
        <w:spacing w:after="0" w:line="48"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Completed convertible debt refinancing of $250 million aggregate principal amount of new 0.75% convertible notes due in 2030. Transaction proceeds were used in part to repurchase over $200 million principal amount of existing convertible notes due 2027, providing financial flexibility to focus on growth initiatives and margin expansion. Purchased a capped call hedge with a cap price initially at $63.35, which represents a 75% premium over the market price on the transaction date.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Full Year 2025 Business Highlights</w:t>
      </w:r>
    </w:p>
    <w:p>
      <w:pPr>
        <w:spacing w:after="0" w:line="177" w:lineRule="exact"/>
        <w:rPr>
          <w:sz w:val="20"/>
          <w:szCs w:val="20"/>
          <w:color w:val="auto"/>
        </w:rPr>
      </w:pPr>
    </w:p>
    <w:p>
      <w:pPr>
        <w:ind w:right="380"/>
        <w:spacing w:after="0" w:line="241" w:lineRule="auto"/>
        <w:rPr>
          <w:sz w:val="20"/>
          <w:szCs w:val="20"/>
          <w:color w:val="auto"/>
        </w:rPr>
      </w:pPr>
      <w:r>
        <w:rPr>
          <w:rFonts w:ascii="Arial" w:cs="Arial" w:eastAsia="Arial" w:hAnsi="Arial"/>
          <w:sz w:val="20"/>
          <w:szCs w:val="20"/>
          <w:color w:val="auto"/>
        </w:rPr>
        <w:t>In 2025, Xometry continued to win and gain market share as it focused on driving technology innovation to deliver improving marketplace price, speed and selection. By improving the marketplace experience, Xometry drove additional value for both buyers and suppliers. During the year:</w:t>
      </w:r>
    </w:p>
    <w:p>
      <w:pPr>
        <w:spacing w:after="0" w:line="131" w:lineRule="exact"/>
        <w:rPr>
          <w:sz w:val="20"/>
          <w:szCs w:val="20"/>
          <w:color w:val="auto"/>
        </w:rPr>
      </w:pPr>
    </w:p>
    <w:p>
      <w:pPr>
        <w:ind w:left="1020" w:right="16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Xometry launched the new Workcenter mobile app. The Workcenter platform is Xometry’s proprietary all-in-one quote-to-cash solution enabling its partners to source and consolidate work, manage operations, monitor performance and secure cash flow. This powerful new app is designed to help suppliers within the Xometry partner network manage job offers, production workflows and shop performance – anytime, anywhere.</w:t>
      </w:r>
    </w:p>
    <w:p>
      <w:pPr>
        <w:spacing w:after="0" w:line="66" w:lineRule="exact"/>
        <w:rPr>
          <w:rFonts w:ascii="Times New Roman" w:cs="Times New Roman" w:eastAsia="Times New Roman" w:hAnsi="Times New Roman"/>
          <w:sz w:val="20"/>
          <w:szCs w:val="20"/>
          <w:color w:val="auto"/>
        </w:rPr>
      </w:pPr>
    </w:p>
    <w:p>
      <w:pPr>
        <w:ind w:left="1020" w:right="60" w:hanging="503"/>
        <w:spacing w:after="0" w:line="252" w:lineRule="auto"/>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Xometry launched auto-quotes for injection molding services in the U.S., following a launch earlier in 2025 in Europe. Xometry’s new auto-quoting capability simplifies the injection molding manufacturing process in a seamless digital experience, to enable customers to move quickly from design to finished part. Xometry’s proprietary AI-native platform manages the full lifecycle of injection molding from initial quoting to delivery to reordering.</w:t>
      </w:r>
    </w:p>
    <w:p>
      <w:pPr>
        <w:spacing w:after="0" w:line="53" w:lineRule="exact"/>
        <w:rPr>
          <w:rFonts w:ascii="Times New Roman" w:cs="Times New Roman" w:eastAsia="Times New Roman" w:hAnsi="Times New Roman"/>
          <w:sz w:val="19"/>
          <w:szCs w:val="19"/>
          <w:color w:val="auto"/>
        </w:rPr>
      </w:pPr>
    </w:p>
    <w:p>
      <w:pPr>
        <w:ind w:left="1020" w:right="60" w:hanging="503"/>
        <w:spacing w:after="0" w:line="260" w:lineRule="auto"/>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Xometry enhanced its AI-powered design for manufacturing capabilities through automated extraction that interprets technical drawings and CAD files. This improves the accuracy of quotes and supplier matching by automatically identifying key manufacturing attributes (such as materials, processes or tolerances) directly from the part’s design.</w:t>
      </w:r>
    </w:p>
    <w:p>
      <w:pPr>
        <w:spacing w:after="0" w:line="45" w:lineRule="exact"/>
        <w:rPr>
          <w:rFonts w:ascii="Times New Roman" w:cs="Times New Roman" w:eastAsia="Times New Roman" w:hAnsi="Times New Roman"/>
          <w:sz w:val="19"/>
          <w:szCs w:val="19"/>
          <w:color w:val="auto"/>
        </w:rPr>
      </w:pPr>
    </w:p>
    <w:p>
      <w:pPr>
        <w:ind w:left="1020" w:right="18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Xometry achieved Cybersecurity Maturity Model Certification (CMMC Level 2), for adherence to cybersecurity and information security standards for the aerospace and defense industries. CMMC Level 2 certification demonstrates Xometry’s industry leadership, and reinforces its position as a trusted partner for domestic aerospace companies, defense agencies, and other organizations.</w:t>
      </w:r>
    </w:p>
    <w:p>
      <w:pPr>
        <w:spacing w:after="0" w:line="66" w:lineRule="exact"/>
        <w:rPr>
          <w:rFonts w:ascii="Times New Roman" w:cs="Times New Roman" w:eastAsia="Times New Roman" w:hAnsi="Times New Roman"/>
          <w:sz w:val="20"/>
          <w:szCs w:val="20"/>
          <w:color w:val="auto"/>
        </w:rPr>
      </w:pPr>
    </w:p>
    <w:p>
      <w:pPr>
        <w:ind w:left="1020" w:right="26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Xometry EU launched Teamspace in Europe, the UK and Turkey. Teamspace is a cloud-based solution within the Xometry platform that enables customers to collaborate with their colleagues on projects and custom part orders. This global expansion enables Xometry to drive deeper enterprise engagement and enhance viral buyer growth within a company.</w:t>
      </w:r>
    </w:p>
    <w:p>
      <w:pPr>
        <w:spacing w:after="0" w:line="66" w:lineRule="exact"/>
        <w:rPr>
          <w:rFonts w:ascii="Times New Roman" w:cs="Times New Roman" w:eastAsia="Times New Roman" w:hAnsi="Times New Roman"/>
          <w:sz w:val="20"/>
          <w:szCs w:val="20"/>
          <w:color w:val="auto"/>
        </w:rPr>
      </w:pPr>
    </w:p>
    <w:p>
      <w:pPr>
        <w:ind w:left="1020" w:right="2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Xometry EU launched a parts library which simplifies how customers manage and reuse part data across projects. It automatically gathers all 3D models and drawings from past quotes and orders, making it easier to reorder parts and reuse designs. Buyers can also view project history, see where each part was used, and download models and drawings directly from the library.</w:t>
      </w:r>
    </w:p>
    <w:p>
      <w:pPr>
        <w:spacing w:after="0" w:line="66" w:lineRule="exact"/>
        <w:rPr>
          <w:rFonts w:ascii="Times New Roman" w:cs="Times New Roman" w:eastAsia="Times New Roman" w:hAnsi="Times New Roman"/>
          <w:sz w:val="20"/>
          <w:szCs w:val="20"/>
          <w:color w:val="auto"/>
        </w:rPr>
      </w:pPr>
    </w:p>
    <w:p>
      <w:pPr>
        <w:ind w:left="102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Xometry EU introduced integration capabilities for enterprise customers to streamline procurement. This feature enables buyers to order custom parts directly from the Xometry site while still within the buyer's procurement platform - streamlining the purchasing process, reducing errors, and improving efficiency by automating data transfer between systems.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5" w:right="3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Financial Summary</w:t>
      </w:r>
    </w:p>
    <w:p>
      <w:pPr>
        <w:jc w:val="center"/>
        <w:spacing w:after="0" w:line="231"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Ended December 31,</w:t>
            </w: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December 31,</w:t>
            </w: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Revenue</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192,398</w:t>
            </w:r>
          </w:p>
        </w:tc>
        <w:tc>
          <w:tcPr>
            <w:tcW w:w="2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148,546</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30%</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686,631</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545,529</w:t>
            </w: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75,238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59,020</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27%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268,773</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215,624</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(8,634)</w:t>
            </w:r>
          </w:p>
        </w:tc>
        <w:tc>
          <w:tcPr>
            <w:tcW w:w="2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(9,889)</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(61,743)</w:t>
            </w:r>
          </w:p>
        </w:tc>
        <w:tc>
          <w:tcPr>
            <w:tcW w:w="3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(50,401)</w:t>
            </w:r>
          </w:p>
        </w:tc>
        <w:tc>
          <w:tcPr>
            <w:tcW w:w="1100" w:type="dxa"/>
            <w:vAlign w:val="bottom"/>
          </w:tcPr>
          <w:p>
            <w:pPr>
              <w:jc w:val="center"/>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EPS, basic and diluted, of Class A and Class B common</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(0.17)</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(0.20)</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(1.22)</w:t>
            </w:r>
          </w:p>
        </w:tc>
        <w:tc>
          <w:tcPr>
            <w:tcW w:w="3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(1.03)</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3920" w:type="dxa"/>
            <w:vAlign w:val="bottom"/>
          </w:tcPr>
          <w:p>
            <w:pPr>
              <w:spacing w:after="0" w:line="16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8,382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1,049</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18,528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(9,676)</w:t>
            </w:r>
          </w:p>
        </w:tc>
        <w:tc>
          <w:tcPr>
            <w:tcW w:w="1100" w:type="dxa"/>
            <w:vAlign w:val="bottom"/>
          </w:tcPr>
          <w:p>
            <w:pPr>
              <w:jc w:val="center"/>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spacing w:after="0" w:line="162" w:lineRule="exact"/>
              <w:rPr>
                <w:sz w:val="20"/>
                <w:szCs w:val="20"/>
                <w:color w:val="auto"/>
              </w:rPr>
            </w:pPr>
            <w:r>
              <w:rPr>
                <w:rFonts w:ascii="Arial" w:cs="Arial" w:eastAsia="Arial" w:hAnsi="Arial"/>
                <w:sz w:val="14"/>
                <w:szCs w:val="14"/>
                <w:color w:val="auto"/>
              </w:rPr>
              <w:t>Non-GAAP net income (loss)</w:t>
            </w:r>
            <w:r>
              <w:rPr>
                <w:rFonts w:ascii="Arial" w:cs="Arial" w:eastAsia="Arial" w:hAnsi="Arial"/>
                <w:sz w:val="18"/>
                <w:szCs w:val="18"/>
                <w:color w:val="auto"/>
                <w:vertAlign w:val="superscript"/>
              </w:rPr>
              <w:t>(1)</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9,101</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3,165</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(2,069)</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153"/>
        </w:trPr>
        <w:tc>
          <w:tcPr>
            <w:tcW w:w="3920" w:type="dxa"/>
            <w:vAlign w:val="bottom"/>
          </w:tcPr>
          <w:p>
            <w:pPr>
              <w:spacing w:after="0" w:line="153" w:lineRule="exact"/>
              <w:rPr>
                <w:sz w:val="20"/>
                <w:szCs w:val="20"/>
                <w:color w:val="auto"/>
              </w:rPr>
            </w:pPr>
            <w:r>
              <w:rPr>
                <w:rFonts w:ascii="Arial" w:cs="Arial" w:eastAsia="Arial" w:hAnsi="Arial"/>
                <w:sz w:val="13"/>
                <w:szCs w:val="13"/>
                <w:color w:val="auto"/>
              </w:rPr>
              <w:t>Non-GAAP EPS, basic</w:t>
            </w:r>
            <w:r>
              <w:rPr>
                <w:rFonts w:ascii="Arial" w:cs="Arial" w:eastAsia="Arial" w:hAnsi="Arial"/>
                <w:sz w:val="17"/>
                <w:szCs w:val="17"/>
                <w:color w:val="auto"/>
                <w:vertAlign w:val="superscript"/>
              </w:rPr>
              <w:t>(1)</w:t>
            </w:r>
            <w:r>
              <w:rPr>
                <w:rFonts w:ascii="Arial" w:cs="Arial" w:eastAsia="Arial" w:hAnsi="Arial"/>
                <w:sz w:val="13"/>
                <w:szCs w:val="13"/>
                <w:color w:val="auto"/>
              </w:rPr>
              <w:t>, of Class A and Class B common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0.06</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(0.04)</w:t>
            </w:r>
          </w:p>
        </w:tc>
        <w:tc>
          <w:tcPr>
            <w:tcW w:w="1100" w:type="dxa"/>
            <w:vAlign w:val="bottom"/>
          </w:tcPr>
          <w:p>
            <w:pPr>
              <w:jc w:val="center"/>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spacing w:after="0" w:line="153" w:lineRule="exact"/>
              <w:rPr>
                <w:sz w:val="20"/>
                <w:szCs w:val="20"/>
                <w:color w:val="auto"/>
              </w:rPr>
            </w:pPr>
            <w:r>
              <w:rPr>
                <w:rFonts w:ascii="Arial" w:cs="Arial" w:eastAsia="Arial" w:hAnsi="Arial"/>
                <w:sz w:val="13"/>
                <w:szCs w:val="13"/>
                <w:color w:val="auto"/>
              </w:rPr>
              <w:t>Non-GAAP EPS, diluted</w:t>
            </w:r>
            <w:r>
              <w:rPr>
                <w:rFonts w:ascii="Arial" w:cs="Arial" w:eastAsia="Arial" w:hAnsi="Arial"/>
                <w:sz w:val="17"/>
                <w:szCs w:val="17"/>
                <w:color w:val="auto"/>
                <w:vertAlign w:val="superscript"/>
              </w:rPr>
              <w:t>(1)</w:t>
            </w:r>
            <w:r>
              <w:rPr>
                <w:rFonts w:ascii="Arial" w:cs="Arial" w:eastAsia="Arial" w:hAnsi="Arial"/>
                <w:sz w:val="13"/>
                <w:szCs w:val="13"/>
                <w:color w:val="auto"/>
              </w:rPr>
              <w:t>, of Class A and Class B common</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(0.04)</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324"/>
        </w:trPr>
        <w:tc>
          <w:tcPr>
            <w:tcW w:w="3920" w:type="dxa"/>
            <w:vAlign w:val="bottom"/>
          </w:tcPr>
          <w:p>
            <w:pPr>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3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178,475</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134,508</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33%</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629,642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485,946</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Cost of revenue</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115,446</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88,087</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31%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411,337</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323,365</w:t>
            </w: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63,029</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46,421</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36%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218,305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162,581</w:t>
            </w:r>
          </w:p>
        </w:tc>
        <w:tc>
          <w:tcPr>
            <w:tcW w:w="2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Arial" w:cs="Arial" w:eastAsia="Arial" w:hAnsi="Arial"/>
                <w:sz w:val="14"/>
                <w:szCs w:val="14"/>
                <w:color w:val="auto"/>
              </w:rPr>
              <w:t>Gross Margin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35.3%</w:t>
            </w:r>
          </w:p>
        </w:tc>
        <w:tc>
          <w:tcPr>
            <w:tcW w:w="2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34.5%</w:t>
            </w:r>
          </w:p>
        </w:tc>
        <w:tc>
          <w:tcPr>
            <w:tcW w:w="1080" w:type="dxa"/>
            <w:vAlign w:val="bottom"/>
          </w:tcPr>
          <w:p>
            <w:pPr>
              <w:jc w:val="center"/>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34.7%</w:t>
            </w:r>
          </w:p>
        </w:tc>
        <w:tc>
          <w:tcPr>
            <w:tcW w:w="3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33.5%</w:t>
            </w:r>
          </w:p>
        </w:tc>
        <w:tc>
          <w:tcPr>
            <w:tcW w:w="1100" w:type="dxa"/>
            <w:vAlign w:val="bottom"/>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Services</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20"/>
                <w:szCs w:val="20"/>
                <w:color w:val="auto"/>
              </w:rPr>
            </w:pPr>
            <w:r>
              <w:rPr>
                <w:rFonts w:ascii="Arial" w:cs="Arial" w:eastAsia="Arial" w:hAnsi="Arial"/>
                <w:sz w:val="14"/>
                <w:szCs w:val="14"/>
                <w:color w:val="auto"/>
              </w:rPr>
              <w:t>Revenue</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13,923</w:t>
            </w:r>
          </w:p>
        </w:tc>
        <w:tc>
          <w:tcPr>
            <w:tcW w:w="2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14,038</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56,989</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59,583</w:t>
            </w: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1,714</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1,439</w:t>
            </w:r>
          </w:p>
        </w:tc>
        <w:tc>
          <w:tcPr>
            <w:tcW w:w="26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9"/>
              </w:rPr>
              <w:t>19%</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6,521</w:t>
            </w: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6,540</w:t>
            </w:r>
          </w:p>
        </w:tc>
        <w:tc>
          <w:tcPr>
            <w:tcW w:w="2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3920" w:type="dxa"/>
            <w:vAlign w:val="bottom"/>
          </w:tcPr>
          <w:p>
            <w:pPr>
              <w:spacing w:after="0" w:line="155" w:lineRule="exact"/>
              <w:rPr>
                <w:sz w:val="20"/>
                <w:szCs w:val="20"/>
                <w:color w:val="auto"/>
              </w:rPr>
            </w:pPr>
            <w:r>
              <w:rPr>
                <w:rFonts w:ascii="Arial" w:cs="Arial" w:eastAsia="Arial" w:hAnsi="Arial"/>
                <w:sz w:val="14"/>
                <w:szCs w:val="14"/>
                <w:color w:val="auto"/>
              </w:rPr>
              <w:t>Gross Profit</w:t>
            </w: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12,209</w:t>
            </w:r>
          </w:p>
        </w:tc>
        <w:tc>
          <w:tcPr>
            <w:tcW w:w="26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12,599</w:t>
            </w:r>
          </w:p>
        </w:tc>
        <w:tc>
          <w:tcPr>
            <w:tcW w:w="26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50,468</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53,043</w:t>
            </w:r>
          </w:p>
        </w:tc>
        <w:tc>
          <w:tcPr>
            <w:tcW w:w="26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Gross Margin</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4"/>
                <w:szCs w:val="14"/>
                <w:color w:val="auto"/>
              </w:rPr>
              <w:t>87.7%</w:t>
            </w:r>
          </w:p>
        </w:tc>
        <w:tc>
          <w:tcPr>
            <w:tcW w:w="2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line="143" w:lineRule="exact"/>
              <w:rPr>
                <w:sz w:val="20"/>
                <w:szCs w:val="20"/>
                <w:color w:val="auto"/>
              </w:rPr>
            </w:pPr>
            <w:r>
              <w:rPr>
                <w:rFonts w:ascii="Arial" w:cs="Arial" w:eastAsia="Arial" w:hAnsi="Arial"/>
                <w:sz w:val="14"/>
                <w:szCs w:val="14"/>
                <w:color w:val="auto"/>
              </w:rPr>
              <w:t>89.7%</w:t>
            </w:r>
          </w:p>
        </w:tc>
        <w:tc>
          <w:tcPr>
            <w:tcW w:w="108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4"/>
                <w:szCs w:val="14"/>
                <w:color w:val="auto"/>
              </w:rPr>
              <w:t>88.6%</w:t>
            </w:r>
          </w:p>
        </w:tc>
        <w:tc>
          <w:tcPr>
            <w:tcW w:w="3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20"/>
              <w:spacing w:after="0" w:line="143" w:lineRule="exact"/>
              <w:rPr>
                <w:sz w:val="20"/>
                <w:szCs w:val="20"/>
                <w:color w:val="auto"/>
              </w:rPr>
            </w:pPr>
            <w:r>
              <w:rPr>
                <w:rFonts w:ascii="Arial" w:cs="Arial" w:eastAsia="Arial" w:hAnsi="Arial"/>
                <w:sz w:val="14"/>
                <w:szCs w:val="14"/>
                <w:color w:val="auto"/>
              </w:rPr>
              <w:t>89.0%</w:t>
            </w:r>
          </w:p>
        </w:tc>
        <w:tc>
          <w:tcPr>
            <w:tcW w:w="110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-779145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-762635</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-779145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-762635</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-779145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-762635</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-779145</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-762635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-239395</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-239395</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-239395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-239395</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ind w:left="380" w:right="160" w:hanging="372"/>
        <w:spacing w:after="0" w:line="27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68"/>
        </w:trPr>
        <w:tc>
          <w:tcPr>
            <w:tcW w:w="6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619"/>
              <w:spacing w:after="0" w:line="168"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r>
      <w:tr>
        <w:trPr>
          <w:trHeight w:val="203"/>
        </w:trPr>
        <w:tc>
          <w:tcPr>
            <w:tcW w:w="7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7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Change</w:t>
            </w:r>
          </w:p>
        </w:tc>
      </w:tr>
      <w:tr>
        <w:trPr>
          <w:trHeight w:val="183"/>
        </w:trPr>
        <w:tc>
          <w:tcPr>
            <w:tcW w:w="6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89"/>
        </w:trPr>
        <w:tc>
          <w:tcPr>
            <w:tcW w:w="708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Active Buyers</w:t>
            </w:r>
            <w:r>
              <w:rPr>
                <w:rFonts w:ascii="Arial" w:cs="Arial" w:eastAsia="Arial" w:hAnsi="Arial"/>
                <w:sz w:val="21"/>
                <w:szCs w:val="21"/>
                <w:color w:val="auto"/>
                <w:vertAlign w:val="superscript"/>
              </w:rPr>
              <w:t>(3)</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81,821</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68,267</w:t>
            </w:r>
          </w:p>
        </w:tc>
        <w:tc>
          <w:tcPr>
            <w:tcW w:w="160" w:type="dxa"/>
            <w:vAlign w:val="bottom"/>
            <w:shd w:val="clear" w:color="auto" w:fill="CFF0FC"/>
          </w:tcPr>
          <w:p>
            <w:pPr>
              <w:spacing w:after="0"/>
              <w:rPr>
                <w:sz w:val="16"/>
                <w:szCs w:val="16"/>
                <w:color w:val="auto"/>
              </w:rPr>
            </w:pPr>
          </w:p>
        </w:tc>
        <w:tc>
          <w:tcPr>
            <w:tcW w:w="1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r>
      <w:tr>
        <w:trPr>
          <w:trHeight w:val="189"/>
        </w:trPr>
        <w:tc>
          <w:tcPr>
            <w:tcW w:w="7080" w:type="dxa"/>
            <w:vAlign w:val="bottom"/>
            <w:gridSpan w:val="2"/>
          </w:tcPr>
          <w:p>
            <w:pPr>
              <w:spacing w:after="0" w:line="189" w:lineRule="exact"/>
              <w:rPr>
                <w:sz w:val="20"/>
                <w:szCs w:val="20"/>
                <w:color w:val="auto"/>
              </w:rPr>
            </w:pPr>
            <w:r>
              <w:rPr>
                <w:rFonts w:ascii="Arial" w:cs="Arial" w:eastAsia="Arial" w:hAnsi="Arial"/>
                <w:sz w:val="16"/>
                <w:szCs w:val="16"/>
                <w:color w:val="auto"/>
              </w:rPr>
              <w:t>Percentage of Revenue from Existing Accounts</w:t>
            </w:r>
            <w:r>
              <w:rPr>
                <w:rFonts w:ascii="Arial" w:cs="Arial" w:eastAsia="Arial" w:hAnsi="Arial"/>
                <w:sz w:val="21"/>
                <w:szCs w:val="21"/>
                <w:color w:val="auto"/>
                <w:vertAlign w:val="superscript"/>
              </w:rPr>
              <w:t>(3)</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92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7080" w:type="dxa"/>
            <w:vAlign w:val="bottom"/>
            <w:gridSpan w:val="2"/>
            <w:shd w:val="clear" w:color="auto" w:fill="CFF0FC"/>
          </w:tcPr>
          <w:p>
            <w:pPr>
              <w:spacing w:after="0" w:line="189" w:lineRule="exact"/>
              <w:rPr>
                <w:sz w:val="20"/>
                <w:szCs w:val="20"/>
                <w:color w:val="auto"/>
              </w:rPr>
            </w:pPr>
            <w:r>
              <w:rPr>
                <w:rFonts w:ascii="Arial" w:cs="Arial" w:eastAsia="Arial" w:hAnsi="Arial"/>
                <w:sz w:val="16"/>
                <w:szCs w:val="16"/>
                <w:color w:val="auto"/>
              </w:rPr>
              <w:t>Accounts with Last Twelve-Months Spend of at Least $50,000</w:t>
            </w:r>
            <w:r>
              <w:rPr>
                <w:rFonts w:ascii="Arial" w:cs="Arial" w:eastAsia="Arial" w:hAnsi="Arial"/>
                <w:sz w:val="21"/>
                <w:szCs w:val="21"/>
                <w:color w:val="auto"/>
                <w:vertAlign w:val="superscript"/>
              </w:rPr>
              <w:t>(3)</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w:t>
            </w:r>
          </w:p>
        </w:tc>
        <w:tc>
          <w:tcPr>
            <w:tcW w:w="160" w:type="dxa"/>
            <w:vAlign w:val="bottom"/>
            <w:shd w:val="clear" w:color="auto" w:fill="CFF0FC"/>
          </w:tcPr>
          <w:p>
            <w:pPr>
              <w:spacing w:after="0"/>
              <w:rPr>
                <w:sz w:val="16"/>
                <w:szCs w:val="16"/>
                <w:color w:val="auto"/>
              </w:rPr>
            </w:pPr>
          </w:p>
        </w:tc>
        <w:tc>
          <w:tcPr>
            <w:tcW w:w="17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r>
    </w:tbl>
    <w:p>
      <w:pPr>
        <w:spacing w:after="0" w:line="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key operating metrics are for Marketplace. See “Key Terms for our Key Metrics and Non-GAAP Financial Measures” below for definitions of these metrics.</w:t>
      </w:r>
    </w:p>
    <w:p>
      <w:pPr>
        <w:spacing w:after="0" w:line="15" w:lineRule="exact"/>
        <w:rPr>
          <w:rFonts w:ascii="Arial" w:cs="Arial" w:eastAsia="Arial" w:hAnsi="Arial"/>
          <w:sz w:val="14"/>
          <w:szCs w:val="14"/>
          <w:color w:val="auto"/>
        </w:rPr>
      </w:pPr>
    </w:p>
    <w:p>
      <w:pPr>
        <w:ind w:left="380" w:right="80" w:hanging="372"/>
        <w:spacing w:after="0" w:line="324"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Percentage of Revenue from Existing Accounts is presented for the quarters ended December 31, 2025 and 2024.</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Q1 2026</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43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99"/>
              <w:spacing w:after="0" w:line="183" w:lineRule="exact"/>
              <w:rPr>
                <w:sz w:val="20"/>
                <w:szCs w:val="20"/>
                <w:color w:val="auto"/>
              </w:rPr>
            </w:pPr>
            <w:r>
              <w:rPr>
                <w:rFonts w:ascii="Arial" w:cs="Arial" w:eastAsia="Arial" w:hAnsi="Arial"/>
                <w:sz w:val="16"/>
                <w:szCs w:val="16"/>
                <w:b w:val="1"/>
                <w:bCs w:val="1"/>
                <w:color w:val="auto"/>
              </w:rPr>
              <w:t>(in millions)</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3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Low</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jc w:val="right"/>
              <w:ind w:right="619"/>
              <w:spacing w:after="0" w:line="183" w:lineRule="exact"/>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5"/>
                <w:szCs w:val="15"/>
                <w:color w:val="auto"/>
              </w:rPr>
            </w:pPr>
          </w:p>
        </w:tc>
      </w:tr>
      <w:tr>
        <w:trPr>
          <w:trHeight w:val="18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280" w:type="dxa"/>
            <w:vAlign w:val="bottom"/>
            <w:gridSpan w:val="2"/>
            <w:shd w:val="clear" w:color="auto" w:fill="CFF0FC"/>
          </w:tcPr>
          <w:p>
            <w:pPr>
              <w:jc w:val="right"/>
              <w:ind w:right="10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187</w:t>
            </w:r>
          </w:p>
        </w:tc>
        <w:tc>
          <w:tcPr>
            <w:tcW w:w="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6"/>
                <w:szCs w:val="16"/>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Adjusted EBITDA</w:t>
            </w:r>
          </w:p>
        </w:tc>
        <w:tc>
          <w:tcPr>
            <w:tcW w:w="4280" w:type="dxa"/>
            <w:vAlign w:val="bottom"/>
            <w:gridSpan w:val="2"/>
          </w:tcPr>
          <w:p>
            <w:pPr>
              <w:jc w:val="right"/>
              <w:ind w:right="10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r>
    </w:tbl>
    <w:p>
      <w:pPr>
        <w:spacing w:after="0" w:line="61" w:lineRule="exact"/>
        <w:rPr>
          <w:sz w:val="20"/>
          <w:szCs w:val="20"/>
          <w:color w:val="auto"/>
        </w:rPr>
      </w:pPr>
    </w:p>
    <w:p>
      <w:pPr>
        <w:ind w:left="1020" w:right="280" w:hanging="503"/>
        <w:spacing w:after="0" w:line="256" w:lineRule="auto"/>
        <w:tabs>
          <w:tab w:leader="none" w:pos="1020" w:val="left"/>
        </w:tabs>
        <w:numPr>
          <w:ilvl w:val="0"/>
          <w:numId w:val="9"/>
        </w:numPr>
        <w:rPr>
          <w:rFonts w:ascii="Times New Roman" w:cs="Times New Roman" w:eastAsia="Times New Roman" w:hAnsi="Times New Roman"/>
          <w:sz w:val="20"/>
          <w:szCs w:val="20"/>
          <w:color w:val="1D1C1D"/>
        </w:rPr>
      </w:pPr>
      <w:r>
        <w:rPr>
          <w:rFonts w:ascii="Arial" w:cs="Arial" w:eastAsia="Arial" w:hAnsi="Arial"/>
          <w:sz w:val="20"/>
          <w:szCs w:val="20"/>
          <w:color w:val="1D1C1D"/>
        </w:rPr>
        <w:t>For Q1 2026, expect revenue of $187-$189 million, representing 24-25% growth year-over-year driven by 27-28% marketplace growth.</w:t>
      </w:r>
    </w:p>
    <w:p>
      <w:pPr>
        <w:spacing w:after="0" w:line="48" w:lineRule="exact"/>
        <w:rPr>
          <w:rFonts w:ascii="Times New Roman" w:cs="Times New Roman" w:eastAsia="Times New Roman" w:hAnsi="Times New Roman"/>
          <w:sz w:val="20"/>
          <w:szCs w:val="20"/>
          <w:color w:val="1D1C1D"/>
        </w:rPr>
      </w:pPr>
    </w:p>
    <w:p>
      <w:pPr>
        <w:ind w:left="1020" w:right="580" w:hanging="503"/>
        <w:spacing w:after="0" w:line="256" w:lineRule="auto"/>
        <w:tabs>
          <w:tab w:leader="none" w:pos="1020" w:val="left"/>
        </w:tabs>
        <w:numPr>
          <w:ilvl w:val="0"/>
          <w:numId w:val="9"/>
        </w:numPr>
        <w:rPr>
          <w:rFonts w:ascii="Times New Roman" w:cs="Times New Roman" w:eastAsia="Times New Roman" w:hAnsi="Times New Roman"/>
          <w:sz w:val="20"/>
          <w:szCs w:val="20"/>
          <w:color w:val="1D1C1D"/>
        </w:rPr>
      </w:pPr>
      <w:r>
        <w:rPr>
          <w:rFonts w:ascii="Arial" w:cs="Arial" w:eastAsia="Arial" w:hAnsi="Arial"/>
          <w:sz w:val="20"/>
          <w:szCs w:val="20"/>
          <w:color w:val="1D1C1D"/>
        </w:rPr>
        <w:t>For Q1 2026, expect Adjusted EBITDA of $6.5-$7.5 million, an improvement from an Adjusted EBITDA of $0.1 million in Q1 2025.</w:t>
      </w:r>
    </w:p>
    <w:p>
      <w:pPr>
        <w:spacing w:after="0" w:line="48" w:lineRule="exact"/>
        <w:rPr>
          <w:rFonts w:ascii="Times New Roman" w:cs="Times New Roman" w:eastAsia="Times New Roman" w:hAnsi="Times New Roman"/>
          <w:sz w:val="20"/>
          <w:szCs w:val="20"/>
          <w:color w:val="1D1C1D"/>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1D1C1D"/>
        </w:rPr>
      </w:pPr>
      <w:r>
        <w:rPr>
          <w:rFonts w:ascii="Arial" w:cs="Arial" w:eastAsia="Arial" w:hAnsi="Arial"/>
          <w:sz w:val="20"/>
          <w:szCs w:val="20"/>
          <w:color w:val="1D1C1D"/>
        </w:rPr>
        <w:t>For Full Year 2026, expect revenue growth of at least 21% driven by at least 23% marketplace growth.</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 w:name="page8"/>
    <w:bookmarkEnd w:id="7"/>
    <w:p>
      <w:pPr>
        <w:ind w:left="1020" w:hanging="503"/>
        <w:spacing w:after="0"/>
        <w:tabs>
          <w:tab w:leader="none" w:pos="1020" w:val="left"/>
        </w:tabs>
        <w:numPr>
          <w:ilvl w:val="0"/>
          <w:numId w:val="10"/>
        </w:numPr>
        <w:rPr>
          <w:rFonts w:ascii="Times New Roman" w:cs="Times New Roman" w:eastAsia="Times New Roman" w:hAnsi="Times New Roman"/>
          <w:sz w:val="20"/>
          <w:szCs w:val="20"/>
          <w:color w:val="1D1C1D"/>
        </w:rPr>
      </w:pPr>
      <w:r>
        <w:rPr>
          <w:rFonts w:ascii="Arial" w:cs="Arial" w:eastAsia="Arial" w:hAnsi="Arial"/>
          <w:sz w:val="20"/>
          <w:szCs w:val="20"/>
          <w:color w:val="1D1C1D"/>
        </w:rPr>
        <w:t>For Full Year 2026, we expect incremental Adjusted EBITDA margins of at least 20%.</w:t>
      </w:r>
    </w:p>
    <w:p>
      <w:pPr>
        <w:spacing w:after="0" w:line="215"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Xometry’s first quarter and full year 2026 financial outlook is based on a number of assumptions that are subject to change and may be outside of its control. If actual results vary from these assumptions, Xometry’s expectations may change. There can be no assurance that Xometry will achieve these results.</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Reconciliation of Adjusted EBITDA on a forward-looking basis to net loss, the most directly comparable GAAP measure, is not available without unreasonable efforts due to the high variability and complexity and low visibility with respect to certain charges excluded from this non-GAAP measure, including interest and dividend income, (provision) benefit for income taxes, charitable contributions of common stock and impairment of assets. Xometry expects the variability of these items could have a significant, and potentially unpredictable, impact on its future GAAP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64"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income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3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0" w:right="379" w:bottom="1440" w:gutter="0" w:footer="0" w:header="0"/>
        </w:sectPr>
      </w:pPr>
    </w:p>
    <w:bookmarkStart w:id="8" w:name="page9"/>
    <w:bookmarkEnd w:id="8"/>
    <w:p>
      <w:pPr>
        <w:ind w:right="4080"/>
        <w:spacing w:after="0" w:line="437"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spacing w:after="0" w:line="1" w:lineRule="exact"/>
        <w:rPr>
          <w:sz w:val="20"/>
          <w:szCs w:val="20"/>
          <w:color w:val="auto"/>
        </w:rPr>
      </w:pPr>
    </w:p>
    <w:p>
      <w:pPr>
        <w:ind w:right="240"/>
        <w:spacing w:after="0" w:line="259" w:lineRule="auto"/>
        <w:rPr>
          <w:sz w:val="20"/>
          <w:szCs w:val="20"/>
          <w:color w:val="auto"/>
        </w:rPr>
      </w:pPr>
      <w:r>
        <w:rPr>
          <w:rFonts w:ascii="Arial" w:cs="Arial" w:eastAsia="Arial" w:hAnsi="Arial"/>
          <w:sz w:val="20"/>
          <w:szCs w:val="20"/>
          <w:b w:val="1"/>
          <w:bCs w:val="1"/>
          <w:color w:val="auto"/>
        </w:rPr>
        <w:t xml:space="preserve">Services revenue: </w:t>
      </w:r>
      <w:r>
        <w:rPr>
          <w:rFonts w:ascii="Arial" w:cs="Arial" w:eastAsia="Arial" w:hAnsi="Arial"/>
          <w:sz w:val="20"/>
          <w:szCs w:val="20"/>
          <w:color w:val="auto"/>
        </w:rPr>
        <w:t>includes the sales of marketing and advertising services and, to a lesser extent, financial service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and SaaS-based solutions. Services revenue was previously referred to as Supplier Services revenue.</w:t>
      </w:r>
    </w:p>
    <w:p>
      <w:pPr>
        <w:spacing w:after="0" w:line="111" w:lineRule="exact"/>
        <w:rPr>
          <w:sz w:val="20"/>
          <w:szCs w:val="20"/>
          <w:color w:val="auto"/>
        </w:rPr>
      </w:pPr>
    </w:p>
    <w:p>
      <w:pPr>
        <w:ind w:right="44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2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 In 2025, w</w:t>
      </w:r>
      <w:r>
        <w:rPr>
          <w:rFonts w:ascii="Arial" w:cs="Arial" w:eastAsia="Arial" w:hAnsi="Arial"/>
          <w:sz w:val="20"/>
          <w:szCs w:val="20"/>
          <w:color w:val="1D1C1D"/>
        </w:rPr>
        <w:t>e adjusted the number of our 2024</w:t>
      </w:r>
      <w:r>
        <w:rPr>
          <w:rFonts w:ascii="Arial" w:cs="Arial" w:eastAsia="Arial" w:hAnsi="Arial"/>
          <w:sz w:val="20"/>
          <w:szCs w:val="20"/>
          <w:color w:val="auto"/>
        </w:rPr>
        <w:t xml:space="preserve"> </w:t>
      </w:r>
      <w:r>
        <w:rPr>
          <w:rFonts w:ascii="Arial" w:cs="Arial" w:eastAsia="Arial" w:hAnsi="Arial"/>
          <w:sz w:val="20"/>
          <w:szCs w:val="20"/>
          <w:color w:val="1D1C1D"/>
        </w:rPr>
        <w:t>Active Suppliers to reflect an immaterial correction.</w:t>
      </w:r>
    </w:p>
    <w:p>
      <w:pPr>
        <w:spacing w:after="0" w:line="143" w:lineRule="exact"/>
        <w:rPr>
          <w:sz w:val="20"/>
          <w:szCs w:val="20"/>
          <w:color w:val="auto"/>
        </w:rPr>
      </w:pPr>
    </w:p>
    <w:p>
      <w:pPr>
        <w:jc w:val="both"/>
        <w:ind w:right="12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11" w:lineRule="exact"/>
        <w:rPr>
          <w:sz w:val="20"/>
          <w:szCs w:val="20"/>
          <w:color w:val="auto"/>
        </w:rPr>
      </w:pPr>
    </w:p>
    <w:p>
      <w:pPr>
        <w:ind w:right="24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28" w:lineRule="exact"/>
        <w:rPr>
          <w:sz w:val="20"/>
          <w:szCs w:val="20"/>
          <w:color w:val="auto"/>
        </w:rPr>
      </w:pPr>
    </w:p>
    <w:p>
      <w:pPr>
        <w:spacing w:after="0" w:line="231"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and certain other non-cash or non-recurring items impacting net loss from time to time, principally comprised of depreciation and amortization, amortization of lease intangible, provision (benefit) for income taxes, stock-based compensation, payroll tax expense related to stock-based compensation, charitable contributions of common stock, loss (income) from unconsolidated joint venture, impairment of assets, restructuring charges and acquisition and other adjustments not reflective of the Company’s ongoing business, such as adjustments related to purchase accounting, the revaluation of contingent consideration, transaction costs and executive severance.</w:t>
      </w:r>
    </w:p>
    <w:p>
      <w:pPr>
        <w:spacing w:after="0" w:line="146"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b w:val="1"/>
          <w:bCs w:val="1"/>
          <w:color w:val="auto"/>
        </w:rPr>
        <w:t xml:space="preserve">Non-GAAP net income (loss): </w:t>
      </w:r>
      <w:r>
        <w:rPr>
          <w:rFonts w:ascii="Arial" w:cs="Arial" w:eastAsia="Arial" w:hAnsi="Arial"/>
          <w:sz w:val="20"/>
          <w:szCs w:val="20"/>
          <w:color w:val="auto"/>
        </w:rPr>
        <w:t>The Company defines non-GAAP net income (loss) as net loss adjusted for depreciation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stock-based compensation, payroll tax expense related to stock-based compensation, amortization of lease intangible, amortization of deferred costs on convertible notes, loss on sale of property and equipment, charitable contributions of common stock, lease termination, impairment of assets, restructuring charges, loss on debt extinguishment and acquisition and other adjustments not reflective of the Company’s ongoing business, such as adjustments related to purchase accounting, the revaluation of contingent consideration, transaction costs and executive severance.</w:t>
      </w:r>
    </w:p>
    <w:p>
      <w:pPr>
        <w:spacing w:after="0" w:line="132"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income (loss) divided by the weighted average number of basic or dilutive shares of common stock outstanding.</w:t>
      </w:r>
    </w:p>
    <w:p>
      <w:pPr>
        <w:spacing w:after="0" w:line="130"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income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9" w:name="page10"/>
    <w:bookmarkEnd w:id="9"/>
    <w:p>
      <w:pPr>
        <w:ind w:right="120"/>
        <w:spacing w:after="0" w:line="257" w:lineRule="auto"/>
        <w:rPr>
          <w:sz w:val="20"/>
          <w:szCs w:val="20"/>
          <w:color w:val="auto"/>
        </w:rPr>
      </w:pPr>
      <w:r>
        <w:rPr>
          <w:rFonts w:ascii="Arial" w:cs="Arial" w:eastAsia="Arial" w:hAnsi="Arial"/>
          <w:sz w:val="20"/>
          <w:szCs w:val="20"/>
          <w:color w:val="auto"/>
        </w:rPr>
        <w:t>non-cash charges can be useful because the amount of such expenses is the result of long-term investment decisions made in previous periods rather than day-to-day operating decisions.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Xometry’s (NASDAQ: XMTR) AI-native marketplace, popular Thomasnet® industrial sourcing platform and suite of cloud-based services are rapidly digitizing the manufacturing industry. Xometry provides manufacturers the critical resources they need to grow their business and streamlines the procurement process for buyers through real-time pricing and lead time data. Learn more at xometry.com and xometry.eu.</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February 24, 2026. In addition to its press release announcing its fourth quarter 2025 financial results, Xometry will release an earnings presentation, which will be available on its investor website at investors.xometry.com.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Xometry, Inc. Fourth Quarter and Full Year 2025 Earnings Presentation and Conference Call</w:t>
      </w:r>
    </w:p>
    <w:p>
      <w:pPr>
        <w:spacing w:after="0" w:line="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Tuesday, February 24, 2026</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3"/>
        <w:spacing w:after="0" w:line="238"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https://register-conf.media-server.com/register</w:t>
      </w:r>
    </w:p>
    <w:p>
      <w:pPr>
        <w:ind w:left="1020" w:right="6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first quarter of 2026 and the full year 2026; our expectations regarding our growth; and statements regarding our strategies,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2025,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00"/>
          </w:cols>
          <w:pgMar w:left="320" w:top="982" w:right="37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Shawn Milne</w:t>
      </w:r>
    </w:p>
    <w:p>
      <w:pPr>
        <w:spacing w:after="0" w:line="232" w:lineRule="auto"/>
        <w:rPr>
          <w:sz w:val="20"/>
          <w:szCs w:val="20"/>
          <w:color w:val="auto"/>
        </w:rPr>
      </w:pPr>
      <w:r>
        <w:rPr>
          <w:rFonts w:ascii="Arial" w:cs="Arial" w:eastAsia="Arial" w:hAnsi="Arial"/>
          <w:sz w:val="17"/>
          <w:szCs w:val="17"/>
          <w:color w:val="auto"/>
        </w:rPr>
        <w:t>VP Investor Relations</w:t>
      </w:r>
    </w:p>
    <w:p>
      <w:pPr>
        <w:spacing w:after="0" w:line="232" w:lineRule="auto"/>
        <w:rPr>
          <w:sz w:val="20"/>
          <w:szCs w:val="20"/>
          <w:color w:val="auto"/>
        </w:rPr>
      </w:pPr>
      <w:r>
        <w:rPr>
          <w:rFonts w:ascii="Arial" w:cs="Arial" w:eastAsia="Arial" w:hAnsi="Arial"/>
          <w:sz w:val="17"/>
          <w:szCs w:val="17"/>
          <w:color w:val="auto"/>
        </w:rPr>
        <w:t>240-335-8132</w:t>
      </w:r>
    </w:p>
    <w:p>
      <w:pPr>
        <w:spacing w:after="0"/>
        <w:rPr>
          <w:sz w:val="20"/>
          <w:szCs w:val="20"/>
          <w:color w:val="auto"/>
        </w:rPr>
      </w:pPr>
      <w:r>
        <w:rPr>
          <w:rFonts w:ascii="Arial" w:cs="Arial" w:eastAsia="Arial" w:hAnsi="Arial"/>
          <w:sz w:val="17"/>
          <w:szCs w:val="17"/>
          <w:color w:val="auto"/>
        </w:rPr>
        <w:t>shawn.milne@xometry.com</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Lauran Cacciatori</w:t>
      </w:r>
    </w:p>
    <w:p>
      <w:pPr>
        <w:spacing w:after="0" w:line="232" w:lineRule="auto"/>
        <w:rPr>
          <w:sz w:val="20"/>
          <w:szCs w:val="20"/>
          <w:color w:val="auto"/>
        </w:rPr>
      </w:pPr>
      <w:r>
        <w:rPr>
          <w:rFonts w:ascii="Arial" w:cs="Arial" w:eastAsia="Arial" w:hAnsi="Arial"/>
          <w:sz w:val="17"/>
          <w:szCs w:val="17"/>
          <w:color w:val="auto"/>
        </w:rPr>
        <w:t>VP Communications</w:t>
      </w:r>
    </w:p>
    <w:p>
      <w:pPr>
        <w:spacing w:after="0" w:line="232" w:lineRule="auto"/>
        <w:rPr>
          <w:sz w:val="20"/>
          <w:szCs w:val="20"/>
          <w:color w:val="auto"/>
        </w:rPr>
      </w:pPr>
      <w:r>
        <w:rPr>
          <w:rFonts w:ascii="Arial" w:cs="Arial" w:eastAsia="Arial" w:hAnsi="Arial"/>
          <w:sz w:val="17"/>
          <w:szCs w:val="17"/>
          <w:color w:val="auto"/>
        </w:rPr>
        <w:t>773-610-0806</w:t>
      </w:r>
    </w:p>
    <w:p>
      <w:pPr>
        <w:spacing w:after="0"/>
        <w:rPr>
          <w:sz w:val="20"/>
          <w:szCs w:val="20"/>
          <w:color w:val="auto"/>
        </w:rPr>
      </w:pPr>
      <w:r>
        <w:rPr>
          <w:rFonts w:ascii="Arial" w:cs="Arial" w:eastAsia="Arial" w:hAnsi="Arial"/>
          <w:sz w:val="17"/>
          <w:szCs w:val="17"/>
          <w:color w:val="auto"/>
        </w:rPr>
        <w:t>lauran.cacciatori@xometry.com</w:t>
      </w:r>
    </w:p>
    <w:p>
      <w:pPr>
        <w:spacing w:after="0" w:line="200" w:lineRule="exact"/>
        <w:rPr>
          <w:sz w:val="20"/>
          <w:szCs w:val="20"/>
          <w:color w:val="auto"/>
        </w:rPr>
      </w:pPr>
    </w:p>
    <w:p>
      <w:pPr>
        <w:sectPr>
          <w:pgSz w:w="11900" w:h="16838" w:orient="portrait"/>
          <w:cols w:equalWidth="0" w:num="2">
            <w:col w:w="4900" w:space="720"/>
            <w:col w:w="5580"/>
          </w:cols>
          <w:pgMar w:left="320" w:top="982" w:right="37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2" w:right="37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100"/>
        <w:spacing w:after="0" w:line="231" w:lineRule="auto"/>
        <w:rPr>
          <w:sz w:val="20"/>
          <w:szCs w:val="20"/>
          <w:color w:val="auto"/>
        </w:rPr>
      </w:pPr>
      <w:r>
        <w:rPr>
          <w:rFonts w:ascii="Arial" w:cs="Arial" w:eastAsia="Arial" w:hAnsi="Arial"/>
          <w:sz w:val="20"/>
          <w:szCs w:val="20"/>
          <w:color w:val="auto"/>
        </w:rPr>
        <w:t>Consolidated Balance Sheets</w:t>
      </w:r>
    </w:p>
    <w:p>
      <w:pPr>
        <w:jc w:val="center"/>
        <w:spacing w:after="0" w:line="226" w:lineRule="auto"/>
        <w:rPr>
          <w:sz w:val="20"/>
          <w:szCs w:val="20"/>
          <w:color w:val="auto"/>
        </w:rPr>
      </w:pPr>
      <w:r>
        <w:rPr>
          <w:rFonts w:ascii="Arial" w:cs="Arial" w:eastAsia="Arial" w:hAnsi="Arial"/>
          <w:sz w:val="20"/>
          <w:szCs w:val="20"/>
          <w:color w:val="auto"/>
        </w:rPr>
        <w:t>(In thousands, except share and per share data)</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72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6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56"/>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14,996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22,232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204,145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217,603</w:t>
            </w:r>
          </w:p>
        </w:tc>
        <w:tc>
          <w:tcPr>
            <w:tcW w:w="120" w:type="dxa"/>
            <w:vAlign w:val="bottom"/>
          </w:tcPr>
          <w:p>
            <w:pPr>
              <w:spacing w:after="0"/>
              <w:rPr>
                <w:sz w:val="14"/>
                <w:szCs w:val="14"/>
                <w:color w:val="auto"/>
              </w:rPr>
            </w:pP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Accounts receivable, less allowance for credit losses of $8.0 million and $4.9 million as of</w:t>
            </w: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December 31, 2025 and December 31, 2024</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97,370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73,962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3,917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3,915</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4,954</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6,954</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14"/>
                <w:szCs w:val="14"/>
                <w:color w:val="auto"/>
              </w:rPr>
            </w:pPr>
          </w:p>
        </w:tc>
      </w:tr>
      <w:tr>
        <w:trPr>
          <w:trHeight w:val="156"/>
        </w:trPr>
        <w:tc>
          <w:tcPr>
            <w:tcW w:w="72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Total current assets</w:t>
            </w: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334,644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327,540</w:t>
            </w: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60,631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44,825</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8,462</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Investment in unconsolidated joint venture</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4,069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4,065</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Intangible assets, net</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28,563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32,139</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263,801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262,686</w:t>
            </w:r>
          </w:p>
        </w:tc>
        <w:tc>
          <w:tcPr>
            <w:tcW w:w="12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880</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703,720</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680,129</w:t>
            </w:r>
          </w:p>
        </w:tc>
        <w:tc>
          <w:tcPr>
            <w:tcW w:w="120" w:type="dxa"/>
            <w:vAlign w:val="bottom"/>
          </w:tcPr>
          <w:p>
            <w:pPr>
              <w:spacing w:after="0"/>
              <w:rPr>
                <w:sz w:val="13"/>
                <w:szCs w:val="13"/>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2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22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Accounts payable and accrued cost of revenue</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44,612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35,023</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Other accrued expenses</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31,669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24,401</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Contract liabilities</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10,319</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7,948</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14"/>
                <w:szCs w:val="14"/>
                <w:color w:val="auto"/>
              </w:rPr>
            </w:pPr>
          </w:p>
        </w:tc>
      </w:tr>
      <w:tr>
        <w:trPr>
          <w:trHeight w:val="162"/>
        </w:trPr>
        <w:tc>
          <w:tcPr>
            <w:tcW w:w="7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Operating lease liabilities, current portion</w:t>
            </w:r>
          </w:p>
        </w:tc>
        <w:tc>
          <w:tcPr>
            <w:tcW w:w="2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6,436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2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current liabilities</w:t>
            </w: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88,936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74,787</w:t>
            </w:r>
          </w:p>
        </w:tc>
        <w:tc>
          <w:tcPr>
            <w:tcW w:w="120" w:type="dxa"/>
            <w:vAlign w:val="bottom"/>
          </w:tcPr>
          <w:p>
            <w:pPr>
              <w:spacing w:after="0"/>
              <w:rPr>
                <w:sz w:val="13"/>
                <w:szCs w:val="13"/>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Convertible notes</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327,514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283,628</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Operating lease liabilities, net of current portion</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9,841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5,072</w:t>
            </w:r>
          </w:p>
        </w:tc>
        <w:tc>
          <w:tcPr>
            <w:tcW w:w="120" w:type="dxa"/>
            <w:vAlign w:val="bottom"/>
          </w:tcPr>
          <w:p>
            <w:pPr>
              <w:spacing w:after="0"/>
              <w:rPr>
                <w:sz w:val="14"/>
                <w:szCs w:val="14"/>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4"/>
                <w:szCs w:val="14"/>
                <w:color w:val="auto"/>
              </w:rPr>
            </w:pP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4"/>
                <w:szCs w:val="14"/>
                <w:color w:val="auto"/>
              </w:rPr>
            </w:pPr>
          </w:p>
        </w:tc>
      </w:tr>
      <w:tr>
        <w:trPr>
          <w:trHeight w:val="155"/>
        </w:trPr>
        <w:tc>
          <w:tcPr>
            <w:tcW w:w="722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426,983</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364,533</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7220" w:type="dxa"/>
            <w:vAlign w:val="bottom"/>
          </w:tcPr>
          <w:p>
            <w:pPr>
              <w:spacing w:after="0" w:line="155" w:lineRule="exact"/>
              <w:rPr>
                <w:sz w:val="20"/>
                <w:szCs w:val="20"/>
                <w:color w:val="auto"/>
              </w:rPr>
            </w:pPr>
            <w:r>
              <w:rPr>
                <w:rFonts w:ascii="Arial" w:cs="Arial" w:eastAsia="Arial" w:hAnsi="Arial"/>
                <w:sz w:val="14"/>
                <w:szCs w:val="14"/>
                <w:b w:val="1"/>
                <w:bCs w:val="1"/>
                <w:color w:val="auto"/>
              </w:rPr>
              <w:t>Commitments and contingencies</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2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3"/>
        </w:trPr>
        <w:tc>
          <w:tcPr>
            <w:tcW w:w="7220" w:type="dxa"/>
            <w:vAlign w:val="bottom"/>
          </w:tcPr>
          <w:p>
            <w:pPr>
              <w:ind w:left="120"/>
              <w:spacing w:after="0" w:line="153" w:lineRule="exact"/>
              <w:rPr>
                <w:sz w:val="20"/>
                <w:szCs w:val="20"/>
                <w:color w:val="auto"/>
              </w:rPr>
            </w:pPr>
            <w:r>
              <w:rPr>
                <w:rFonts w:ascii="Arial" w:cs="Arial" w:eastAsia="Arial" w:hAnsi="Arial"/>
                <w:sz w:val="14"/>
                <w:szCs w:val="14"/>
                <w:color w:val="auto"/>
              </w:rPr>
              <w:t>Preferred stock, $0.000001 par value. Authorized; 50,000,000 shares; zero shares issued</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7220" w:type="dxa"/>
            <w:vAlign w:val="bottom"/>
          </w:tcPr>
          <w:p>
            <w:pPr>
              <w:ind w:left="120"/>
              <w:spacing w:after="0"/>
              <w:rPr>
                <w:sz w:val="20"/>
                <w:szCs w:val="20"/>
                <w:color w:val="auto"/>
              </w:rPr>
            </w:pPr>
            <w:r>
              <w:rPr>
                <w:rFonts w:ascii="Arial" w:cs="Arial" w:eastAsia="Arial" w:hAnsi="Arial"/>
                <w:sz w:val="14"/>
                <w:szCs w:val="14"/>
                <w:color w:val="auto"/>
              </w:rPr>
              <w:t>and outstanding as of December 31, 2025 and December 31, 2024</w:t>
            </w:r>
          </w:p>
        </w:tc>
        <w:tc>
          <w:tcPr>
            <w:tcW w:w="260" w:type="dxa"/>
            <w:vAlign w:val="bottom"/>
          </w:tcPr>
          <w:p>
            <w:pPr>
              <w:spacing w:after="0"/>
              <w:rPr>
                <w:sz w:val="14"/>
                <w:szCs w:val="14"/>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7220" w:type="dxa"/>
            <w:vAlign w:val="bottom"/>
            <w:shd w:val="clear" w:color="auto" w:fill="CFF0FC"/>
          </w:tcPr>
          <w:p>
            <w:pPr>
              <w:ind w:left="120"/>
              <w:spacing w:after="0" w:line="153" w:lineRule="exact"/>
              <w:rPr>
                <w:sz w:val="20"/>
                <w:szCs w:val="20"/>
                <w:color w:val="auto"/>
              </w:rPr>
            </w:pPr>
            <w:r>
              <w:rPr>
                <w:rFonts w:ascii="Arial" w:cs="Arial" w:eastAsia="Arial" w:hAnsi="Arial"/>
                <w:sz w:val="14"/>
                <w:szCs w:val="14"/>
                <w:color w:val="auto"/>
              </w:rPr>
              <w:t>Class A Common stock, $0.000001 par value. Authorized; 750,000,000 shares; 49,842,220</w:t>
            </w: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and 48,289,274 shares issued and outstanding as of December 31, 2025 and</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December 31, 2024, respectively</w:t>
            </w:r>
          </w:p>
        </w:tc>
        <w:tc>
          <w:tcPr>
            <w:tcW w:w="260" w:type="dxa"/>
            <w:vAlign w:val="bottom"/>
            <w:shd w:val="clear" w:color="auto" w:fill="CFF0FC"/>
          </w:tcPr>
          <w:p>
            <w:pPr>
              <w:spacing w:after="0"/>
              <w:rPr>
                <w:sz w:val="14"/>
                <w:szCs w:val="14"/>
                <w:color w:val="auto"/>
              </w:rPr>
            </w:pPr>
          </w:p>
        </w:tc>
        <w:tc>
          <w:tcPr>
            <w:tcW w:w="18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7220" w:type="dxa"/>
            <w:vAlign w:val="bottom"/>
          </w:tcPr>
          <w:p>
            <w:pPr>
              <w:ind w:left="120"/>
              <w:spacing w:after="0" w:line="153" w:lineRule="exact"/>
              <w:rPr>
                <w:sz w:val="20"/>
                <w:szCs w:val="20"/>
                <w:color w:val="auto"/>
              </w:rPr>
            </w:pPr>
            <w:r>
              <w:rPr>
                <w:rFonts w:ascii="Arial" w:cs="Arial" w:eastAsia="Arial" w:hAnsi="Arial"/>
                <w:sz w:val="14"/>
                <w:szCs w:val="14"/>
                <w:color w:val="auto"/>
              </w:rPr>
              <w:t>Class B Common stock, $0.000001 par value. Authorized; 5,000,000 shares; 1,475,311</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7220" w:type="dxa"/>
            <w:vAlign w:val="bottom"/>
          </w:tcPr>
          <w:p>
            <w:pPr>
              <w:ind w:left="120"/>
              <w:spacing w:after="0"/>
              <w:rPr>
                <w:sz w:val="20"/>
                <w:szCs w:val="20"/>
                <w:color w:val="auto"/>
              </w:rPr>
            </w:pPr>
            <w:r>
              <w:rPr>
                <w:rFonts w:ascii="Arial" w:cs="Arial" w:eastAsia="Arial" w:hAnsi="Arial"/>
                <w:sz w:val="14"/>
                <w:szCs w:val="14"/>
                <w:color w:val="auto"/>
              </w:rPr>
              <w:t>shares issued and outstanding as of December 31, 2025 and December 31, 2024</w:t>
            </w:r>
          </w:p>
        </w:tc>
        <w:tc>
          <w:tcPr>
            <w:tcW w:w="260" w:type="dxa"/>
            <w:vAlign w:val="bottom"/>
          </w:tcPr>
          <w:p>
            <w:pPr>
              <w:spacing w:after="0"/>
              <w:rPr>
                <w:sz w:val="14"/>
                <w:szCs w:val="14"/>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710,925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685,054</w:t>
            </w:r>
          </w:p>
        </w:tc>
        <w:tc>
          <w:tcPr>
            <w:tcW w:w="120" w:type="dxa"/>
            <w:vAlign w:val="bottom"/>
            <w:shd w:val="clear" w:color="auto" w:fill="CFF0FC"/>
          </w:tcPr>
          <w:p>
            <w:pPr>
              <w:spacing w:after="0"/>
              <w:rPr>
                <w:sz w:val="14"/>
                <w:szCs w:val="14"/>
                <w:color w:val="auto"/>
              </w:rPr>
            </w:pPr>
          </w:p>
        </w:tc>
      </w:tr>
      <w:tr>
        <w:trPr>
          <w:trHeight w:val="153"/>
        </w:trPr>
        <w:tc>
          <w:tcPr>
            <w:tcW w:w="7220" w:type="dxa"/>
            <w:vAlign w:val="bottom"/>
          </w:tcPr>
          <w:p>
            <w:pPr>
              <w:ind w:left="120"/>
              <w:spacing w:after="0" w:line="153" w:lineRule="exact"/>
              <w:rPr>
                <w:sz w:val="20"/>
                <w:szCs w:val="20"/>
                <w:color w:val="auto"/>
              </w:rPr>
            </w:pPr>
            <w:r>
              <w:rPr>
                <w:rFonts w:ascii="Arial" w:cs="Arial" w:eastAsia="Arial" w:hAnsi="Arial"/>
                <w:sz w:val="14"/>
                <w:szCs w:val="14"/>
                <w:color w:val="auto"/>
              </w:rPr>
              <w:t>Treasury stock, at cost, 220,994 and zero shares as of December 31, 2025 and</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7220" w:type="dxa"/>
            <w:vAlign w:val="bottom"/>
          </w:tcPr>
          <w:p>
            <w:pPr>
              <w:ind w:left="120"/>
              <w:spacing w:after="0"/>
              <w:rPr>
                <w:sz w:val="20"/>
                <w:szCs w:val="20"/>
                <w:color w:val="auto"/>
              </w:rPr>
            </w:pPr>
            <w:r>
              <w:rPr>
                <w:rFonts w:ascii="Arial" w:cs="Arial" w:eastAsia="Arial" w:hAnsi="Arial"/>
                <w:sz w:val="14"/>
                <w:szCs w:val="14"/>
                <w:color w:val="auto"/>
              </w:rPr>
              <w:t>December 31, 2024, respectively</w:t>
            </w:r>
          </w:p>
        </w:tc>
        <w:tc>
          <w:tcPr>
            <w:tcW w:w="260" w:type="dxa"/>
            <w:vAlign w:val="bottom"/>
          </w:tcPr>
          <w:p>
            <w:pPr>
              <w:spacing w:after="0"/>
              <w:rPr>
                <w:sz w:val="14"/>
                <w:szCs w:val="14"/>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(8,080)</w:t>
            </w:r>
          </w:p>
        </w:tc>
        <w:tc>
          <w:tcPr>
            <w:tcW w:w="26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(328)</w:t>
            </w:r>
          </w:p>
        </w:tc>
      </w:tr>
      <w:tr>
        <w:trPr>
          <w:trHeight w:val="162"/>
        </w:trPr>
        <w:tc>
          <w:tcPr>
            <w:tcW w:w="7220" w:type="dxa"/>
            <w:vAlign w:val="bottom"/>
          </w:tcPr>
          <w:p>
            <w:pPr>
              <w:ind w:left="12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4"/>
                <w:szCs w:val="14"/>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4"/>
                <w:szCs w:val="14"/>
                <w:color w:val="auto"/>
              </w:rPr>
              <w:t>(432,016)</w:t>
            </w:r>
          </w:p>
        </w:tc>
        <w:tc>
          <w:tcPr>
            <w:tcW w:w="260" w:type="dxa"/>
            <w:vAlign w:val="bottom"/>
          </w:tcPr>
          <w:p>
            <w:pPr>
              <w:spacing w:after="0"/>
              <w:rPr>
                <w:sz w:val="14"/>
                <w:szCs w:val="14"/>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4"/>
                <w:szCs w:val="14"/>
                <w:color w:val="auto"/>
              </w:rPr>
              <w:t>(370,273)</w:t>
            </w:r>
          </w:p>
        </w:tc>
      </w:tr>
      <w:tr>
        <w:trPr>
          <w:trHeight w:val="155"/>
        </w:trPr>
        <w:tc>
          <w:tcPr>
            <w:tcW w:w="72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stockholders’ equity</w:t>
            </w:r>
          </w:p>
        </w:tc>
        <w:tc>
          <w:tcPr>
            <w:tcW w:w="26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275,601</w:t>
            </w:r>
          </w:p>
        </w:tc>
        <w:tc>
          <w:tcPr>
            <w:tcW w:w="28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314,453</w:t>
            </w:r>
          </w:p>
        </w:tc>
        <w:tc>
          <w:tcPr>
            <w:tcW w:w="120" w:type="dxa"/>
            <w:vAlign w:val="bottom"/>
            <w:shd w:val="clear" w:color="auto" w:fill="CFF0FC"/>
          </w:tcPr>
          <w:p>
            <w:pPr>
              <w:spacing w:after="0"/>
              <w:rPr>
                <w:sz w:val="13"/>
                <w:szCs w:val="13"/>
                <w:color w:val="auto"/>
              </w:rPr>
            </w:pPr>
          </w:p>
        </w:tc>
      </w:tr>
      <w:tr>
        <w:trPr>
          <w:trHeight w:val="162"/>
        </w:trPr>
        <w:tc>
          <w:tcPr>
            <w:tcW w:w="7220" w:type="dxa"/>
            <w:vAlign w:val="bottom"/>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w:t>
            </w:r>
          </w:p>
        </w:tc>
        <w:tc>
          <w:tcPr>
            <w:tcW w:w="120" w:type="dxa"/>
            <w:vAlign w:val="bottom"/>
          </w:tcPr>
          <w:p>
            <w:pPr>
              <w:spacing w:after="0"/>
              <w:rPr>
                <w:sz w:val="14"/>
                <w:szCs w:val="14"/>
                <w:color w:val="auto"/>
              </w:rPr>
            </w:pPr>
          </w:p>
        </w:tc>
      </w:tr>
      <w:tr>
        <w:trPr>
          <w:trHeight w:val="155"/>
        </w:trPr>
        <w:tc>
          <w:tcPr>
            <w:tcW w:w="722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276,737</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315,596</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722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703,720</w:t>
            </w:r>
          </w:p>
        </w:tc>
        <w:tc>
          <w:tcPr>
            <w:tcW w:w="28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680,129</w:t>
            </w:r>
          </w:p>
        </w:tc>
        <w:tc>
          <w:tcPr>
            <w:tcW w:w="120" w:type="dxa"/>
            <w:vAlign w:val="bottom"/>
          </w:tcPr>
          <w:p>
            <w:pPr>
              <w:spacing w:after="0"/>
              <w:rPr>
                <w:sz w:val="13"/>
                <w:szCs w:val="13"/>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-3402330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-3402330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-2545080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-2545080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-1910715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-136525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 xml:space="preserve">Xometry, Inc. and Subsidiaries </w:t>
      </w:r>
      <w:r>
        <w:rPr>
          <w:rFonts w:ascii="Arial" w:cs="Arial" w:eastAsia="Arial" w:hAnsi="Arial"/>
          <w:sz w:val="20"/>
          <w:szCs w:val="20"/>
          <w:color w:val="auto"/>
        </w:rPr>
        <w:t>Consolidated Statements of Operations and Comprehensive Loss (In thousands, except share and per share amounts) (Unaudited)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192,398</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148,546</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686,631</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545,529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117,160</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417,858</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Gross profit</w:t>
            </w: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75,238</w:t>
            </w:r>
          </w:p>
        </w:tc>
        <w:tc>
          <w:tcPr>
            <w:tcW w:w="2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59,020</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268,773</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215,624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Sales and marketing</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33,884</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26,546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122,749</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108,437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20"/>
              <w:spacing w:after="0"/>
              <w:rPr>
                <w:sz w:val="20"/>
                <w:szCs w:val="20"/>
                <w:color w:val="auto"/>
              </w:rPr>
            </w:pPr>
            <w:r>
              <w:rPr>
                <w:rFonts w:ascii="Arial" w:cs="Arial" w:eastAsia="Arial" w:hAnsi="Arial"/>
                <w:sz w:val="14"/>
                <w:szCs w:val="14"/>
                <w:color w:val="auto"/>
              </w:rPr>
              <w:t>Operations and support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19,190</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16,057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72,415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58,975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Product development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12,089</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46,792</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18,851</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72,284</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64,957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Impairment of assets</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Total operating expenses</w:t>
            </w: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84,014</w:t>
            </w:r>
          </w:p>
        </w:tc>
        <w:tc>
          <w:tcPr>
            <w:tcW w:w="220" w:type="dxa"/>
            <w:vAlign w:val="bottom"/>
            <w:tcBorders>
              <w:top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70,542</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314,289</w:t>
            </w:r>
          </w:p>
        </w:tc>
        <w:tc>
          <w:tcPr>
            <w:tcW w:w="240" w:type="dxa"/>
            <w:vAlign w:val="bottom"/>
            <w:tcBorders>
              <w:top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271,773</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Loss from operations</w:t>
            </w: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(8,776)</w:t>
            </w:r>
          </w:p>
        </w:tc>
        <w:tc>
          <w:tcPr>
            <w:tcW w:w="4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(11,522)</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(45,516)</w:t>
            </w:r>
          </w:p>
        </w:tc>
        <w:tc>
          <w:tcPr>
            <w:tcW w:w="4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(56,149)</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b w:val="1"/>
                <w:bCs w:val="1"/>
                <w:color w:val="auto"/>
              </w:rPr>
              <w:t>Other (expenses) income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(1,258)</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(1,188)</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(4,907)</w:t>
            </w:r>
          </w:p>
        </w:tc>
        <w:tc>
          <w:tcPr>
            <w:tcW w:w="4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(4,752)</w:t>
            </w:r>
          </w:p>
        </w:tc>
        <w:tc>
          <w:tcPr>
            <w:tcW w:w="0" w:type="dxa"/>
            <w:vAlign w:val="bottom"/>
          </w:tcPr>
          <w:p>
            <w:pPr>
              <w:spacing w:after="0"/>
              <w:rPr>
                <w:sz w:val="1"/>
                <w:szCs w:val="1"/>
                <w:color w:val="auto"/>
              </w:rPr>
            </w:pPr>
          </w:p>
        </w:tc>
      </w:tr>
      <w:tr>
        <w:trPr>
          <w:trHeight w:val="162"/>
        </w:trPr>
        <w:tc>
          <w:tcPr>
            <w:tcW w:w="5280" w:type="dxa"/>
            <w:vAlign w:val="bottom"/>
          </w:tcPr>
          <w:p>
            <w:pPr>
              <w:ind w:left="120"/>
              <w:spacing w:after="0"/>
              <w:rPr>
                <w:sz w:val="20"/>
                <w:szCs w:val="20"/>
                <w:color w:val="auto"/>
              </w:rPr>
            </w:pPr>
            <w:r>
              <w:rPr>
                <w:rFonts w:ascii="Arial" w:cs="Arial" w:eastAsia="Arial" w:hAnsi="Arial"/>
                <w:sz w:val="14"/>
                <w:szCs w:val="14"/>
                <w:color w:val="auto"/>
              </w:rPr>
              <w:t>Interest and dividend income</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1,977</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8,568</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expenses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(19,708)</w:t>
            </w:r>
          </w:p>
        </w:tc>
        <w:tc>
          <w:tcPr>
            <w:tcW w:w="4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62"/>
        </w:trPr>
        <w:tc>
          <w:tcPr>
            <w:tcW w:w="5280" w:type="dxa"/>
            <w:vAlign w:val="bottom"/>
          </w:tcPr>
          <w:p>
            <w:pPr>
              <w:ind w:left="120"/>
              <w:spacing w:after="0"/>
              <w:rPr>
                <w:sz w:val="20"/>
                <w:szCs w:val="20"/>
                <w:color w:val="auto"/>
              </w:rPr>
            </w:pPr>
            <w:r>
              <w:rPr>
                <w:rFonts w:ascii="Arial" w:cs="Arial" w:eastAsia="Arial" w:hAnsi="Arial"/>
                <w:sz w:val="14"/>
                <w:szCs w:val="14"/>
                <w:color w:val="auto"/>
              </w:rPr>
              <w:t>Income from unconsolidated joint venture</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(140)</w:t>
            </w:r>
          </w:p>
        </w:tc>
        <w:tc>
          <w:tcPr>
            <w:tcW w:w="4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404</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other (expenses) income</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752</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1,585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(15,643)</w:t>
            </w:r>
          </w:p>
        </w:tc>
        <w:tc>
          <w:tcPr>
            <w:tcW w:w="4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3"/>
                <w:szCs w:val="13"/>
                <w:color w:val="auto"/>
              </w:rPr>
            </w:pP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(8,024)</w:t>
            </w:r>
          </w:p>
        </w:tc>
        <w:tc>
          <w:tcPr>
            <w:tcW w:w="420" w:type="dxa"/>
            <w:vAlign w:val="bottom"/>
          </w:tcPr>
          <w:p>
            <w:pPr>
              <w:spacing w:after="0"/>
              <w:rPr>
                <w:sz w:val="13"/>
                <w:szCs w:val="13"/>
                <w:color w:val="auto"/>
              </w:rPr>
            </w:pP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(9,937)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(61,159)</w:t>
            </w:r>
          </w:p>
        </w:tc>
        <w:tc>
          <w:tcPr>
            <w:tcW w:w="42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(50,424)</w:t>
            </w: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(Provision) benefit for income taxes</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(614)</w:t>
            </w: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(589)</w:t>
            </w:r>
          </w:p>
        </w:tc>
        <w:tc>
          <w:tcPr>
            <w:tcW w:w="4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loss</w:t>
            </w:r>
          </w:p>
        </w:tc>
        <w:tc>
          <w:tcPr>
            <w:tcW w:w="280" w:type="dxa"/>
            <w:vAlign w:val="bottom"/>
          </w:tcPr>
          <w:p>
            <w:pPr>
              <w:spacing w:after="0"/>
              <w:rPr>
                <w:sz w:val="13"/>
                <w:szCs w:val="13"/>
                <w:color w:val="auto"/>
              </w:rPr>
            </w:pP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(8,638)</w:t>
            </w:r>
          </w:p>
        </w:tc>
        <w:tc>
          <w:tcPr>
            <w:tcW w:w="420" w:type="dxa"/>
            <w:vAlign w:val="bottom"/>
          </w:tcPr>
          <w:p>
            <w:pPr>
              <w:spacing w:after="0"/>
              <w:rPr>
                <w:sz w:val="13"/>
                <w:szCs w:val="13"/>
                <w:color w:val="auto"/>
              </w:rPr>
            </w:pP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(9,896)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(61,748)</w:t>
            </w:r>
          </w:p>
        </w:tc>
        <w:tc>
          <w:tcPr>
            <w:tcW w:w="42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(50,403)</w:t>
            </w: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Net loss attributable to noncontrolling interest</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w:t>
            </w:r>
          </w:p>
        </w:tc>
        <w:tc>
          <w:tcPr>
            <w:tcW w:w="4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loss attributable to common stockholders</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(8,634)</w:t>
            </w:r>
          </w:p>
        </w:tc>
        <w:tc>
          <w:tcPr>
            <w:tcW w:w="4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(9,889)</w:t>
            </w:r>
          </w:p>
        </w:tc>
        <w:tc>
          <w:tcPr>
            <w:tcW w:w="3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(61,743)</w:t>
            </w:r>
          </w:p>
        </w:tc>
        <w:tc>
          <w:tcPr>
            <w:tcW w:w="4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(50,401)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 per share, basic and diluted, of Class A and Class B common stock</w:t>
            </w:r>
          </w:p>
        </w:tc>
        <w:tc>
          <w:tcPr>
            <w:tcW w:w="280" w:type="dxa"/>
            <w:vAlign w:val="bottom"/>
            <w:shd w:val="clear" w:color="auto" w:fill="CFF0FC"/>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80"/>
              <w:spacing w:after="0" w:line="143" w:lineRule="exact"/>
              <w:rPr>
                <w:sz w:val="20"/>
                <w:szCs w:val="20"/>
                <w:color w:val="auto"/>
              </w:rPr>
            </w:pPr>
            <w:r>
              <w:rPr>
                <w:rFonts w:ascii="Arial" w:cs="Arial" w:eastAsia="Arial" w:hAnsi="Arial"/>
                <w:sz w:val="14"/>
                <w:szCs w:val="14"/>
                <w:color w:val="auto"/>
              </w:rPr>
              <w:t>(0.17)</w:t>
            </w:r>
          </w:p>
        </w:tc>
        <w:tc>
          <w:tcPr>
            <w:tcW w:w="420" w:type="dxa"/>
            <w:vAlign w:val="bottom"/>
            <w:shd w:val="clear" w:color="auto" w:fill="CFF0FC"/>
          </w:tcPr>
          <w:p>
            <w:pPr>
              <w:jc w:val="right"/>
              <w:ind w:right="26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00"/>
              <w:spacing w:after="0" w:line="143" w:lineRule="exact"/>
              <w:rPr>
                <w:sz w:val="20"/>
                <w:szCs w:val="20"/>
                <w:color w:val="auto"/>
              </w:rPr>
            </w:pPr>
            <w:r>
              <w:rPr>
                <w:rFonts w:ascii="Arial" w:cs="Arial" w:eastAsia="Arial" w:hAnsi="Arial"/>
                <w:sz w:val="14"/>
                <w:szCs w:val="14"/>
                <w:color w:val="auto"/>
              </w:rPr>
              <w:t>(0.20)</w:t>
            </w:r>
          </w:p>
        </w:tc>
        <w:tc>
          <w:tcPr>
            <w:tcW w:w="380" w:type="dxa"/>
            <w:vAlign w:val="bottom"/>
            <w:gridSpan w:val="2"/>
            <w:shd w:val="clear" w:color="auto" w:fill="CFF0FC"/>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line="143" w:lineRule="exact"/>
              <w:rPr>
                <w:sz w:val="20"/>
                <w:szCs w:val="20"/>
                <w:color w:val="auto"/>
              </w:rPr>
            </w:pPr>
            <w:r>
              <w:rPr>
                <w:rFonts w:ascii="Arial" w:cs="Arial" w:eastAsia="Arial" w:hAnsi="Arial"/>
                <w:sz w:val="14"/>
                <w:szCs w:val="14"/>
                <w:color w:val="auto"/>
              </w:rPr>
              <w:t>(1.22)</w:t>
            </w:r>
          </w:p>
        </w:tc>
        <w:tc>
          <w:tcPr>
            <w:tcW w:w="420" w:type="dxa"/>
            <w:vAlign w:val="bottom"/>
            <w:shd w:val="clear" w:color="auto" w:fill="CFF0FC"/>
          </w:tcPr>
          <w:p>
            <w:pPr>
              <w:jc w:val="right"/>
              <w:ind w:right="26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3"/>
        </w:trPr>
        <w:tc>
          <w:tcPr>
            <w:tcW w:w="5280" w:type="dxa"/>
            <w:vAlign w:val="bottom"/>
            <w:tcBorders>
              <w:top w:val="single" w:sz="8" w:color="CFF0FC"/>
            </w:tcBorders>
          </w:tcPr>
          <w:p>
            <w:pPr>
              <w:spacing w:after="0" w:line="133" w:lineRule="exact"/>
              <w:rPr>
                <w:sz w:val="20"/>
                <w:szCs w:val="20"/>
                <w:color w:val="auto"/>
              </w:rPr>
            </w:pPr>
            <w:r>
              <w:rPr>
                <w:rFonts w:ascii="Arial" w:cs="Arial" w:eastAsia="Arial" w:hAnsi="Arial"/>
                <w:sz w:val="14"/>
                <w:szCs w:val="14"/>
                <w:color w:val="auto"/>
              </w:rPr>
              <w:t>Weighted-average number of shares outstanding used to compute net loss per</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51,281,142</w:t>
            </w:r>
          </w:p>
        </w:tc>
        <w:tc>
          <w:tcPr>
            <w:tcW w:w="220" w:type="dxa"/>
            <w:vAlign w:val="bottom"/>
            <w:tcBorders>
              <w:top w:val="single" w:sz="8" w:color="CFF0FC"/>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49,606,759</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50,812,072</w:t>
            </w:r>
          </w:p>
        </w:tc>
        <w:tc>
          <w:tcPr>
            <w:tcW w:w="240" w:type="dxa"/>
            <w:vAlign w:val="bottom"/>
            <w:tcBorders>
              <w:top w:val="single" w:sz="8" w:color="CFF0FC"/>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49,082,722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line="125" w:lineRule="exact"/>
              <w:rPr>
                <w:sz w:val="20"/>
                <w:szCs w:val="20"/>
                <w:color w:val="auto"/>
              </w:rPr>
            </w:pPr>
            <w:r>
              <w:rPr>
                <w:rFonts w:ascii="Arial" w:cs="Arial" w:eastAsia="Arial" w:hAnsi="Arial"/>
                <w:sz w:val="14"/>
                <w:szCs w:val="14"/>
                <w:color w:val="auto"/>
              </w:rPr>
              <w:t>share, basic and diluted, of Class A and Class B common stock</w:t>
            </w: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loss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(8,638)</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(9,896)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(61,748)</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(50,403)</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Comprehensive loss: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Foreign currency translation</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(1,587)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5,098</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tcPr>
          <w:p>
            <w:pPr>
              <w:ind w:left="120"/>
              <w:spacing w:after="0" w:line="155" w:lineRule="exact"/>
              <w:rPr>
                <w:sz w:val="20"/>
                <w:szCs w:val="20"/>
                <w:color w:val="auto"/>
              </w:rPr>
            </w:pPr>
            <w:r>
              <w:rPr>
                <w:rFonts w:ascii="Arial" w:cs="Arial" w:eastAsia="Arial" w:hAnsi="Arial"/>
                <w:sz w:val="14"/>
                <w:szCs w:val="14"/>
                <w:color w:val="auto"/>
              </w:rPr>
              <w:t>Total other comprehensive income (loss)</w:t>
            </w: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332</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(1,587)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5,098</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Comprehensive loss</w:t>
            </w:r>
          </w:p>
        </w:tc>
        <w:tc>
          <w:tcPr>
            <w:tcW w:w="2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(8,306)</w:t>
            </w:r>
          </w:p>
        </w:tc>
        <w:tc>
          <w:tcPr>
            <w:tcW w:w="4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(11,483)</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(56,650)</w:t>
            </w:r>
          </w:p>
        </w:tc>
        <w:tc>
          <w:tcPr>
            <w:tcW w:w="4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(51,560)</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Comprehensive income (loss) attributable to noncontrolling interest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comprehensive loss attributable to common stockholders</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(8,316)</w:t>
            </w:r>
          </w:p>
        </w:tc>
        <w:tc>
          <w:tcPr>
            <w:tcW w:w="420" w:type="dxa"/>
            <w:vAlign w:val="bottom"/>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(11,499)</w:t>
            </w:r>
          </w:p>
        </w:tc>
        <w:tc>
          <w:tcPr>
            <w:tcW w:w="3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(56,643)</w:t>
            </w:r>
          </w:p>
        </w:tc>
        <w:tc>
          <w:tcPr>
            <w:tcW w:w="420" w:type="dxa"/>
            <w:vAlign w:val="bottom"/>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(51,584)</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-3248025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-3248025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-3248025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-2622550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-2622550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-2622550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-1773555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-1773555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-1773555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-1559560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-1559560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-1559560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-1344930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-1344930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-1344930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-1105535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-1087755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-1105535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-1087755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-1105535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-1087755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-462280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-462280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-462280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Consolidated Statements of Cash Flows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Year Ended</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6"/>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4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020" w:type="dxa"/>
            <w:vAlign w:val="bottom"/>
          </w:tcPr>
          <w:p>
            <w:pPr>
              <w:spacing w:after="0"/>
              <w:rPr>
                <w:sz w:val="20"/>
                <w:szCs w:val="20"/>
                <w:color w:val="auto"/>
              </w:rPr>
            </w:pPr>
            <w:r>
              <w:rPr>
                <w:rFonts w:ascii="Arial" w:cs="Arial" w:eastAsia="Arial" w:hAnsi="Arial"/>
                <w:sz w:val="14"/>
                <w:szCs w:val="14"/>
                <w:color w:val="auto"/>
              </w:rPr>
              <w:t>Net loss</w:t>
            </w:r>
          </w:p>
        </w:tc>
        <w:tc>
          <w:tcPr>
            <w:tcW w:w="24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(61,748)</w:t>
            </w:r>
          </w:p>
        </w:tc>
        <w:tc>
          <w:tcPr>
            <w:tcW w:w="160" w:type="dxa"/>
            <w:vAlign w:val="bottom"/>
          </w:tcPr>
          <w:p>
            <w:pPr>
              <w:spacing w:after="0"/>
              <w:rPr>
                <w:sz w:val="14"/>
                <w:szCs w:val="14"/>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(50,403)</w:t>
            </w:r>
          </w:p>
        </w:tc>
      </w:tr>
      <w:tr>
        <w:trPr>
          <w:trHeight w:val="162"/>
        </w:trPr>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13,012</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Impairment of assets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Reduction in carrying amount of right-of-use asset</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4,458</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Lease termination</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29,322</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Revaluation of contingent consideration</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Income from unconsolidated joint venture</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Donation of common stock</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Loss on debt extinguishment</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16,430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sale of property and equipment</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Amortization of deferred costs on convertible notes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1,859</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Deferred tax benefit</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w:t>
            </w:r>
          </w:p>
        </w:tc>
      </w:tr>
      <w:tr>
        <w:trPr>
          <w:trHeight w:val="162"/>
        </w:trPr>
        <w:tc>
          <w:tcPr>
            <w:tcW w:w="6020" w:type="dxa"/>
            <w:vAlign w:val="bottom"/>
          </w:tcPr>
          <w:p>
            <w:pPr>
              <w:spacing w:after="0"/>
              <w:rPr>
                <w:sz w:val="20"/>
                <w:szCs w:val="20"/>
                <w:color w:val="auto"/>
              </w:rPr>
            </w:pPr>
            <w:r>
              <w:rPr>
                <w:rFonts w:ascii="Arial" w:cs="Arial" w:eastAsia="Arial" w:hAnsi="Arial"/>
                <w:sz w:val="14"/>
                <w:szCs w:val="14"/>
                <w:color w:val="auto"/>
              </w:rPr>
              <w:t>Changes in other assets and liabilities: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Accounts receivable, net</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(21,809)</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(5,749)</w:t>
            </w: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Inventory</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(1,282)</w:t>
            </w: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Prepaid expenses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(2,256)</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(772)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4,213</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Accounts payable and accrued cost of revenue</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9,160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(8,706)</w:t>
            </w: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Other accrued expenses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2,681</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Contract liabilities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Lease liabilities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(6,892)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(6,911)</w:t>
            </w: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liabilities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Income taxes payable</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(710)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(1,505)</w:t>
            </w:r>
          </w:p>
        </w:tc>
      </w:tr>
      <w:tr>
        <w:trPr>
          <w:trHeight w:val="20"/>
        </w:trPr>
        <w:tc>
          <w:tcPr>
            <w:tcW w:w="6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2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14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6,086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(15,384)</w:t>
            </w:r>
          </w:p>
        </w:tc>
      </w:tr>
      <w:tr>
        <w:trPr>
          <w:trHeight w:val="155"/>
        </w:trPr>
        <w:tc>
          <w:tcPr>
            <w:tcW w:w="60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40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Purchases of marketable securities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(8,542)</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(18,751)</w:t>
            </w: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Proceeds from sale of marketable securities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16,500</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Purchases of property and equipment</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(30,180)</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(18,097)</w:t>
            </w: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Distributions in excess of earnings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sale of property and equipment</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FF0FC"/>
          </w:tcPr>
          <w:p>
            <w:pPr>
              <w:spacing w:after="0"/>
              <w:rPr>
                <w:sz w:val="14"/>
                <w:szCs w:val="14"/>
                <w:color w:val="auto"/>
              </w:rPr>
            </w:pPr>
          </w:p>
        </w:tc>
      </w:tr>
      <w:tr>
        <w:trPr>
          <w:trHeight w:val="155"/>
        </w:trPr>
        <w:tc>
          <w:tcPr>
            <w:tcW w:w="60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400" w:type="dxa"/>
            <w:vAlign w:val="bottom"/>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(20,179)</w:t>
            </w:r>
          </w:p>
        </w:tc>
        <w:tc>
          <w:tcPr>
            <w:tcW w:w="100" w:type="dxa"/>
            <w:vAlign w:val="bottom"/>
          </w:tcPr>
          <w:p>
            <w:pPr>
              <w:spacing w:after="0"/>
              <w:rPr>
                <w:sz w:val="13"/>
                <w:szCs w:val="13"/>
                <w:color w:val="auto"/>
              </w:rPr>
            </w:pPr>
          </w:p>
        </w:tc>
      </w:tr>
      <w:tr>
        <w:trPr>
          <w:trHeight w:val="155"/>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4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Proceeds from issuance of convertible notes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Costs incurred in connection with issuance of convertible notes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(8,650)</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Payments for repurchase of convertible notes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(215,992)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Purchase of capped calls</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(17,475)</w:t>
            </w: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Purchase of treasury stock</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(8,080)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stock options exercised</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5,104</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120"/>
              <w:spacing w:after="0"/>
              <w:rPr>
                <w:sz w:val="20"/>
                <w:szCs w:val="20"/>
                <w:color w:val="auto"/>
              </w:rPr>
            </w:pPr>
            <w:r>
              <w:rPr>
                <w:rFonts w:ascii="Arial" w:cs="Arial" w:eastAsia="Arial" w:hAnsi="Arial"/>
                <w:sz w:val="14"/>
                <w:szCs w:val="14"/>
                <w:color w:val="auto"/>
              </w:rPr>
              <w:t>Payment of contingent consideration</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(465)</w:t>
            </w:r>
          </w:p>
        </w:tc>
      </w:tr>
      <w:tr>
        <w:trPr>
          <w:trHeight w:val="156"/>
        </w:trPr>
        <w:tc>
          <w:tcPr>
            <w:tcW w:w="602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40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2,890</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4,639</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6020" w:type="dxa"/>
            <w:vAlign w:val="bottom"/>
          </w:tcPr>
          <w:p>
            <w:pPr>
              <w:spacing w:after="0" w:line="155" w:lineRule="exact"/>
              <w:rPr>
                <w:sz w:val="20"/>
                <w:szCs w:val="20"/>
                <w:color w:val="auto"/>
              </w:rPr>
            </w:pPr>
            <w:r>
              <w:rPr>
                <w:rFonts w:ascii="Arial" w:cs="Arial" w:eastAsia="Arial" w:hAnsi="Arial"/>
                <w:sz w:val="14"/>
                <w:szCs w:val="14"/>
                <w:color w:val="auto"/>
              </w:rPr>
              <w:t>Effect of foreign currency translation on cash and cash equivalents</w:t>
            </w: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(268)</w:t>
            </w:r>
          </w:p>
        </w:tc>
      </w:tr>
      <w:tr>
        <w:trPr>
          <w:trHeight w:val="20"/>
        </w:trPr>
        <w:tc>
          <w:tcPr>
            <w:tcW w:w="6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14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(7,236)</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(31,192)</w:t>
            </w:r>
          </w:p>
        </w:tc>
      </w:tr>
      <w:tr>
        <w:trPr>
          <w:trHeight w:val="162"/>
        </w:trPr>
        <w:tc>
          <w:tcPr>
            <w:tcW w:w="6020" w:type="dxa"/>
            <w:vAlign w:val="bottom"/>
          </w:tcPr>
          <w:p>
            <w:pPr>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14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53,424</w:t>
            </w:r>
          </w:p>
        </w:tc>
        <w:tc>
          <w:tcPr>
            <w:tcW w:w="100" w:type="dxa"/>
            <w:vAlign w:val="bottom"/>
          </w:tcPr>
          <w:p>
            <w:pPr>
              <w:spacing w:after="0"/>
              <w:rPr>
                <w:sz w:val="14"/>
                <w:szCs w:val="14"/>
                <w:color w:val="auto"/>
              </w:rPr>
            </w:pPr>
          </w:p>
        </w:tc>
      </w:tr>
      <w:tr>
        <w:trPr>
          <w:trHeight w:val="195"/>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and cash equivalents at end of the year</w:t>
            </w:r>
          </w:p>
        </w:tc>
        <w:tc>
          <w:tcPr>
            <w:tcW w:w="2480" w:type="dxa"/>
            <w:vAlign w:val="bottom"/>
            <w:gridSpan w:val="2"/>
            <w:shd w:val="clear" w:color="auto" w:fill="CFF0FC"/>
          </w:tcPr>
          <w:p>
            <w:pPr>
              <w:jc w:val="right"/>
              <w:ind w:right="928"/>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14,996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22,232</w:t>
            </w:r>
          </w:p>
        </w:tc>
        <w:tc>
          <w:tcPr>
            <w:tcW w:w="100" w:type="dxa"/>
            <w:vAlign w:val="bottom"/>
            <w:shd w:val="clear" w:color="auto" w:fill="CFF0FC"/>
          </w:tcPr>
          <w:p>
            <w:pPr>
              <w:spacing w:after="0"/>
              <w:rPr>
                <w:sz w:val="17"/>
                <w:szCs w:val="17"/>
                <w:color w:val="auto"/>
              </w:rPr>
            </w:pPr>
          </w:p>
        </w:tc>
      </w:tr>
      <w:tr>
        <w:trPr>
          <w:trHeight w:val="143"/>
        </w:trPr>
        <w:tc>
          <w:tcPr>
            <w:tcW w:w="6020" w:type="dxa"/>
            <w:vAlign w:val="bottom"/>
            <w:tcBorders>
              <w:top w:val="single" w:sz="8" w:color="CFF0FC"/>
            </w:tcBorders>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140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paid for interest</w:t>
            </w:r>
          </w:p>
        </w:tc>
        <w:tc>
          <w:tcPr>
            <w:tcW w:w="2480" w:type="dxa"/>
            <w:vAlign w:val="bottom"/>
            <w:gridSpan w:val="2"/>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Non-cash purchase of property and equipment</w:t>
            </w:r>
          </w:p>
        </w:tc>
        <w:tc>
          <w:tcPr>
            <w:tcW w:w="14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FF0FC"/>
          </w:tcPr>
          <w:p>
            <w:pPr>
              <w:spacing w:after="0"/>
              <w:rPr>
                <w:sz w:val="14"/>
                <w:szCs w:val="14"/>
                <w:color w:val="auto"/>
              </w:rPr>
            </w:pPr>
          </w:p>
        </w:tc>
      </w:tr>
      <w:tr>
        <w:trPr>
          <w:trHeight w:val="190"/>
        </w:trPr>
        <w:tc>
          <w:tcPr>
            <w:tcW w:w="6020" w:type="dxa"/>
            <w:vAlign w:val="bottom"/>
          </w:tcPr>
          <w:p>
            <w:pPr>
              <w:ind w:left="120"/>
              <w:spacing w:after="0"/>
              <w:rPr>
                <w:sz w:val="20"/>
                <w:szCs w:val="20"/>
                <w:color w:val="auto"/>
              </w:rPr>
            </w:pPr>
            <w:r>
              <w:rPr>
                <w:rFonts w:ascii="Arial" w:cs="Arial" w:eastAsia="Arial" w:hAnsi="Arial"/>
                <w:sz w:val="14"/>
                <w:szCs w:val="14"/>
                <w:color w:val="auto"/>
              </w:rPr>
              <w:t>Non-cash consideration in connection with business combination</w:t>
            </w:r>
          </w:p>
        </w:tc>
        <w:tc>
          <w:tcPr>
            <w:tcW w:w="1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-2674620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-2674620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-2061845</wp:posOffset>
            </wp:positionV>
            <wp:extent cx="9398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-2061845</wp:posOffset>
            </wp:positionV>
            <wp:extent cx="9398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-994410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-994410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-557530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-540385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-557530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-540385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3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For the Three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For the Year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2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3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Ended December 31,</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Ended December 31,</w:t>
            </w:r>
          </w:p>
        </w:tc>
      </w:tr>
      <w:tr>
        <w:trPr>
          <w:trHeight w:val="156"/>
        </w:trPr>
        <w:tc>
          <w:tcPr>
            <w:tcW w:w="12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42"/>
        </w:trPr>
        <w:tc>
          <w:tcPr>
            <w:tcW w:w="5280" w:type="dxa"/>
            <w:vAlign w:val="bottom"/>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6"/>
        </w:trPr>
        <w:tc>
          <w:tcPr>
            <w:tcW w:w="1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404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CFF0FC"/>
            </w:tcBorders>
            <w:gridSpan w:val="2"/>
          </w:tcPr>
          <w:p>
            <w:pPr>
              <w:jc w:val="right"/>
              <w:ind w:right="180"/>
              <w:spacing w:after="0" w:line="155" w:lineRule="exact"/>
              <w:rPr>
                <w:sz w:val="20"/>
                <w:szCs w:val="20"/>
                <w:color w:val="auto"/>
              </w:rPr>
            </w:pPr>
            <w:r>
              <w:rPr>
                <w:rFonts w:ascii="Arial" w:cs="Arial" w:eastAsia="Arial" w:hAnsi="Arial"/>
                <w:sz w:val="14"/>
                <w:szCs w:val="14"/>
                <w:color w:val="auto"/>
              </w:rPr>
              <w:t>(8,638)</w:t>
            </w:r>
          </w:p>
        </w:tc>
        <w:tc>
          <w:tcPr>
            <w:tcW w:w="840" w:type="dxa"/>
            <w:vAlign w:val="bottom"/>
            <w:tcBorders>
              <w:top w:val="single" w:sz="8" w:color="CFF0FC"/>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CFF0FC"/>
            </w:tcBorders>
            <w:gridSpan w:val="2"/>
          </w:tcPr>
          <w:p>
            <w:pPr>
              <w:jc w:val="right"/>
              <w:ind w:right="100"/>
              <w:spacing w:after="0" w:line="155" w:lineRule="exact"/>
              <w:rPr>
                <w:sz w:val="20"/>
                <w:szCs w:val="20"/>
                <w:color w:val="auto"/>
              </w:rPr>
            </w:pPr>
            <w:r>
              <w:rPr>
                <w:rFonts w:ascii="Arial" w:cs="Arial" w:eastAsia="Arial" w:hAnsi="Arial"/>
                <w:sz w:val="14"/>
                <w:szCs w:val="14"/>
                <w:color w:val="auto"/>
              </w:rPr>
              <w:t>(9,896)</w:t>
            </w:r>
          </w:p>
        </w:tc>
        <w:tc>
          <w:tcPr>
            <w:tcW w:w="380" w:type="dxa"/>
            <w:vAlign w:val="bottom"/>
            <w:tcBorders>
              <w:top w:val="single" w:sz="8" w:color="CFF0FC"/>
            </w:tcBorders>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CFF0FC"/>
            </w:tcBorders>
            <w:gridSpan w:val="2"/>
          </w:tcPr>
          <w:p>
            <w:pPr>
              <w:jc w:val="right"/>
              <w:ind w:right="180"/>
              <w:spacing w:after="0" w:line="155" w:lineRule="exact"/>
              <w:rPr>
                <w:sz w:val="20"/>
                <w:szCs w:val="20"/>
                <w:color w:val="auto"/>
              </w:rPr>
            </w:pPr>
            <w:r>
              <w:rPr>
                <w:rFonts w:ascii="Arial" w:cs="Arial" w:eastAsia="Arial" w:hAnsi="Arial"/>
                <w:sz w:val="14"/>
                <w:szCs w:val="14"/>
                <w:color w:val="auto"/>
              </w:rPr>
              <w:t>(61,748)</w:t>
            </w:r>
          </w:p>
        </w:tc>
        <w:tc>
          <w:tcPr>
            <w:tcW w:w="380" w:type="dxa"/>
            <w:vAlign w:val="bottom"/>
            <w:tcBorders>
              <w:top w:val="single" w:sz="8" w:color="CFF0FC"/>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(50,403)</w:t>
            </w: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line="162" w:lineRule="exact"/>
              <w:rPr>
                <w:sz w:val="20"/>
                <w:szCs w:val="20"/>
                <w:color w:val="auto"/>
              </w:rPr>
            </w:pPr>
            <w:r>
              <w:rPr>
                <w:rFonts w:ascii="Arial" w:cs="Arial" w:eastAsia="Arial" w:hAnsi="Arial"/>
                <w:sz w:val="14"/>
                <w:szCs w:val="14"/>
                <w:color w:val="auto"/>
              </w:rPr>
              <w:t>Interest expense, interest and dividend income and other expenses</w:t>
            </w:r>
            <w:r>
              <w:rPr>
                <w:rFonts w:ascii="Arial" w:cs="Arial" w:eastAsia="Arial" w:hAnsi="Arial"/>
                <w:sz w:val="18"/>
                <w:szCs w:val="18"/>
                <w:color w:val="auto"/>
                <w:vertAlign w:val="superscript"/>
              </w:rPr>
              <w:t>(1)</w:t>
            </w:r>
          </w:p>
        </w:tc>
        <w:tc>
          <w:tcPr>
            <w:tcW w:w="8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(892)</w:t>
            </w:r>
          </w:p>
        </w:tc>
        <w:tc>
          <w:tcPr>
            <w:tcW w:w="8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16,047</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(5,273)</w:t>
            </w:r>
          </w:p>
        </w:tc>
      </w:tr>
      <w:tr>
        <w:trPr>
          <w:trHeight w:val="162"/>
        </w:trPr>
        <w:tc>
          <w:tcPr>
            <w:tcW w:w="528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(2)</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5,009</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18,750</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13,012</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720</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(benefit) for income taxes</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w:t>
            </w:r>
          </w:p>
        </w:tc>
      </w:tr>
      <w:tr>
        <w:trPr>
          <w:trHeight w:val="162"/>
        </w:trPr>
        <w:tc>
          <w:tcPr>
            <w:tcW w:w="5280" w:type="dxa"/>
            <w:vAlign w:val="bottom"/>
            <w:gridSpan w:val="2"/>
          </w:tcPr>
          <w:p>
            <w:pPr>
              <w:spacing w:after="0" w:line="162"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(3)</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10,377</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8,207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36,362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29,322</w:t>
            </w: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2,465</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(4)</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237</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1,164</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Loss (income) from unconsolidated joint venture</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140</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(404)</w:t>
            </w:r>
          </w:p>
        </w:tc>
        <w:tc>
          <w:tcPr>
            <w:tcW w:w="3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(452)</w:t>
            </w: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Impairment of assets</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(5)</w:t>
            </w:r>
          </w:p>
        </w:tc>
        <w:tc>
          <w:tcPr>
            <w:tcW w:w="8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(202)</w:t>
            </w:r>
          </w:p>
        </w:tc>
        <w:tc>
          <w:tcPr>
            <w:tcW w:w="8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1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2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8,382</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1,049</w:t>
            </w:r>
          </w:p>
        </w:tc>
        <w:tc>
          <w:tcPr>
            <w:tcW w:w="1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18,528</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(9,676)</w:t>
            </w:r>
          </w:p>
        </w:tc>
      </w:tr>
      <w:tr>
        <w:trPr>
          <w:trHeight w:val="20"/>
        </w:trPr>
        <w:tc>
          <w:tcPr>
            <w:tcW w:w="1240" w:type="dxa"/>
            <w:vAlign w:val="bottom"/>
            <w:tcBorders>
              <w:top w:val="single" w:sz="8" w:color="CFF0FC"/>
            </w:tcBorders>
            <w:shd w:val="clear" w:color="auto" w:fill="CFF0FC"/>
          </w:tcPr>
          <w:p>
            <w:pPr>
              <w:spacing w:after="0" w:line="20" w:lineRule="exact"/>
              <w:rPr>
                <w:sz w:val="1"/>
                <w:szCs w:val="1"/>
                <w:color w:val="auto"/>
              </w:rPr>
            </w:pPr>
          </w:p>
        </w:tc>
        <w:tc>
          <w:tcPr>
            <w:tcW w:w="40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For the Year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Ended 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56"/>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 Net Income (Loss):</w:t>
            </w: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(8,638)</w:t>
            </w: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(9,896)</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(61,748)</w:t>
            </w:r>
          </w:p>
        </w:tc>
        <w:tc>
          <w:tcPr>
            <w:tcW w:w="380" w:type="dxa"/>
            <w:vAlign w:val="bottom"/>
            <w:vMerge w:val="restart"/>
          </w:tcPr>
          <w:p>
            <w:pPr>
              <w:jc w:val="right"/>
              <w:ind w:right="228"/>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(50,403)</w:t>
            </w:r>
          </w:p>
        </w:tc>
        <w:tc>
          <w:tcPr>
            <w:tcW w:w="0" w:type="dxa"/>
            <w:vAlign w:val="bottom"/>
          </w:tcPr>
          <w:p>
            <w:pPr>
              <w:spacing w:after="0"/>
              <w:rPr>
                <w:sz w:val="1"/>
                <w:szCs w:val="1"/>
                <w:color w:val="auto"/>
              </w:rPr>
            </w:pPr>
          </w:p>
        </w:tc>
      </w:tr>
      <w:tr>
        <w:trPr>
          <w:trHeight w:val="156"/>
        </w:trPr>
        <w:tc>
          <w:tcPr>
            <w:tcW w:w="20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32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(2)</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18,750</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(3)</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10,377</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36,362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2,465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lease intangible</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Amortization of deferred costs on convertible notes</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2,098</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(4)</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1,164</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Loss on sale of property and equipment</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Lease termination</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Impairment of assets</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(5)</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(202)</w:t>
            </w:r>
          </w:p>
        </w:tc>
        <w:tc>
          <w:tcPr>
            <w:tcW w:w="2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Loss on debt extinguishment</w:t>
            </w: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16,430</w:t>
            </w:r>
          </w:p>
        </w:tc>
        <w:tc>
          <w:tcPr>
            <w:tcW w:w="2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Non-GAAP Net Income (Loss)</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9,101</w:t>
            </w:r>
          </w:p>
        </w:tc>
        <w:tc>
          <w:tcPr>
            <w:tcW w:w="2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3,165</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20,820</w:t>
            </w:r>
          </w:p>
        </w:tc>
        <w:tc>
          <w:tcPr>
            <w:tcW w:w="240" w:type="dxa"/>
            <w:vAlign w:val="bottom"/>
          </w:tcPr>
          <w:p>
            <w:pPr>
              <w:spacing w:after="0"/>
              <w:rPr>
                <w:sz w:val="13"/>
                <w:szCs w:val="13"/>
                <w:color w:val="auto"/>
              </w:rPr>
            </w:pP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Adjustments to numerator</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280" w:type="dxa"/>
            <w:vAlign w:val="bottom"/>
            <w:gridSpan w:val="2"/>
          </w:tcPr>
          <w:p>
            <w:pPr>
              <w:spacing w:after="0" w:line="153" w:lineRule="exact"/>
              <w:rPr>
                <w:sz w:val="20"/>
                <w:szCs w:val="20"/>
                <w:color w:val="auto"/>
              </w:rPr>
            </w:pPr>
            <w:r>
              <w:rPr>
                <w:rFonts w:ascii="Arial" w:cs="Arial" w:eastAsia="Arial" w:hAnsi="Arial"/>
                <w:sz w:val="14"/>
                <w:szCs w:val="14"/>
                <w:color w:val="auto"/>
              </w:rPr>
              <w:t>Weighted-average number of shares outstanding used to compute Non-GAAP</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Net Income (Loss) per share, basic and diluted, of Class A and Class B common</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color w:val="auto"/>
              </w:rPr>
              <w:t>stock</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51,281,142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49,606,759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50,812,072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49,082,722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Non-GAAP weighted-average effect of potentially dilutive Class A common stock</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10,285,720</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2,656,165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5,816,133</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5280" w:type="dxa"/>
            <w:vAlign w:val="bottom"/>
            <w:tcBorders>
              <w:top w:val="single" w:sz="8" w:color="CFF0FC"/>
            </w:tcBorders>
            <w:gridSpan w:val="2"/>
          </w:tcPr>
          <w:p>
            <w:pPr>
              <w:spacing w:after="0" w:line="147" w:lineRule="exact"/>
              <w:rPr>
                <w:sz w:val="20"/>
                <w:szCs w:val="20"/>
                <w:color w:val="auto"/>
              </w:rPr>
            </w:pPr>
            <w:r>
              <w:rPr>
                <w:rFonts w:ascii="Arial" w:cs="Arial" w:eastAsia="Arial" w:hAnsi="Arial"/>
                <w:sz w:val="14"/>
                <w:szCs w:val="14"/>
                <w:color w:val="auto"/>
              </w:rPr>
              <w:t>Non-GAAP weighted-average shares used to compute Non-GAAP Net Income</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61,566,862</w:t>
            </w:r>
          </w:p>
        </w:tc>
        <w:tc>
          <w:tcPr>
            <w:tcW w:w="22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52,262,924</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56,628,205</w:t>
            </w:r>
          </w:p>
        </w:tc>
        <w:tc>
          <w:tcPr>
            <w:tcW w:w="24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49,082,722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80" w:type="dxa"/>
            <w:vAlign w:val="bottom"/>
            <w:gridSpan w:val="2"/>
          </w:tcPr>
          <w:p>
            <w:pPr>
              <w:spacing w:after="0" w:line="158" w:lineRule="exact"/>
              <w:rPr>
                <w:sz w:val="20"/>
                <w:szCs w:val="20"/>
                <w:color w:val="auto"/>
              </w:rPr>
            </w:pPr>
            <w:r>
              <w:rPr>
                <w:rFonts w:ascii="Arial" w:cs="Arial" w:eastAsia="Arial" w:hAnsi="Arial"/>
                <w:sz w:val="14"/>
                <w:szCs w:val="14"/>
                <w:color w:val="auto"/>
              </w:rPr>
              <w:t>(Loss) per share, diluted</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EPS, basic and diluted, of Class A and Class B common stock</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(0.17)</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(0.20)</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(1.22)</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gridSpan w:val="2"/>
          </w:tcPr>
          <w:p>
            <w:pPr>
              <w:spacing w:after="0" w:line="143" w:lineRule="exact"/>
              <w:rPr>
                <w:sz w:val="20"/>
                <w:szCs w:val="20"/>
                <w:color w:val="auto"/>
              </w:rPr>
            </w:pPr>
            <w:r>
              <w:rPr>
                <w:rFonts w:ascii="Arial" w:cs="Arial" w:eastAsia="Arial" w:hAnsi="Arial"/>
                <w:sz w:val="14"/>
                <w:szCs w:val="14"/>
                <w:color w:val="auto"/>
              </w:rPr>
              <w:t>Non-GAAP EPS basic, of Class A and Class B common stock</w:t>
            </w:r>
          </w:p>
        </w:tc>
        <w:tc>
          <w:tcPr>
            <w:tcW w:w="280" w:type="dxa"/>
            <w:vAlign w:val="bottom"/>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0.18</w:t>
            </w:r>
          </w:p>
        </w:tc>
        <w:tc>
          <w:tcPr>
            <w:tcW w:w="220" w:type="dxa"/>
            <w:vAlign w:val="bottom"/>
          </w:tcPr>
          <w:p>
            <w:pPr>
              <w:spacing w:after="0"/>
              <w:rPr>
                <w:sz w:val="12"/>
                <w:szCs w:val="12"/>
                <w:color w:val="auto"/>
              </w:rPr>
            </w:pPr>
          </w:p>
        </w:tc>
        <w:tc>
          <w:tcPr>
            <w:tcW w:w="280" w:type="dxa"/>
            <w:vAlign w:val="bottom"/>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0.06</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0.41</w:t>
            </w:r>
          </w:p>
        </w:tc>
        <w:tc>
          <w:tcPr>
            <w:tcW w:w="240" w:type="dxa"/>
            <w:vAlign w:val="bottom"/>
          </w:tcPr>
          <w:p>
            <w:pPr>
              <w:spacing w:after="0"/>
              <w:rPr>
                <w:sz w:val="12"/>
                <w:szCs w:val="12"/>
                <w:color w:val="auto"/>
              </w:rPr>
            </w:pPr>
          </w:p>
        </w:tc>
        <w:tc>
          <w:tcPr>
            <w:tcW w:w="380" w:type="dxa"/>
            <w:vAlign w:val="bottom"/>
          </w:tcPr>
          <w:p>
            <w:pPr>
              <w:jc w:val="right"/>
              <w:ind w:right="2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Non-GAAP EPS diluted, of Class A and Class B common stock</w:t>
            </w:r>
          </w:p>
        </w:tc>
        <w:tc>
          <w:tcPr>
            <w:tcW w:w="280" w:type="dxa"/>
            <w:vAlign w:val="bottom"/>
            <w:shd w:val="clear" w:color="auto" w:fill="CFF0FC"/>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0.16</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0.06</w:t>
            </w:r>
          </w:p>
        </w:tc>
        <w:tc>
          <w:tcPr>
            <w:tcW w:w="1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0.38</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-1456690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-1456690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-1456690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-702310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-702310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-702310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-281940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-264795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-281940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-264795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-281940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-264795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expenses includes loss on debt extinguishment.</w:t>
      </w:r>
    </w:p>
    <w:p>
      <w:pPr>
        <w:spacing w:after="0" w:line="15" w:lineRule="exact"/>
        <w:rPr>
          <w:rFonts w:ascii="Arial" w:cs="Arial" w:eastAsia="Arial" w:hAnsi="Arial"/>
          <w:sz w:val="14"/>
          <w:szCs w:val="14"/>
          <w:color w:val="auto"/>
        </w:rPr>
      </w:pPr>
    </w:p>
    <w:p>
      <w:pPr>
        <w:ind w:left="380" w:right="120" w:hanging="372"/>
        <w:spacing w:after="0" w:line="24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the 2025 reduction in workforce.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Reconciliation of GAAP EPS to Non-GAAP EPS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8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For the Three Months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For the Year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3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Ended December 31,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Ended December 31,</w:t>
            </w:r>
          </w:p>
        </w:tc>
      </w:tr>
      <w:tr>
        <w:trPr>
          <w:trHeight w:val="156"/>
        </w:trPr>
        <w:tc>
          <w:tcPr>
            <w:tcW w:w="1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42"/>
        </w:trPr>
        <w:tc>
          <w:tcPr>
            <w:tcW w:w="5280" w:type="dxa"/>
            <w:vAlign w:val="bottom"/>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Non-GAAP EPS:</w:t>
            </w:r>
          </w:p>
        </w:tc>
        <w:tc>
          <w:tcPr>
            <w:tcW w:w="8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5280" w:type="dxa"/>
            <w:vAlign w:val="bottom"/>
            <w:gridSpan w:val="2"/>
          </w:tcPr>
          <w:p>
            <w:pPr>
              <w:spacing w:after="0" w:line="155" w:lineRule="exact"/>
              <w:rPr>
                <w:sz w:val="20"/>
                <w:szCs w:val="20"/>
                <w:color w:val="auto"/>
              </w:rPr>
            </w:pPr>
            <w:r>
              <w:rPr>
                <w:rFonts w:ascii="Arial" w:cs="Arial" w:eastAsia="Arial" w:hAnsi="Arial"/>
                <w:sz w:val="14"/>
                <w:szCs w:val="14"/>
                <w:color w:val="auto"/>
              </w:rPr>
              <w:t>GAAP EPS, diluted, of Class A and Class B common stock</w:t>
            </w:r>
          </w:p>
        </w:tc>
        <w:tc>
          <w:tcPr>
            <w:tcW w:w="860" w:type="dxa"/>
            <w:vAlign w:val="bottom"/>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(0.17)</w:t>
            </w:r>
          </w:p>
        </w:tc>
        <w:tc>
          <w:tcPr>
            <w:tcW w:w="880" w:type="dxa"/>
            <w:vAlign w:val="bottom"/>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(0.20)</w:t>
            </w:r>
          </w:p>
        </w:tc>
        <w:tc>
          <w:tcPr>
            <w:tcW w:w="3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(1.22)</w:t>
            </w: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(1.03)</w:t>
            </w: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Non-GAAP effect of potentially dilutive Class A common stock</w:t>
            </w:r>
          </w:p>
        </w:tc>
        <w:tc>
          <w:tcPr>
            <w:tcW w:w="8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0.15</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Add (deduct):</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0.33</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0.17</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0.64</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Payroll tax expense related to stock-based compensation</w:t>
            </w:r>
          </w:p>
        </w:tc>
        <w:tc>
          <w:tcPr>
            <w:tcW w:w="8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86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Amortization of deferred costs on convertible notes</w:t>
            </w:r>
          </w:p>
        </w:tc>
        <w:tc>
          <w:tcPr>
            <w:tcW w:w="8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FF0FC"/>
          </w:tcPr>
          <w:p>
            <w:pPr>
              <w:spacing w:after="0"/>
              <w:rPr>
                <w:sz w:val="14"/>
                <w:szCs w:val="14"/>
                <w:color w:val="auto"/>
              </w:rPr>
            </w:pP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Acquisition and other</w:t>
            </w:r>
          </w:p>
        </w:tc>
        <w:tc>
          <w:tcPr>
            <w:tcW w:w="86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on sale of property and equipment</w:t>
            </w: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Charitable contribution of common stock</w:t>
            </w:r>
          </w:p>
        </w:tc>
        <w:tc>
          <w:tcPr>
            <w:tcW w:w="8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0.02</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0.06</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Lease termination</w:t>
            </w: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86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Restructuring charges</w:t>
            </w:r>
          </w:p>
        </w:tc>
        <w:tc>
          <w:tcPr>
            <w:tcW w:w="8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80" w:type="dxa"/>
            <w:vAlign w:val="bottom"/>
            <w:gridSpan w:val="2"/>
          </w:tcPr>
          <w:p>
            <w:pPr>
              <w:spacing w:after="0"/>
              <w:rPr>
                <w:sz w:val="20"/>
                <w:szCs w:val="20"/>
                <w:color w:val="auto"/>
              </w:rPr>
            </w:pPr>
            <w:r>
              <w:rPr>
                <w:rFonts w:ascii="Arial" w:cs="Arial" w:eastAsia="Arial" w:hAnsi="Arial"/>
                <w:sz w:val="14"/>
                <w:szCs w:val="14"/>
                <w:color w:val="auto"/>
              </w:rPr>
              <w:t>Loss on debt extinguishment</w:t>
            </w: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0.29</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76"/>
        </w:trPr>
        <w:tc>
          <w:tcPr>
            <w:tcW w:w="52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Non-GAAP EPS, diluted, of Class A and Class B common stock</w:t>
            </w:r>
          </w:p>
        </w:tc>
        <w:tc>
          <w:tcPr>
            <w:tcW w:w="860" w:type="dxa"/>
            <w:vAlign w:val="bottom"/>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0.16</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0.06</w:t>
            </w:r>
          </w:p>
        </w:tc>
        <w:tc>
          <w:tcPr>
            <w:tcW w:w="1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0.38</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(0.04)</w:t>
            </w:r>
          </w:p>
        </w:tc>
      </w:tr>
      <w:tr>
        <w:trPr>
          <w:trHeight w:val="20"/>
        </w:trPr>
        <w:tc>
          <w:tcPr>
            <w:tcW w:w="1120" w:type="dxa"/>
            <w:vAlign w:val="bottom"/>
            <w:tcBorders>
              <w:top w:val="single" w:sz="8" w:color="CFF0FC"/>
            </w:tcBorders>
            <w:shd w:val="clear" w:color="auto" w:fill="CFF0FC"/>
          </w:tcPr>
          <w:p>
            <w:pPr>
              <w:spacing w:after="0" w:line="20" w:lineRule="exact"/>
              <w:rPr>
                <w:sz w:val="1"/>
                <w:szCs w:val="1"/>
                <w:color w:val="auto"/>
              </w:rPr>
            </w:pPr>
          </w:p>
        </w:tc>
        <w:tc>
          <w:tcPr>
            <w:tcW w:w="4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For the Year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Ended 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Ended December 31,</w:t>
            </w:r>
          </w:p>
        </w:tc>
      </w:tr>
      <w:tr>
        <w:trPr>
          <w:trHeight w:val="156"/>
        </w:trPr>
        <w:tc>
          <w:tcPr>
            <w:tcW w:w="52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Segment Revenue:</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U.S.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159,110</w:t>
            </w:r>
          </w:p>
        </w:tc>
        <w:tc>
          <w:tcPr>
            <w:tcW w:w="2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123,614</w:t>
            </w:r>
          </w:p>
        </w:tc>
        <w:tc>
          <w:tcPr>
            <w:tcW w:w="1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573,755</w:t>
            </w:r>
          </w:p>
        </w:tc>
        <w:tc>
          <w:tcPr>
            <w:tcW w:w="24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456,727</w:t>
            </w:r>
          </w:p>
        </w:tc>
        <w:tc>
          <w:tcPr>
            <w:tcW w:w="100" w:type="dxa"/>
            <w:vAlign w:val="bottom"/>
          </w:tcPr>
          <w:p>
            <w:pPr>
              <w:spacing w:after="0"/>
              <w:rPr>
                <w:sz w:val="14"/>
                <w:szCs w:val="14"/>
                <w:color w:val="auto"/>
              </w:rPr>
            </w:pPr>
          </w:p>
        </w:tc>
      </w:tr>
      <w:tr>
        <w:trPr>
          <w:trHeight w:val="162"/>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International</w:t>
            </w: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33,288</w:t>
            </w: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24,932</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112,876</w:t>
            </w:r>
          </w:p>
        </w:tc>
        <w:tc>
          <w:tcPr>
            <w:tcW w:w="2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88,802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528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192,398</w:t>
            </w:r>
          </w:p>
        </w:tc>
        <w:tc>
          <w:tcPr>
            <w:tcW w:w="2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148,546</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686,631</w:t>
            </w:r>
          </w:p>
        </w:tc>
        <w:tc>
          <w:tcPr>
            <w:tcW w:w="240" w:type="dxa"/>
            <w:vAlign w:val="bottom"/>
          </w:tcPr>
          <w:p>
            <w:pPr>
              <w:spacing w:after="0"/>
              <w:rPr>
                <w:sz w:val="13"/>
                <w:szCs w:val="13"/>
                <w:color w:val="auto"/>
              </w:rPr>
            </w:pP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545,529</w:t>
            </w:r>
          </w:p>
        </w:tc>
        <w:tc>
          <w:tcPr>
            <w:tcW w:w="100" w:type="dxa"/>
            <w:vAlign w:val="bottom"/>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Segment Cost of Revenue:</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U.S.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95,827</w:t>
            </w:r>
          </w:p>
        </w:tc>
        <w:tc>
          <w:tcPr>
            <w:tcW w:w="2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74,010</w:t>
            </w:r>
          </w:p>
        </w:tc>
        <w:tc>
          <w:tcPr>
            <w:tcW w:w="1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347,668</w:t>
            </w:r>
          </w:p>
        </w:tc>
        <w:tc>
          <w:tcPr>
            <w:tcW w:w="24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274,838</w:t>
            </w:r>
          </w:p>
        </w:tc>
        <w:tc>
          <w:tcPr>
            <w:tcW w:w="100" w:type="dxa"/>
            <w:vAlign w:val="bottom"/>
          </w:tcPr>
          <w:p>
            <w:pPr>
              <w:spacing w:after="0"/>
              <w:rPr>
                <w:sz w:val="14"/>
                <w:szCs w:val="14"/>
                <w:color w:val="auto"/>
              </w:rPr>
            </w:pPr>
          </w:p>
        </w:tc>
      </w:tr>
      <w:tr>
        <w:trPr>
          <w:trHeight w:val="162"/>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International</w:t>
            </w: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21,333</w:t>
            </w: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15,516</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70,190</w:t>
            </w:r>
          </w:p>
        </w:tc>
        <w:tc>
          <w:tcPr>
            <w:tcW w:w="2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55,067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5280" w:type="dxa"/>
            <w:vAlign w:val="bottom"/>
          </w:tcPr>
          <w:p>
            <w:pPr>
              <w:spacing w:after="0" w:line="155" w:lineRule="exact"/>
              <w:rPr>
                <w:sz w:val="20"/>
                <w:szCs w:val="20"/>
                <w:color w:val="auto"/>
              </w:rPr>
            </w:pPr>
            <w:r>
              <w:rPr>
                <w:rFonts w:ascii="Arial" w:cs="Arial" w:eastAsia="Arial" w:hAnsi="Arial"/>
                <w:sz w:val="14"/>
                <w:szCs w:val="14"/>
                <w:color w:val="auto"/>
              </w:rPr>
              <w:t>Total cost of revenue</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117,160</w:t>
            </w:r>
          </w:p>
        </w:tc>
        <w:tc>
          <w:tcPr>
            <w:tcW w:w="2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89,526</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417,858</w:t>
            </w:r>
          </w:p>
        </w:tc>
        <w:tc>
          <w:tcPr>
            <w:tcW w:w="240" w:type="dxa"/>
            <w:vAlign w:val="bottom"/>
          </w:tcPr>
          <w:p>
            <w:pPr>
              <w:spacing w:after="0"/>
              <w:rPr>
                <w:sz w:val="13"/>
                <w:szCs w:val="13"/>
                <w:color w:val="auto"/>
              </w:rPr>
            </w:pP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329,905</w:t>
            </w:r>
          </w:p>
        </w:tc>
        <w:tc>
          <w:tcPr>
            <w:tcW w:w="100" w:type="dxa"/>
            <w:vAlign w:val="bottom"/>
          </w:tcPr>
          <w:p>
            <w:pPr>
              <w:spacing w:after="0"/>
              <w:rPr>
                <w:sz w:val="13"/>
                <w:szCs w:val="13"/>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Segment Adjusted EBITDA:</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U.S.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10,811</w:t>
            </w:r>
          </w:p>
        </w:tc>
        <w:tc>
          <w:tcPr>
            <w:tcW w:w="2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4,018</w:t>
            </w:r>
          </w:p>
        </w:tc>
        <w:tc>
          <w:tcPr>
            <w:tcW w:w="1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31,046</w:t>
            </w:r>
          </w:p>
        </w:tc>
        <w:tc>
          <w:tcPr>
            <w:tcW w:w="24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International</w:t>
            </w: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(2,429)</w:t>
            </w:r>
          </w:p>
        </w:tc>
        <w:tc>
          <w:tcPr>
            <w:tcW w:w="2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(2,969)</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(12,518)</w:t>
            </w: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(9,843)</w:t>
            </w: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5280" w:type="dxa"/>
            <w:vAlign w:val="bottom"/>
          </w:tcPr>
          <w:p>
            <w:pPr>
              <w:spacing w:after="0" w:line="155" w:lineRule="exact"/>
              <w:rPr>
                <w:sz w:val="20"/>
                <w:szCs w:val="20"/>
                <w:color w:val="auto"/>
              </w:rPr>
            </w:pPr>
            <w:r>
              <w:rPr>
                <w:rFonts w:ascii="Arial" w:cs="Arial" w:eastAsia="Arial" w:hAnsi="Arial"/>
                <w:sz w:val="14"/>
                <w:szCs w:val="14"/>
                <w:color w:val="auto"/>
              </w:rPr>
              <w:t>Total Adjusted EBITDA</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8,382</w:t>
            </w:r>
          </w:p>
        </w:tc>
        <w:tc>
          <w:tcPr>
            <w:tcW w:w="2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1,049</w:t>
            </w:r>
          </w:p>
        </w:tc>
        <w:tc>
          <w:tcPr>
            <w:tcW w:w="140" w:type="dxa"/>
            <w:vAlign w:val="bottom"/>
          </w:tcPr>
          <w:p>
            <w:pPr>
              <w:spacing w:after="0"/>
              <w:rPr>
                <w:sz w:val="13"/>
                <w:szCs w:val="13"/>
                <w:color w:val="auto"/>
              </w:rPr>
            </w:pPr>
          </w:p>
        </w:tc>
        <w:tc>
          <w:tcPr>
            <w:tcW w:w="3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18,528</w:t>
            </w:r>
          </w:p>
        </w:tc>
        <w:tc>
          <w:tcPr>
            <w:tcW w:w="240" w:type="dxa"/>
            <w:vAlign w:val="bottom"/>
          </w:tcPr>
          <w:p>
            <w:pPr>
              <w:spacing w:after="0"/>
              <w:rPr>
                <w:sz w:val="13"/>
                <w:szCs w:val="13"/>
                <w:color w:val="auto"/>
              </w:rPr>
            </w:pPr>
          </w:p>
        </w:tc>
        <w:tc>
          <w:tcPr>
            <w:tcW w:w="380" w:type="dxa"/>
            <w:vAlign w:val="bottom"/>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(9,676)</w:t>
            </w: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-1233805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-1233805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-1233805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-685165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-685165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-685165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-136525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-136525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-136525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3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For the Three Months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For the Year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3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Ended December 31,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8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Summary of Stock-based Compensation Expense and Payroll Taxes</w:t>
            </w:r>
          </w:p>
        </w:tc>
        <w:tc>
          <w:tcPr>
            <w:tcW w:w="8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Related to Stock-based Compensation Expense</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Sales and marketing</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3,076</w:t>
            </w:r>
          </w:p>
        </w:tc>
        <w:tc>
          <w:tcPr>
            <w:tcW w:w="220" w:type="dxa"/>
            <w:vAlign w:val="bottom"/>
          </w:tcPr>
          <w:p>
            <w:pPr>
              <w:spacing w:after="0"/>
              <w:rPr>
                <w:sz w:val="14"/>
                <w:szCs w:val="14"/>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2,233</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10,885</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8,233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Operations and support</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3,643</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13,093</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Product development</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2,568</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1,834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8,978</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1,455</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1,490</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5,871</w:t>
            </w:r>
          </w:p>
        </w:tc>
        <w:tc>
          <w:tcPr>
            <w:tcW w:w="24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line="147" w:lineRule="exact"/>
              <w:rPr>
                <w:sz w:val="20"/>
                <w:szCs w:val="20"/>
                <w:color w:val="auto"/>
              </w:rPr>
            </w:pPr>
            <w:r>
              <w:rPr>
                <w:rFonts w:ascii="Arial" w:cs="Arial" w:eastAsia="Arial" w:hAnsi="Arial"/>
                <w:sz w:val="14"/>
                <w:szCs w:val="14"/>
                <w:color w:val="auto"/>
              </w:rPr>
              <w:t>Total stock-based compensation expense and payroll taxes related to stock-</w:t>
            </w:r>
          </w:p>
        </w:tc>
        <w:tc>
          <w:tcPr>
            <w:tcW w:w="800" w:type="dxa"/>
            <w:vAlign w:val="bottom"/>
            <w:vMerge w:val="restart"/>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10,742</w:t>
            </w:r>
          </w:p>
        </w:tc>
        <w:tc>
          <w:tcPr>
            <w:tcW w:w="220" w:type="dxa"/>
            <w:vAlign w:val="bottom"/>
          </w:tcPr>
          <w:p>
            <w:pPr>
              <w:spacing w:after="0"/>
              <w:rPr>
                <w:sz w:val="12"/>
                <w:szCs w:val="12"/>
                <w:color w:val="auto"/>
              </w:rPr>
            </w:pPr>
          </w:p>
        </w:tc>
        <w:tc>
          <w:tcPr>
            <w:tcW w:w="860" w:type="dxa"/>
            <w:vAlign w:val="bottom"/>
            <w:vMerge w:val="restart"/>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8,296</w:t>
            </w:r>
          </w:p>
        </w:tc>
        <w:tc>
          <w:tcPr>
            <w:tcW w:w="240" w:type="dxa"/>
            <w:vAlign w:val="bottom"/>
          </w:tcPr>
          <w:p>
            <w:pPr>
              <w:spacing w:after="0"/>
              <w:rPr>
                <w:sz w:val="12"/>
                <w:szCs w:val="12"/>
                <w:color w:val="auto"/>
              </w:rPr>
            </w:pPr>
          </w:p>
        </w:tc>
        <w:tc>
          <w:tcPr>
            <w:tcW w:w="280" w:type="dxa"/>
            <w:vAlign w:val="bottom"/>
            <w:vMerge w:val="restart"/>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38,827</w:t>
            </w:r>
          </w:p>
        </w:tc>
        <w:tc>
          <w:tcPr>
            <w:tcW w:w="240" w:type="dxa"/>
            <w:vAlign w:val="bottom"/>
          </w:tcPr>
          <w:p>
            <w:pPr>
              <w:spacing w:after="0"/>
              <w:rPr>
                <w:sz w:val="12"/>
                <w:szCs w:val="12"/>
                <w:color w:val="auto"/>
              </w:rPr>
            </w:pPr>
          </w:p>
        </w:tc>
        <w:tc>
          <w:tcPr>
            <w:tcW w:w="380" w:type="dxa"/>
            <w:vAlign w:val="bottom"/>
            <w:vMerge w:val="restart"/>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280" w:type="dxa"/>
            <w:vAlign w:val="bottom"/>
          </w:tcPr>
          <w:p>
            <w:pPr>
              <w:spacing w:after="0" w:line="125" w:lineRule="exact"/>
              <w:rPr>
                <w:sz w:val="20"/>
                <w:szCs w:val="20"/>
                <w:color w:val="auto"/>
              </w:rPr>
            </w:pPr>
            <w:r>
              <w:rPr>
                <w:rFonts w:ascii="Arial" w:cs="Arial" w:eastAsia="Arial" w:hAnsi="Arial"/>
                <w:sz w:val="14"/>
                <w:szCs w:val="14"/>
                <w:color w:val="auto"/>
              </w:rPr>
              <w:t>based compensation</w:t>
            </w:r>
          </w:p>
        </w:tc>
        <w:tc>
          <w:tcPr>
            <w:tcW w:w="80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Summary of Depreciation and Amortization Expense</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Cost of revenue</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185</w:t>
            </w:r>
          </w:p>
        </w:tc>
        <w:tc>
          <w:tcPr>
            <w:tcW w:w="220" w:type="dxa"/>
            <w:vAlign w:val="bottom"/>
          </w:tcPr>
          <w:p>
            <w:pPr>
              <w:spacing w:after="0"/>
              <w:rPr>
                <w:sz w:val="14"/>
                <w:szCs w:val="14"/>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182</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735</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3,181</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Operations and support</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Product development</w:t>
            </w:r>
          </w:p>
        </w:tc>
        <w:tc>
          <w:tcPr>
            <w:tcW w:w="8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3,648</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13,508</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depreciation and amortization expense</w:t>
            </w:r>
          </w:p>
        </w:tc>
        <w:tc>
          <w:tcPr>
            <w:tcW w:w="800" w:type="dxa"/>
            <w:vAlign w:val="bottom"/>
            <w:tcBorders>
              <w:bottom w:val="single" w:sz="8" w:color="auto"/>
            </w:tcBorders>
            <w:shd w:val="clear" w:color="auto" w:fill="CFF0FC"/>
          </w:tcPr>
          <w:p>
            <w:pPr>
              <w:jc w:val="right"/>
              <w:ind w:right="64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5,009</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708"/>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3,390</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18,750</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13,012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4"/>
                <w:szCs w:val="14"/>
                <w:b w:val="1"/>
                <w:bCs w:val="1"/>
                <w:color w:val="auto"/>
              </w:rPr>
              <w:t>Summary of Restructuring Charges</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62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Operations and support</w:t>
            </w:r>
          </w:p>
        </w:tc>
        <w:tc>
          <w:tcPr>
            <w:tcW w:w="8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(130)</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588</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80" w:type="dxa"/>
            <w:vAlign w:val="bottom"/>
            <w:shd w:val="clear" w:color="auto" w:fill="CFF0FC"/>
          </w:tcPr>
          <w:p>
            <w:pPr>
              <w:spacing w:after="0"/>
              <w:rPr>
                <w:sz w:val="20"/>
                <w:szCs w:val="20"/>
                <w:color w:val="auto"/>
              </w:rPr>
            </w:pPr>
            <w:r>
              <w:rPr>
                <w:rFonts w:ascii="Arial" w:cs="Arial" w:eastAsia="Arial" w:hAnsi="Arial"/>
                <w:sz w:val="14"/>
                <w:szCs w:val="14"/>
                <w:color w:val="auto"/>
              </w:rPr>
              <w:t>Product development</w:t>
            </w:r>
          </w:p>
        </w:tc>
        <w:tc>
          <w:tcPr>
            <w:tcW w:w="8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w:t>
            </w:r>
          </w:p>
        </w:tc>
        <w:tc>
          <w:tcPr>
            <w:tcW w:w="8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8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2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restructuring charges</w:t>
            </w:r>
          </w:p>
        </w:tc>
        <w:tc>
          <w:tcPr>
            <w:tcW w:w="800" w:type="dxa"/>
            <w:vAlign w:val="bottom"/>
            <w:tcBorders>
              <w:top w:val="single" w:sz="8" w:color="auto"/>
              <w:bottom w:val="single" w:sz="8" w:color="auto"/>
            </w:tcBorders>
            <w:shd w:val="clear" w:color="auto" w:fill="CFF0FC"/>
          </w:tcPr>
          <w:p>
            <w:pPr>
              <w:jc w:val="right"/>
              <w:ind w:right="64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(202)</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1,262</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-1825625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-1825625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-1825625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-1825625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-779145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-762635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-779145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-762635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-779145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-762635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2026-02-24T06:17:26Z</dcterms:created>
  <dcterms:modified xsi:type="dcterms:W3CDTF">2026-02-24T06:17:26Z</dcterms:modified>
</cp:coreProperties>
</file>