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0002024040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Dutt Subir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Class A Common</w:t>
            </w:r>
          </w:p>
        </w:tc>
        <w:tc>
          <w:tcPr>
            <w:tcW w:w="1476"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4" w:type="dxa"/>
            <w:tcBorders/>
            <w:vAlign w:val="center"/>
          </w:tcPr>
          <w:p>
            <w:pPr>
              <w:pStyle w:val="TableContents"/>
              <w:bidi w:val="0"/>
              <w:spacing w:before="0" w:after="283"/>
              <w:jc w:val="left"/>
              <w:rPr/>
            </w:pPr>
            <w:r>
              <w:rPr/>
              <w:t>2500</w:t>
            </w:r>
          </w:p>
        </w:tc>
        <w:tc>
          <w:tcPr>
            <w:tcW w:w="1393" w:type="dxa"/>
            <w:tcBorders/>
            <w:vAlign w:val="center"/>
          </w:tcPr>
          <w:p>
            <w:pPr>
              <w:pStyle w:val="TableContents"/>
              <w:bidi w:val="0"/>
              <w:spacing w:before="0" w:after="283"/>
              <w:jc w:val="left"/>
              <w:rPr/>
            </w:pPr>
            <w:r>
              <w:rPr/>
              <w:t>212500.00</w:t>
            </w:r>
          </w:p>
        </w:tc>
        <w:tc>
          <w:tcPr>
            <w:tcW w:w="1566" w:type="dxa"/>
            <w:tcBorders/>
            <w:vAlign w:val="center"/>
          </w:tcPr>
          <w:p>
            <w:pPr>
              <w:pStyle w:val="TableContents"/>
              <w:bidi w:val="0"/>
              <w:spacing w:before="0" w:after="283"/>
              <w:jc w:val="left"/>
              <w:rPr/>
            </w:pPr>
            <w:r>
              <w:rPr/>
              <w:t>51123487</w:t>
            </w:r>
          </w:p>
        </w:tc>
        <w:tc>
          <w:tcPr>
            <w:tcW w:w="1575" w:type="dxa"/>
            <w:tcBorders/>
            <w:vAlign w:val="center"/>
          </w:tcPr>
          <w:p>
            <w:pPr>
              <w:pStyle w:val="TableContents"/>
              <w:bidi w:val="0"/>
              <w:spacing w:before="0" w:after="283"/>
              <w:jc w:val="left"/>
              <w:rPr/>
            </w:pPr>
            <w:r>
              <w:rPr/>
              <w:t>05/13/2026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05/15/2025</w:t>
            </w:r>
          </w:p>
        </w:tc>
        <w:tc>
          <w:tcPr>
            <w:tcW w:w="1505" w:type="dxa"/>
            <w:tcBorders/>
            <w:vAlign w:val="center"/>
          </w:tcPr>
          <w:p>
            <w:pPr>
              <w:pStyle w:val="TableContents"/>
              <w:bidi w:val="0"/>
              <w:spacing w:before="0" w:after="283"/>
              <w:jc w:val="left"/>
              <w:rPr/>
            </w:pPr>
            <w:r>
              <w:rPr/>
              <w:t>PSU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w:t>
            </w:r>
          </w:p>
        </w:tc>
        <w:tc>
          <w:tcPr>
            <w:tcW w:w="1078" w:type="dxa"/>
            <w:tcBorders/>
            <w:vAlign w:val="center"/>
          </w:tcPr>
          <w:p>
            <w:pPr>
              <w:pStyle w:val="TableContents"/>
              <w:bidi w:val="0"/>
              <w:spacing w:before="0" w:after="283"/>
              <w:jc w:val="left"/>
              <w:rPr/>
            </w:pPr>
            <w:r>
              <w:rPr/>
              <w:t>05/15/2025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Subir Dutt</w:t>
              <w:br/>
              <w:t>6116 Executive Boulevard</w:t>
              <w:br/>
              <w:t>Suite 800</w:t>
              <w:br/>
              <w:t>North Bethesda   MD   20852</w:t>
            </w:r>
          </w:p>
        </w:tc>
        <w:tc>
          <w:tcPr>
            <w:tcW w:w="2954" w:type="dxa"/>
            <w:tcBorders/>
            <w:vAlign w:val="center"/>
          </w:tcPr>
          <w:p>
            <w:pPr>
              <w:pStyle w:val="TableContents"/>
              <w:bidi w:val="0"/>
              <w:spacing w:before="0" w:after="283"/>
              <w:jc w:val="left"/>
              <w:rPr/>
            </w:pPr>
            <w:r>
              <w:rPr/>
              <w:t>Class A Common</w:t>
            </w:r>
          </w:p>
        </w:tc>
        <w:tc>
          <w:tcPr>
            <w:tcW w:w="947" w:type="dxa"/>
            <w:tcBorders/>
            <w:vAlign w:val="center"/>
          </w:tcPr>
          <w:p>
            <w:pPr>
              <w:pStyle w:val="TableContents"/>
              <w:bidi w:val="0"/>
              <w:spacing w:before="0" w:after="283"/>
              <w:jc w:val="left"/>
              <w:rPr/>
            </w:pPr>
            <w:r>
              <w:rPr/>
              <w:t>04/02/2026</w:t>
            </w:r>
          </w:p>
        </w:tc>
        <w:tc>
          <w:tcPr>
            <w:tcW w:w="1565" w:type="dxa"/>
            <w:tcBorders/>
            <w:vAlign w:val="center"/>
          </w:tcPr>
          <w:p>
            <w:pPr>
              <w:pStyle w:val="TableContents"/>
              <w:bidi w:val="0"/>
              <w:spacing w:before="0" w:after="283"/>
              <w:jc w:val="left"/>
              <w:rPr/>
            </w:pPr>
            <w:r>
              <w:rPr/>
              <w:t>699</w:t>
            </w:r>
          </w:p>
        </w:tc>
        <w:tc>
          <w:tcPr>
            <w:tcW w:w="1764" w:type="dxa"/>
            <w:tcBorders/>
            <w:vAlign w:val="center"/>
          </w:tcPr>
          <w:p>
            <w:pPr>
              <w:pStyle w:val="TableContents"/>
              <w:bidi w:val="0"/>
              <w:spacing w:before="0" w:after="283"/>
              <w:jc w:val="left"/>
              <w:rPr/>
            </w:pPr>
            <w:r>
              <w:rPr/>
              <w:t>29188.00</w:t>
            </w:r>
          </w:p>
        </w:tc>
      </w:tr>
      <w:tr>
        <w:trPr/>
        <w:tc>
          <w:tcPr>
            <w:tcW w:w="2975" w:type="dxa"/>
            <w:tcBorders/>
            <w:vAlign w:val="center"/>
          </w:tcPr>
          <w:p>
            <w:pPr>
              <w:pStyle w:val="TableContents"/>
              <w:bidi w:val="0"/>
              <w:spacing w:before="0" w:after="283"/>
              <w:jc w:val="left"/>
              <w:rPr/>
            </w:pPr>
            <w:r>
              <w:rPr/>
              <w:t>Subir Dutt</w:t>
              <w:br/>
              <w:t>6116 Executive Boulevard</w:t>
              <w:br/>
              <w:t>Suite 800</w:t>
              <w:br/>
              <w:t>North Bethesda   MD   20852</w:t>
            </w:r>
          </w:p>
        </w:tc>
        <w:tc>
          <w:tcPr>
            <w:tcW w:w="2954" w:type="dxa"/>
            <w:tcBorders/>
            <w:vAlign w:val="center"/>
          </w:tcPr>
          <w:p>
            <w:pPr>
              <w:pStyle w:val="TableContents"/>
              <w:bidi w:val="0"/>
              <w:spacing w:before="0" w:after="283"/>
              <w:jc w:val="left"/>
              <w:rPr/>
            </w:pPr>
            <w:r>
              <w:rPr/>
              <w:t>Class A Common</w:t>
            </w:r>
          </w:p>
        </w:tc>
        <w:tc>
          <w:tcPr>
            <w:tcW w:w="947" w:type="dxa"/>
            <w:tcBorders/>
            <w:vAlign w:val="center"/>
          </w:tcPr>
          <w:p>
            <w:pPr>
              <w:pStyle w:val="TableContents"/>
              <w:bidi w:val="0"/>
              <w:spacing w:before="0" w:after="283"/>
              <w:jc w:val="left"/>
              <w:rPr/>
            </w:pPr>
            <w:r>
              <w:rPr/>
              <w:t>02/26/2026</w:t>
            </w:r>
          </w:p>
        </w:tc>
        <w:tc>
          <w:tcPr>
            <w:tcW w:w="1565" w:type="dxa"/>
            <w:tcBorders/>
            <w:vAlign w:val="center"/>
          </w:tcPr>
          <w:p>
            <w:pPr>
              <w:pStyle w:val="TableContents"/>
              <w:bidi w:val="0"/>
              <w:spacing w:before="0" w:after="283"/>
              <w:jc w:val="left"/>
              <w:rPr/>
            </w:pPr>
            <w:r>
              <w:rPr/>
              <w:t>2410</w:t>
            </w:r>
          </w:p>
        </w:tc>
        <w:tc>
          <w:tcPr>
            <w:tcW w:w="1764" w:type="dxa"/>
            <w:tcBorders/>
            <w:vAlign w:val="center"/>
          </w:tcPr>
          <w:p>
            <w:pPr>
              <w:pStyle w:val="TableContents"/>
              <w:bidi w:val="0"/>
              <w:spacing w:before="0" w:after="283"/>
              <w:jc w:val="left"/>
              <w:rPr/>
            </w:pPr>
            <w:r>
              <w:rPr/>
              <w:t>104763.18</w:t>
            </w:r>
          </w:p>
        </w:tc>
      </w:tr>
      <w:tr>
        <w:trPr/>
        <w:tc>
          <w:tcPr>
            <w:tcW w:w="2975" w:type="dxa"/>
            <w:tcBorders/>
            <w:vAlign w:val="center"/>
          </w:tcPr>
          <w:p>
            <w:pPr>
              <w:pStyle w:val="TableContents"/>
              <w:bidi w:val="0"/>
              <w:spacing w:before="0" w:after="283"/>
              <w:jc w:val="left"/>
              <w:rPr/>
            </w:pPr>
            <w:r>
              <w:rPr/>
              <w:t>Subir Dutt</w:t>
              <w:br/>
              <w:t>6116 Executive Boulevard</w:t>
              <w:br/>
              <w:t>Suite 800</w:t>
              <w:br/>
              <w:t>North Bethesda   MD   20852</w:t>
            </w:r>
          </w:p>
        </w:tc>
        <w:tc>
          <w:tcPr>
            <w:tcW w:w="2954" w:type="dxa"/>
            <w:tcBorders/>
            <w:vAlign w:val="center"/>
          </w:tcPr>
          <w:p>
            <w:pPr>
              <w:pStyle w:val="TableContents"/>
              <w:bidi w:val="0"/>
              <w:spacing w:before="0" w:after="283"/>
              <w:jc w:val="left"/>
              <w:rPr/>
            </w:pPr>
            <w:r>
              <w:rPr/>
              <w:t>Class A Common</w:t>
            </w:r>
          </w:p>
        </w:tc>
        <w:tc>
          <w:tcPr>
            <w:tcW w:w="947" w:type="dxa"/>
            <w:tcBorders/>
            <w:vAlign w:val="center"/>
          </w:tcPr>
          <w:p>
            <w:pPr>
              <w:pStyle w:val="TableContents"/>
              <w:bidi w:val="0"/>
              <w:spacing w:before="0" w:after="283"/>
              <w:jc w:val="left"/>
              <w:rPr/>
            </w:pPr>
            <w:r>
              <w:rPr/>
              <w:t>05/11/2026</w:t>
            </w:r>
          </w:p>
        </w:tc>
        <w:tc>
          <w:tcPr>
            <w:tcW w:w="1565" w:type="dxa"/>
            <w:tcBorders/>
            <w:vAlign w:val="center"/>
          </w:tcPr>
          <w:p>
            <w:pPr>
              <w:pStyle w:val="TableContents"/>
              <w:bidi w:val="0"/>
              <w:spacing w:before="0" w:after="283"/>
              <w:jc w:val="left"/>
              <w:rPr/>
            </w:pPr>
            <w:r>
              <w:rPr/>
              <w:t>5000</w:t>
            </w:r>
          </w:p>
        </w:tc>
        <w:tc>
          <w:tcPr>
            <w:tcW w:w="1764" w:type="dxa"/>
            <w:tcBorders/>
            <w:vAlign w:val="center"/>
          </w:tcPr>
          <w:p>
            <w:pPr>
              <w:pStyle w:val="TableContents"/>
              <w:bidi w:val="0"/>
              <w:spacing w:before="0" w:after="283"/>
              <w:jc w:val="left"/>
              <w:rPr/>
            </w:pPr>
            <w:r>
              <w:rPr/>
              <w:t>399293.50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201"/>
        <w:gridCol w:w="5004"/>
      </w:tblGrid>
      <w:tr>
        <w:trPr/>
        <w:tc>
          <w:tcPr>
            <w:tcW w:w="5201" w:type="dxa"/>
            <w:tcBorders/>
            <w:vAlign w:val="center"/>
          </w:tcPr>
          <w:p>
            <w:pPr>
              <w:pStyle w:val="TableContents"/>
              <w:bidi w:val="0"/>
              <w:spacing w:before="0" w:after="283"/>
              <w:jc w:val="left"/>
              <w:rPr/>
            </w:pPr>
            <w:r>
              <w:rPr/>
              <w:t>Remarks</w:t>
            </w:r>
          </w:p>
        </w:tc>
        <w:tc>
          <w:tcPr>
            <w:tcW w:w="5004" w:type="dxa"/>
            <w:tcBorders/>
            <w:vAlign w:val="center"/>
          </w:tcPr>
          <w:p>
            <w:pPr>
              <w:pStyle w:val="TableContents"/>
              <w:bidi w:val="0"/>
              <w:spacing w:before="0" w:after="283"/>
              <w:jc w:val="left"/>
              <w:rPr>
                <w:sz w:val="4"/>
                <w:szCs w:val="4"/>
              </w:rPr>
            </w:pPr>
            <w:r>
              <w:rPr>
                <w:sz w:val="4"/>
                <w:szCs w:val="4"/>
              </w:rPr>
            </w:r>
          </w:p>
        </w:tc>
      </w:tr>
      <w:tr>
        <w:trPr/>
        <w:tc>
          <w:tcPr>
            <w:tcW w:w="5201" w:type="dxa"/>
            <w:tcBorders/>
            <w:vAlign w:val="center"/>
          </w:tcPr>
          <w:p>
            <w:pPr>
              <w:pStyle w:val="TableContents"/>
              <w:bidi w:val="0"/>
              <w:spacing w:before="0" w:after="283"/>
              <w:jc w:val="left"/>
              <w:rPr/>
            </w:pPr>
            <w:r>
              <w:rPr/>
              <w:t>Date of Notice</w:t>
            </w:r>
          </w:p>
        </w:tc>
        <w:tc>
          <w:tcPr>
            <w:tcW w:w="5004" w:type="dxa"/>
            <w:tcBorders/>
            <w:vAlign w:val="center"/>
          </w:tcPr>
          <w:p>
            <w:pPr>
              <w:pStyle w:val="TableContents"/>
              <w:bidi w:val="0"/>
              <w:spacing w:before="0" w:after="0"/>
              <w:jc w:val="left"/>
              <w:rPr/>
            </w:pPr>
            <w:r>
              <w:rPr/>
              <w:t>05/13/2026</w:t>
            </w:r>
          </w:p>
        </w:tc>
      </w:tr>
      <w:tr>
        <w:trPr/>
        <w:tc>
          <w:tcPr>
            <w:tcW w:w="5201" w:type="dxa"/>
            <w:tcBorders/>
            <w:vAlign w:val="center"/>
          </w:tcPr>
          <w:p>
            <w:pPr>
              <w:pStyle w:val="TableContents"/>
              <w:bidi w:val="0"/>
              <w:spacing w:before="0" w:after="283"/>
              <w:jc w:val="left"/>
              <w:rPr/>
            </w:pPr>
            <w:r>
              <w:rPr/>
              <w:t>Date of Plan Adoption or Giving of Instruction, If Relying on Rule 10b5-1</w:t>
            </w:r>
          </w:p>
        </w:tc>
        <w:tc>
          <w:tcPr>
            <w:tcW w:w="5004" w:type="dxa"/>
            <w:tcBorders/>
            <w:vAlign w:val="center"/>
          </w:tcPr>
          <w:p>
            <w:pPr>
              <w:pStyle w:val="TableContents"/>
              <w:bidi w:val="0"/>
              <w:spacing w:before="0" w:after="0"/>
              <w:jc w:val="left"/>
              <w:rPr/>
            </w:pPr>
            <w:r>
              <w:rPr/>
              <w:t>08/18/2025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01" w:type="dxa"/>
            <w:tcBorders/>
            <w:vAlign w:val="center"/>
          </w:tcPr>
          <w:p>
            <w:pPr>
              <w:pStyle w:val="TableContents"/>
              <w:bidi w:val="0"/>
              <w:spacing w:before="0" w:after="283"/>
              <w:jc w:val="left"/>
              <w:rPr/>
            </w:pPr>
            <w:r>
              <w:rPr/>
              <w:t>Signature</w:t>
            </w:r>
          </w:p>
        </w:tc>
        <w:tc>
          <w:tcPr>
            <w:tcW w:w="5004" w:type="dxa"/>
            <w:tcBorders/>
            <w:vAlign w:val="center"/>
          </w:tcPr>
          <w:p>
            <w:pPr>
              <w:pStyle w:val="TableContents"/>
              <w:bidi w:val="0"/>
              <w:spacing w:before="0" w:after="0"/>
              <w:jc w:val="left"/>
              <w:rPr/>
            </w:pPr>
            <w:r>
              <w:rPr/>
              <w:t>/s/ UBS Financial Services Inc, as attorney-in-fact for Subir Dutt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3341</Characters>
  <CharactersWithSpaces>3940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