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Xometry,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Class A Common Stock, $0.000001 par value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98423F109</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2"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19" w:lineRule="exact"/>
        <w:rPr>
          <w:sz w:val="24"/>
          <w:szCs w:val="24"/>
          <w:color w:val="auto"/>
        </w:rPr>
      </w:pPr>
    </w:p>
    <w:p>
      <w:pPr>
        <w:ind w:left="420"/>
        <w:spacing w:after="0" w:line="207" w:lineRule="exact"/>
        <w:rPr>
          <w:sz w:val="24"/>
          <w:szCs w:val="24"/>
          <w:color w:val="auto"/>
        </w:rPr>
      </w:pPr>
      <w:r>
        <w:rPr>
          <w:rFonts w:ascii="MS PGothic" w:cs="MS PGothic" w:eastAsia="MS PGothic" w:hAnsi="MS PGothic"/>
          <w:sz w:val="18"/>
          <w:szCs w:val="18"/>
          <w:color w:val="auto"/>
        </w:rPr>
        <w:t>☒</w:t>
      </w:r>
      <w:r>
        <w:rPr>
          <w:rFonts w:ascii="Arial" w:cs="Arial" w:eastAsia="Arial" w:hAnsi="Arial"/>
          <w:sz w:val="16"/>
          <w:szCs w:val="16"/>
          <w:color w:val="auto"/>
        </w:rPr>
        <w:t>Rule 13d-1(d)</w:t>
      </w:r>
    </w:p>
    <w:p>
      <w:pPr>
        <w:spacing w:after="0" w:line="284" w:lineRule="exact"/>
        <w:rPr>
          <w:sz w:val="24"/>
          <w:szCs w:val="24"/>
          <w:color w:val="auto"/>
        </w:rPr>
      </w:pPr>
    </w:p>
    <w:p>
      <w:pPr>
        <w:ind w:left="420" w:hanging="432"/>
        <w:spacing w:after="0" w:line="308" w:lineRule="auto"/>
        <w:rPr>
          <w:sz w:val="24"/>
          <w:szCs w:val="24"/>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98423F109</w:t>
      </w:r>
    </w:p>
    <w:p>
      <w:pPr>
        <w:spacing w:after="0" w:line="246" w:lineRule="exact"/>
        <w:rPr>
          <w:sz w:val="20"/>
          <w:szCs w:val="20"/>
          <w:color w:val="auto"/>
        </w:rPr>
      </w:pPr>
    </w:p>
    <w:tbl>
      <w:tblPr>
        <w:tblLayout w:type="fixed"/>
        <w:tblInd w:w="14" w:type="dxa"/>
        <w:tblCellMar>
          <w:top w:w="0" w:type="dxa"/>
          <w:left w:w="0" w:type="dxa"/>
          <w:bottom w:w="0" w:type="dxa"/>
          <w:right w:w="0" w:type="dxa"/>
        </w:tblCellMar>
      </w:tblPr>
      <w:tr>
        <w:trPr>
          <w:trHeight w:val="244"/>
        </w:trPr>
        <w:tc>
          <w:tcPr>
            <w:tcW w:w="3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40" w:type="dxa"/>
            <w:vAlign w:val="bottom"/>
            <w:tcBorders>
              <w:top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Names of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Laurence Zuriff</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65"/>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560" w:type="dxa"/>
            <w:vAlign w:val="bottom"/>
            <w:gridSpan w:val="2"/>
          </w:tcPr>
          <w:p>
            <w:pPr>
              <w:jc w:val="right"/>
              <w:ind w:right="290"/>
              <w:spacing w:after="0" w:line="181" w:lineRule="exact"/>
              <w:rPr>
                <w:sz w:val="20"/>
                <w:szCs w:val="20"/>
                <w:color w:val="auto"/>
              </w:rPr>
            </w:pPr>
            <w:r>
              <w:rPr>
                <w:rFonts w:ascii="MS PGothic" w:cs="MS PGothic" w:eastAsia="MS PGothic" w:hAnsi="MS PGothic"/>
                <w:sz w:val="18"/>
                <w:szCs w:val="18"/>
                <w:color w:val="auto"/>
                <w:w w:val="88"/>
              </w:rPr>
              <w:t>☐</w:t>
            </w:r>
          </w:p>
        </w:tc>
        <w:tc>
          <w:tcPr>
            <w:tcW w:w="9440" w:type="dxa"/>
            <w:vAlign w:val="bottom"/>
            <w:tcBorders>
              <w:right w:val="single" w:sz="8" w:color="auto"/>
            </w:tcBorders>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4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94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2"/>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2,267,243 shares</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6"/>
        </w:trPr>
        <w:tc>
          <w:tcPr>
            <w:tcW w:w="380" w:type="dxa"/>
            <w:vAlign w:val="bottom"/>
            <w:tcBorders>
              <w:left w:val="single" w:sz="8" w:color="auto"/>
            </w:tcBorders>
          </w:tcPr>
          <w:p>
            <w:pPr>
              <w:spacing w:after="0"/>
              <w:rPr>
                <w:sz w:val="20"/>
                <w:szCs w:val="20"/>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Shares</w:t>
            </w:r>
          </w:p>
        </w:tc>
        <w:tc>
          <w:tcPr>
            <w:tcW w:w="22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94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34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1,101,176 shares</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1"/>
              </w:rPr>
              <w:t>Owned by</w:t>
            </w:r>
          </w:p>
        </w:tc>
        <w:tc>
          <w:tcPr>
            <w:tcW w:w="340" w:type="dxa"/>
            <w:vAlign w:val="bottom"/>
            <w:tcBorders>
              <w:bottom w:val="single" w:sz="8" w:color="auto"/>
              <w:right w:val="single" w:sz="8" w:color="auto"/>
            </w:tcBorders>
          </w:tcPr>
          <w:p>
            <w:pPr>
              <w:spacing w:after="0"/>
              <w:rPr>
                <w:sz w:val="20"/>
                <w:szCs w:val="20"/>
                <w:color w:val="auto"/>
              </w:rPr>
            </w:pPr>
          </w:p>
        </w:tc>
        <w:tc>
          <w:tcPr>
            <w:tcW w:w="94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540" w:type="dxa"/>
            <w:vAlign w:val="bottom"/>
            <w:gridSpan w:val="2"/>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220" w:type="dxa"/>
            <w:vAlign w:val="bottom"/>
            <w:tcBorders>
              <w:right w:val="single" w:sz="8" w:color="auto"/>
            </w:tcBorders>
          </w:tcPr>
          <w:p>
            <w:pPr>
              <w:spacing w:after="0"/>
              <w:rPr>
                <w:sz w:val="15"/>
                <w:szCs w:val="15"/>
                <w:color w:val="auto"/>
              </w:rPr>
            </w:pPr>
          </w:p>
        </w:tc>
        <w:tc>
          <w:tcPr>
            <w:tcW w:w="34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7.</w:t>
            </w:r>
          </w:p>
        </w:tc>
        <w:tc>
          <w:tcPr>
            <w:tcW w:w="9440" w:type="dxa"/>
            <w:vAlign w:val="bottom"/>
            <w:tcBorders>
              <w:right w:val="single" w:sz="8" w:color="auto"/>
            </w:tcBorders>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Reporting</w:t>
            </w:r>
          </w:p>
        </w:tc>
        <w:tc>
          <w:tcPr>
            <w:tcW w:w="34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 w:type="dxa"/>
            <w:vAlign w:val="bottom"/>
            <w:tcBorders>
              <w:left w:val="single" w:sz="8" w:color="auto"/>
            </w:tcBorders>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Person</w:t>
            </w:r>
          </w:p>
        </w:tc>
        <w:tc>
          <w:tcPr>
            <w:tcW w:w="22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2,267,243 shares</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5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7"/>
              </w:rPr>
              <w:t>With:</w:t>
            </w:r>
          </w:p>
        </w:tc>
        <w:tc>
          <w:tcPr>
            <w:tcW w:w="220" w:type="dxa"/>
            <w:vAlign w:val="bottom"/>
            <w:tcBorders>
              <w:right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9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80" w:type="dxa"/>
            <w:vAlign w:val="bottom"/>
            <w:tcBorders>
              <w:left w:val="single" w:sz="8" w:color="auto"/>
            </w:tcBorders>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3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w:t>
            </w:r>
          </w:p>
        </w:tc>
        <w:tc>
          <w:tcPr>
            <w:tcW w:w="94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94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201,176 shares</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00" w:type="dxa"/>
            <w:vAlign w:val="bottom"/>
            <w:gridSpan w:val="3"/>
          </w:tcPr>
          <w:p>
            <w:pPr>
              <w:ind w:left="160"/>
              <w:spacing w:after="0"/>
              <w:rPr>
                <w:sz w:val="20"/>
                <w:szCs w:val="20"/>
                <w:color w:val="auto"/>
              </w:rPr>
            </w:pPr>
            <w:r>
              <w:rPr>
                <w:rFonts w:ascii="Arial" w:cs="Arial" w:eastAsia="Arial" w:hAnsi="Arial"/>
                <w:sz w:val="18"/>
                <w:szCs w:val="18"/>
                <w:color w:val="auto"/>
                <w:w w:val="96"/>
              </w:rPr>
              <w:t>Aggregate</w:t>
            </w:r>
          </w:p>
        </w:tc>
        <w:tc>
          <w:tcPr>
            <w:tcW w:w="9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3,368,419 shares</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7.65%</w:t>
            </w:r>
            <w:r>
              <w:rPr>
                <w:rFonts w:ascii="Arial" w:cs="Arial" w:eastAsia="Arial" w:hAnsi="Arial"/>
                <w:sz w:val="15"/>
                <w:szCs w:val="15"/>
                <w:color w:val="auto"/>
              </w:rPr>
              <w:t>(4)</w:t>
            </w: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w:t>
            </w: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100" w:hanging="424"/>
        <w:spacing w:after="0" w:line="287" w:lineRule="auto"/>
        <w:tabs>
          <w:tab w:leader="none" w:pos="424"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(i) 955,407 shares of Class A Common Stock held directly by Mr. Zuriff; (ii) 1,200,843 shares of Class B Common Stock of the Issuer that are held by Mr. Zuriff, which shares are convertible at any time into Class A Common Stock on a one-to-one basis, and (iii)110,993 shares of Class A Common Stock underlying outstanding options held by Mr. Zuriff that are vested or will vest prior to March 1, 2022.</w:t>
      </w:r>
    </w:p>
    <w:p>
      <w:pPr>
        <w:spacing w:after="0" w:line="2" w:lineRule="exact"/>
        <w:rPr>
          <w:rFonts w:ascii="Arial" w:cs="Arial" w:eastAsia="Arial" w:hAnsi="Arial"/>
          <w:sz w:val="16"/>
          <w:szCs w:val="16"/>
          <w:color w:val="auto"/>
        </w:rPr>
      </w:pPr>
    </w:p>
    <w:p>
      <w:pPr>
        <w:ind w:left="424" w:hanging="424"/>
        <w:spacing w:after="0" w:line="250"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(i) 300,000 shares of Class A Common Stock held by the Jason Eric Zuriff Trust; (ii) 300,000 shares of Class A Common Stock held by the Sophie Anna Zuriff Trust; (iii) 300,000 shares of Class A common stock held by the Zuriff Family 2020 Trust; and (iv) 201,176 shares of Class A common stock held by ZFI Capital, LP.</w:t>
      </w:r>
    </w:p>
    <w:p>
      <w:pPr>
        <w:spacing w:after="0" w:line="1" w:lineRule="exact"/>
        <w:rPr>
          <w:rFonts w:ascii="Arial" w:cs="Arial" w:eastAsia="Arial" w:hAnsi="Arial"/>
          <w:sz w:val="18"/>
          <w:szCs w:val="18"/>
          <w:color w:val="auto"/>
        </w:rPr>
      </w:pPr>
    </w:p>
    <w:p>
      <w:pPr>
        <w:ind w:left="424" w:right="740" w:hanging="424"/>
        <w:spacing w:after="0" w:line="250"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201,176 shares of Class A common stock held by ZFI Capital, LP, over which Mr. Zuriff may be deemed to exercise voting and dispositive control.</w:t>
      </w:r>
    </w:p>
    <w:p>
      <w:pPr>
        <w:ind w:left="424" w:right="460" w:hanging="424"/>
        <w:spacing w:after="0" w:line="255"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percentage is calculated based on 41,744,740 shares of Class A Common Stock outstanding as of November 2, 2021, as reported by the Issuer in its Form 10-Q for the quarter ended September 30, 2021, filed with the United States Securities and Exchange Commission on November 10, 2021 (the “Form 10-Q”).</w:t>
      </w:r>
    </w:p>
    <w:p>
      <w:pPr>
        <w:sectPr>
          <w:pgSz w:w="11900" w:h="16838" w:orient="portrait"/>
          <w:cols w:equalWidth="0" w:num="1">
            <w:col w:w="11004"/>
          </w:cols>
          <w:pgMar w:left="436" w:top="274" w:right="45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t>Item 1(a).</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Name of Issuer: Xometry,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-215900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Address of Issuer’s Principal Executive Offices: 7529 Standish Place, Suite 200, Derwood, MD 20855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ectPr>
          <w:pgSz w:w="11900" w:h="16838" w:orient="portrait"/>
          <w:cols w:equalWidth="0" w:num="2">
            <w:col w:w="760" w:space="220"/>
            <w:col w:w="9360"/>
          </w:cols>
          <w:pgMar w:left="440" w:top="270" w:right="1119" w:bottom="1440" w:gutter="0" w:footer="0" w:header="0"/>
        </w:sectPr>
      </w:pPr>
    </w:p>
    <w:p>
      <w:pPr>
        <w:spacing w:after="0" w:line="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Laurence Zuriff</w:t>
      </w:r>
    </w:p>
    <w:p>
      <w:pPr>
        <w:sectPr>
          <w:pgSz w:w="11900" w:h="16838" w:orient="portrait"/>
          <w:cols w:equalWidth="0" w:num="1">
            <w:col w:w="10340"/>
          </w:cols>
          <w:pgMar w:left="440" w:top="270" w:right="1119" w:bottom="1440" w:gutter="0" w:footer="0" w:header="0"/>
          <w:type w:val="continuous"/>
        </w:sect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2(b).</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Address of Principal Business Office or, if none, Residence: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c/o Xometry,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7529 Standish Place,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Derwood, MD 20855</w:t>
      </w:r>
    </w:p>
    <w:p>
      <w:pPr>
        <w:spacing w:after="0" w:line="200" w:lineRule="exact"/>
        <w:rPr>
          <w:sz w:val="20"/>
          <w:szCs w:val="20"/>
          <w:color w:val="auto"/>
        </w:rPr>
      </w:pPr>
    </w:p>
    <w:p>
      <w:pPr>
        <w:sectPr>
          <w:pgSz w:w="11900" w:h="16838" w:orient="portrait"/>
          <w:cols w:equalWidth="0" w:num="2">
            <w:col w:w="760" w:space="220"/>
            <w:col w:w="9360"/>
          </w:cols>
          <w:pgMar w:left="440" w:top="270" w:right="1119" w:bottom="1440" w:gutter="0" w:footer="0" w:header="0"/>
          <w:type w:val="continuous"/>
        </w:sectPr>
      </w:pP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2(c).</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Citizenship:</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U.S. citizen</w:t>
      </w:r>
    </w:p>
    <w:p>
      <w:pPr>
        <w:spacing w:after="0" w:line="200" w:lineRule="exact"/>
        <w:rPr>
          <w:sz w:val="20"/>
          <w:szCs w:val="20"/>
          <w:color w:val="auto"/>
        </w:rPr>
      </w:pPr>
    </w:p>
    <w:p>
      <w:pPr>
        <w:sectPr>
          <w:pgSz w:w="11900" w:h="16838" w:orient="portrait"/>
          <w:cols w:equalWidth="0" w:num="2">
            <w:col w:w="740" w:space="240"/>
            <w:col w:w="9360"/>
          </w:cols>
          <w:pgMar w:left="440" w:top="270" w:right="1119" w:bottom="1440" w:gutter="0" w:footer="0" w:header="0"/>
          <w:type w:val="continuous"/>
        </w:sectPr>
      </w:pP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2(d).</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Title of Class of Securities: Class A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CUSIP Number: 98423F109</w:t>
      </w:r>
    </w:p>
    <w:p>
      <w:pPr>
        <w:spacing w:after="0" w:line="200" w:lineRule="exact"/>
        <w:rPr>
          <w:sz w:val="20"/>
          <w:szCs w:val="20"/>
          <w:color w:val="auto"/>
        </w:rPr>
      </w:pPr>
    </w:p>
    <w:p>
      <w:pPr>
        <w:sectPr>
          <w:pgSz w:w="11900" w:h="16838" w:orient="portrait"/>
          <w:cols w:equalWidth="0" w:num="2">
            <w:col w:w="760" w:space="220"/>
            <w:col w:w="9360"/>
          </w:cols>
          <w:pgMar w:left="440" w:top="270" w:right="1119" w:bottom="1440" w:gutter="0" w:footer="0" w:header="0"/>
          <w:type w:val="continuous"/>
        </w:sectPr>
      </w:pP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 applicable.</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Ownership</w:t>
      </w:r>
    </w:p>
    <w:p>
      <w:pPr>
        <w:spacing w:after="0" w:line="121" w:lineRule="exact"/>
        <w:rPr>
          <w:sz w:val="20"/>
          <w:szCs w:val="20"/>
          <w:color w:val="auto"/>
        </w:rPr>
      </w:pPr>
    </w:p>
    <w:p>
      <w:pPr>
        <w:sectPr>
          <w:pgSz w:w="11900" w:h="16838" w:orient="portrait"/>
          <w:cols w:equalWidth="0" w:num="2">
            <w:col w:w="540" w:space="440"/>
            <w:col w:w="9360"/>
          </w:cols>
          <w:pgMar w:left="440" w:top="270" w:right="1119" w:bottom="1440" w:gutter="0" w:footer="0" w:header="0"/>
          <w:type w:val="continuous"/>
        </w:sectPr>
      </w:pPr>
    </w:p>
    <w:p>
      <w:pPr>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150" w:lineRule="exact"/>
        <w:rPr>
          <w:sz w:val="20"/>
          <w:szCs w:val="20"/>
          <w:color w:val="auto"/>
        </w:rPr>
      </w:pPr>
    </w:p>
    <w:p>
      <w:pPr>
        <w:ind w:left="420" w:right="2340"/>
        <w:spacing w:after="0" w:line="391"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Amount Beneficially Owned:</w:t>
      </w:r>
      <w:r>
        <w:rPr>
          <w:rFonts w:ascii="Arial" w:cs="Arial" w:eastAsia="Arial" w:hAnsi="Arial"/>
          <w:sz w:val="18"/>
          <w:szCs w:val="18"/>
          <w:b w:val="1"/>
          <w:bCs w:val="1"/>
          <w:color w:val="auto"/>
        </w:rPr>
        <w:t xml:space="preserve"> See Row 9 of cover page for the Reporting Person. (b) </w:t>
      </w:r>
      <w:r>
        <w:rPr>
          <w:rFonts w:ascii="Arial" w:cs="Arial" w:eastAsia="Arial" w:hAnsi="Arial"/>
          <w:sz w:val="18"/>
          <w:szCs w:val="18"/>
          <w:color w:val="auto"/>
        </w:rPr>
        <w:t>Percent of Class:</w:t>
      </w:r>
      <w:r>
        <w:rPr>
          <w:rFonts w:ascii="Arial" w:cs="Arial" w:eastAsia="Arial" w:hAnsi="Arial"/>
          <w:sz w:val="18"/>
          <w:szCs w:val="18"/>
          <w:b w:val="1"/>
          <w:bCs w:val="1"/>
          <w:color w:val="auto"/>
        </w:rPr>
        <w:t xml:space="preserve"> See Row 11 of cover page for the Reporting Person. (c) </w:t>
      </w:r>
      <w:r>
        <w:rPr>
          <w:rFonts w:ascii="Arial" w:cs="Arial" w:eastAsia="Arial" w:hAnsi="Arial"/>
          <w:sz w:val="18"/>
          <w:szCs w:val="18"/>
          <w:color w:val="auto"/>
        </w:rPr>
        <w:t>Number of shares as to which the person has:</w:t>
      </w:r>
    </w:p>
    <w:p>
      <w:pPr>
        <w:spacing w:after="0" w:line="1" w:lineRule="exact"/>
        <w:rPr>
          <w:sz w:val="20"/>
          <w:szCs w:val="20"/>
          <w:color w:val="auto"/>
        </w:rPr>
      </w:pPr>
    </w:p>
    <w:p>
      <w:pPr>
        <w:ind w:left="1960" w:hanging="533"/>
        <w:spacing w:after="0"/>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Sole power to vote or to direct the vote: </w:t>
      </w:r>
      <w:r>
        <w:rPr>
          <w:rFonts w:ascii="Arial" w:cs="Arial" w:eastAsia="Arial" w:hAnsi="Arial"/>
          <w:sz w:val="18"/>
          <w:szCs w:val="18"/>
          <w:b w:val="1"/>
          <w:bCs w:val="1"/>
          <w:color w:val="auto"/>
        </w:rPr>
        <w:t>See Row 5 of cover page for the Reporting Person.</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Shared power to vote or to direct the vote: </w:t>
      </w:r>
      <w:r>
        <w:rPr>
          <w:rFonts w:ascii="Arial" w:cs="Arial" w:eastAsia="Arial" w:hAnsi="Arial"/>
          <w:sz w:val="18"/>
          <w:szCs w:val="18"/>
          <w:b w:val="1"/>
          <w:bCs w:val="1"/>
          <w:color w:val="auto"/>
        </w:rPr>
        <w:t>See Row 6 of cover page for the Reporting Person.</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Sole power to dispose or to direct the disposition of: </w:t>
      </w:r>
      <w:r>
        <w:rPr>
          <w:rFonts w:ascii="Arial" w:cs="Arial" w:eastAsia="Arial" w:hAnsi="Arial"/>
          <w:sz w:val="17"/>
          <w:szCs w:val="17"/>
          <w:b w:val="1"/>
          <w:bCs w:val="1"/>
          <w:color w:val="auto"/>
        </w:rPr>
        <w:t>See Row 7 of cover page for the Reporting Person.</w:t>
      </w:r>
    </w:p>
    <w:p>
      <w:pPr>
        <w:spacing w:after="0" w:line="142" w:lineRule="exact"/>
        <w:rPr>
          <w:rFonts w:ascii="Arial" w:cs="Arial" w:eastAsia="Arial" w:hAnsi="Arial"/>
          <w:sz w:val="17"/>
          <w:szCs w:val="17"/>
          <w:color w:val="auto"/>
        </w:rPr>
      </w:pPr>
    </w:p>
    <w:p>
      <w:pPr>
        <w:ind w:left="1960" w:hanging="533"/>
        <w:spacing w:after="0"/>
        <w:tabs>
          <w:tab w:leader="none" w:pos="1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Shared power to dispose or to direct the disposition of: </w:t>
      </w:r>
      <w:r>
        <w:rPr>
          <w:rFonts w:ascii="Arial" w:cs="Arial" w:eastAsia="Arial" w:hAnsi="Arial"/>
          <w:sz w:val="17"/>
          <w:szCs w:val="17"/>
          <w:b w:val="1"/>
          <w:bCs w:val="1"/>
          <w:color w:val="auto"/>
        </w:rPr>
        <w:t>See Row 8 of cover page for the Reporting Person.</w:t>
      </w:r>
    </w:p>
    <w:p>
      <w:pPr>
        <w:spacing w:after="0" w:line="3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5 Percent or Less of a Class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5 Percent on Behalf of Another Person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980" w:hanging="984"/>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a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340"/>
          </w:cols>
          <w:pgMar w:left="440" w:top="270" w:right="1119" w:bottom="1440" w:gutter="0" w:footer="0" w:header="0"/>
          <w:type w:val="continuous"/>
        </w:sectPr>
      </w:pPr>
    </w:p>
    <w:bookmarkStart w:id="3" w:name="page4"/>
    <w:bookmarkEnd w:id="3"/>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7" w:lineRule="exact"/>
        <w:rPr>
          <w:sz w:val="20"/>
          <w:szCs w:val="20"/>
          <w:color w:val="auto"/>
        </w:rPr>
      </w:pPr>
    </w:p>
    <w:p>
      <w:pPr>
        <w:jc w:val="center"/>
        <w:ind w:left="6600"/>
        <w:spacing w:after="0"/>
        <w:rPr>
          <w:sz w:val="20"/>
          <w:szCs w:val="20"/>
          <w:color w:val="auto"/>
        </w:rPr>
      </w:pPr>
      <w:r>
        <w:rPr>
          <w:rFonts w:ascii="Arial" w:cs="Arial" w:eastAsia="Arial" w:hAnsi="Arial"/>
          <w:sz w:val="18"/>
          <w:szCs w:val="18"/>
          <w:color w:val="auto"/>
        </w:rPr>
        <w:t>February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jc w:val="center"/>
        <w:ind w:left="660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jc w:val="center"/>
        <w:ind w:left="6600"/>
        <w:spacing w:after="0"/>
        <w:rPr>
          <w:sz w:val="20"/>
          <w:szCs w:val="20"/>
          <w:color w:val="auto"/>
        </w:rPr>
      </w:pPr>
      <w:r>
        <w:rPr>
          <w:rFonts w:ascii="Arial" w:cs="Arial" w:eastAsia="Arial" w:hAnsi="Arial"/>
          <w:sz w:val="18"/>
          <w:szCs w:val="18"/>
          <w:color w:val="auto"/>
        </w:rPr>
        <w:t>/s/ Laurence Zuriff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jc w:val="center"/>
        <w:ind w:left="6600"/>
        <w:spacing w:after="0"/>
        <w:rPr>
          <w:sz w:val="20"/>
          <w:szCs w:val="20"/>
          <w:color w:val="auto"/>
        </w:rPr>
      </w:pPr>
      <w:r>
        <w:rPr>
          <w:rFonts w:ascii="Arial" w:cs="Arial" w:eastAsia="Arial" w:hAnsi="Arial"/>
          <w:sz w:val="18"/>
          <w:szCs w:val="18"/>
          <w:color w:val="auto"/>
        </w:rPr>
        <w:t>Laurence Zuriff</w:t>
      </w:r>
    </w:p>
    <w:sectPr>
      <w:pgSz w:w="11900" w:h="16838" w:orient="portrait"/>
      <w:cols w:equalWidth="0" w:num="1">
        <w:col w:w="10460"/>
      </w:cols>
      <w:pgMar w:left="440" w:top="270"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2022-02-14T17:06:39Z</dcterms:created>
  <dcterms:modified xsi:type="dcterms:W3CDTF">2022-02-14T17:06:39Z</dcterms:modified>
</cp:coreProperties>
</file>