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0001944062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ectPr>
          <w:pgSz w:w="11900" w:h="16838" w:orient="portrait"/>
          <w:cols w:equalWidth="0" w:num="1">
            <w:col w:w="11240"/>
          </w:cols>
          <w:pgMar w:left="320" w:top="267" w:right="339" w:bottom="0" w:gutter="0" w:footer="0" w:header="0"/>
        </w:sectPr>
      </w:pP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22"/>
          <w:szCs w:val="22"/>
          <w:color w:val="auto"/>
        </w:rPr>
        <w:t>Xometry,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001-40546</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6116 EXECUTIVE BOULEVARD, SUITE 800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NORTH BETHESDA</w:t>
      </w:r>
    </w:p>
    <w:p>
      <w:pPr>
        <w:spacing w:after="0" w:line="230" w:lineRule="auto"/>
        <w:rPr>
          <w:sz w:val="20"/>
          <w:szCs w:val="20"/>
          <w:color w:val="auto"/>
        </w:rPr>
      </w:pPr>
      <w:r>
        <w:rPr>
          <w:rFonts w:ascii="Arial" w:cs="Arial" w:eastAsia="Arial" w:hAnsi="Arial"/>
          <w:sz w:val="22"/>
          <w:szCs w:val="22"/>
          <w:color w:val="auto"/>
        </w:rPr>
        <w:t>MARYLAND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20852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240-335-7914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Leibel Matthew</w:t>
      </w:r>
    </w:p>
    <w:p>
      <w:pPr>
        <w:spacing w:after="0" w:line="44" w:lineRule="exact"/>
        <w:rPr>
          <w:sz w:val="24"/>
          <w:szCs w:val="24"/>
          <w:color w:val="auto"/>
        </w:rPr>
      </w:pPr>
    </w:p>
    <w:p>
      <w:pPr>
        <w:sectPr>
          <w:pgSz w:w="11900" w:h="16838" w:orient="portrait"/>
          <w:cols w:equalWidth="0" w:num="2">
            <w:col w:w="5740" w:space="540"/>
            <w:col w:w="49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UBS Financial Services,</w:t>
      </w:r>
    </w:p>
    <w:p>
      <w:pPr>
        <w:spacing w:after="0" w:line="180" w:lineRule="auto"/>
        <w:tabs>
          <w:tab w:leader="none" w:pos="2340" w:val="left"/>
        </w:tabs>
        <w:rPr>
          <w:sz w:val="20"/>
          <w:szCs w:val="20"/>
          <w:color w:val="auto"/>
        </w:rPr>
      </w:pPr>
      <w:r>
        <w:rPr>
          <w:rFonts w:ascii="Arial" w:cs="Arial" w:eastAsia="Arial" w:hAnsi="Arial"/>
          <w:sz w:val="17"/>
          <w:szCs w:val="17"/>
          <w:color w:val="auto"/>
        </w:rPr>
        <w:t>Inc.</w:t>
      </w:r>
      <w:r>
        <w:rPr>
          <w:sz w:val="20"/>
          <w:szCs w:val="20"/>
          <w:color w:val="auto"/>
        </w:rPr>
        <w:tab/>
      </w:r>
      <w:r>
        <w:rPr>
          <w:rFonts w:ascii="Arial" w:cs="Arial" w:eastAsia="Arial" w:hAnsi="Arial"/>
          <w:sz w:val="29"/>
          <w:szCs w:val="29"/>
          <w:color w:val="auto"/>
          <w:vertAlign w:val="subscript"/>
        </w:rPr>
        <w:t>361</w:t>
      </w:r>
    </w:p>
    <w:p>
      <w:pPr>
        <w:spacing w:after="0" w:line="1" w:lineRule="exact"/>
        <w:rPr>
          <w:sz w:val="24"/>
          <w:szCs w:val="24"/>
          <w:color w:val="auto"/>
        </w:rPr>
      </w:pPr>
    </w:p>
    <w:p>
      <w:pPr>
        <w:ind w:right="1340"/>
        <w:spacing w:after="0" w:line="308" w:lineRule="auto"/>
        <w:rPr>
          <w:sz w:val="20"/>
          <w:szCs w:val="20"/>
          <w:color w:val="auto"/>
        </w:rPr>
      </w:pPr>
      <w:r>
        <w:rPr>
          <w:rFonts w:ascii="Arial" w:cs="Arial" w:eastAsia="Arial" w:hAnsi="Arial"/>
          <w:sz w:val="19"/>
          <w:szCs w:val="19"/>
          <w:color w:val="auto"/>
        </w:rPr>
        <w:t>1000 Harbor Boulevard 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spacing w:after="0"/>
              <w:rPr>
                <w:sz w:val="20"/>
                <w:szCs w:val="20"/>
                <w:color w:val="auto"/>
              </w:rPr>
            </w:pPr>
            <w:r>
              <w:rPr>
                <w:rFonts w:ascii="Arial" w:cs="Arial" w:eastAsia="Arial" w:hAnsi="Arial"/>
                <w:sz w:val="22"/>
                <w:szCs w:val="22"/>
                <w:color w:val="auto"/>
              </w:rPr>
              <w:t>7458.00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45168110</w:t>
            </w:r>
          </w:p>
        </w:tc>
        <w:tc>
          <w:tcPr>
            <w:tcW w:w="1280" w:type="dxa"/>
            <w:vAlign w:val="bottom"/>
          </w:tcPr>
          <w:p>
            <w:pPr>
              <w:ind w:left="40"/>
              <w:spacing w:after="0"/>
              <w:rPr>
                <w:sz w:val="20"/>
                <w:szCs w:val="20"/>
                <w:color w:val="auto"/>
              </w:rPr>
            </w:pPr>
            <w:r>
              <w:rPr>
                <w:rFonts w:ascii="Arial" w:cs="Arial" w:eastAsia="Arial" w:hAnsi="Arial"/>
                <w:sz w:val="22"/>
                <w:szCs w:val="22"/>
                <w:color w:val="auto"/>
              </w:rPr>
              <w:t>07/05/2023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25" w:lineRule="exact"/>
        <w:rPr>
          <w:sz w:val="24"/>
          <w:szCs w:val="24"/>
          <w:color w:val="auto"/>
        </w:rPr>
      </w:pPr>
    </w:p>
    <w:p>
      <w:pPr>
        <w:sectPr>
          <w:pgSz w:w="11900" w:h="16838" w:orient="portrait"/>
          <w:cols w:equalWidth="0" w:num="3">
            <w:col w:w="2220" w:space="300"/>
            <w:col w:w="3480" w:space="100"/>
            <w:col w:w="5140"/>
          </w:cols>
          <w:pgMar w:left="320" w:top="267" w:right="339" w:bottom="0" w:gutter="0" w:footer="0" w:header="0"/>
          <w:type w:val="continuous"/>
        </w:sectPr>
      </w:pPr>
    </w:p>
    <w:p>
      <w:pPr>
        <w:spacing w:after="0" w:line="23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07/01/2023</w:t>
            </w:r>
          </w:p>
        </w:tc>
        <w:tc>
          <w:tcPr>
            <w:tcW w:w="1440" w:type="dxa"/>
            <w:vAlign w:val="bottom"/>
          </w:tcPr>
          <w:p>
            <w:pPr>
              <w:ind w:left="40"/>
              <w:spacing w:after="0"/>
              <w:rPr>
                <w:sz w:val="20"/>
                <w:szCs w:val="20"/>
                <w:color w:val="auto"/>
              </w:rPr>
            </w:pPr>
            <w:r>
              <w:rPr>
                <w:rFonts w:ascii="Arial" w:cs="Arial" w:eastAsia="Arial" w:hAnsi="Arial"/>
                <w:sz w:val="22"/>
                <w:szCs w:val="22"/>
                <w:color w:val="auto"/>
              </w:rPr>
              <w:t>Stock Award</w:t>
            </w:r>
          </w:p>
        </w:tc>
        <w:tc>
          <w:tcPr>
            <w:tcW w:w="2040" w:type="dxa"/>
            <w:vAlign w:val="bottom"/>
            <w:vMerge w:val="restart"/>
          </w:tcPr>
          <w:p>
            <w:pPr>
              <w:ind w:left="30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361</w:t>
            </w:r>
          </w:p>
        </w:tc>
        <w:tc>
          <w:tcPr>
            <w:tcW w:w="1900" w:type="dxa"/>
            <w:vAlign w:val="bottom"/>
            <w:vMerge w:val="restart"/>
          </w:tcPr>
          <w:p>
            <w:pPr>
              <w:ind w:left="500"/>
              <w:spacing w:after="0"/>
              <w:rPr>
                <w:sz w:val="20"/>
                <w:szCs w:val="20"/>
                <w:color w:val="auto"/>
              </w:rPr>
            </w:pPr>
            <w:r>
              <w:rPr>
                <w:rFonts w:ascii="Arial" w:cs="Arial" w:eastAsia="Arial" w:hAnsi="Arial"/>
                <w:sz w:val="22"/>
                <w:szCs w:val="22"/>
                <w:color w:val="auto"/>
                <w:w w:val="90"/>
              </w:rPr>
              <w:t>07/01/2023 N/A</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40" w:type="dxa"/>
            <w:vAlign w:val="bottom"/>
          </w:tcPr>
          <w:p>
            <w:pPr>
              <w:ind w:left="40"/>
              <w:spacing w:after="0"/>
              <w:rPr>
                <w:sz w:val="20"/>
                <w:szCs w:val="20"/>
                <w:color w:val="auto"/>
              </w:rPr>
            </w:pPr>
            <w:r>
              <w:rPr>
                <w:rFonts w:ascii="Arial" w:cs="Arial" w:eastAsia="Arial" w:hAnsi="Arial"/>
                <w:sz w:val="22"/>
                <w:szCs w:val="22"/>
                <w:color w:val="auto"/>
              </w:rPr>
              <w:t>Vesting</w:t>
            </w:r>
          </w:p>
        </w:tc>
        <w:tc>
          <w:tcPr>
            <w:tcW w:w="204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tcPr>
          <w:p>
            <w:pPr>
              <w:ind w:left="40"/>
              <w:spacing w:after="0"/>
              <w:rPr>
                <w:sz w:val="20"/>
                <w:szCs w:val="20"/>
                <w:color w:val="auto"/>
              </w:rPr>
            </w:pPr>
            <w:r>
              <w:rPr>
                <w:rFonts w:ascii="Arial" w:cs="Arial" w:eastAsia="Arial" w:hAnsi="Arial"/>
                <w:sz w:val="22"/>
                <w:szCs w:val="22"/>
                <w:color w:val="auto"/>
              </w:rPr>
              <w:t>Matthew Leibel</w:t>
            </w:r>
          </w:p>
        </w:tc>
        <w:tc>
          <w:tcPr>
            <w:tcW w:w="8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6116 EXECUTIVE BOULEVARD,</w:t>
            </w:r>
          </w:p>
        </w:tc>
        <w:tc>
          <w:tcPr>
            <w:tcW w:w="3360" w:type="dxa"/>
            <w:vAlign w:val="bottom"/>
            <w:vMerge w:val="restart"/>
          </w:tcPr>
          <w:p>
            <w:pPr>
              <w:jc w:val="right"/>
              <w:ind w:right="1992"/>
              <w:spacing w:after="0"/>
              <w:rPr>
                <w:sz w:val="20"/>
                <w:szCs w:val="20"/>
                <w:color w:val="auto"/>
              </w:rPr>
            </w:pPr>
            <w:r>
              <w:rPr>
                <w:rFonts w:ascii="Arial" w:cs="Arial" w:eastAsia="Arial" w:hAnsi="Arial"/>
                <w:sz w:val="22"/>
                <w:szCs w:val="22"/>
                <w:color w:val="auto"/>
              </w:rPr>
              <w:t>COMMON</w:t>
            </w:r>
          </w:p>
        </w:tc>
        <w:tc>
          <w:tcPr>
            <w:tcW w:w="0" w:type="dxa"/>
            <w:vAlign w:val="bottom"/>
          </w:tcPr>
          <w:p>
            <w:pPr>
              <w:spacing w:after="0"/>
              <w:rPr>
                <w:sz w:val="1"/>
                <w:szCs w:val="1"/>
                <w:color w:val="auto"/>
              </w:rPr>
            </w:pPr>
          </w:p>
        </w:tc>
      </w:tr>
      <w:tr>
        <w:trPr>
          <w:trHeight w:val="153"/>
        </w:trPr>
        <w:tc>
          <w:tcPr>
            <w:tcW w:w="254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SUITE 800</w:t>
            </w:r>
          </w:p>
        </w:tc>
        <w:tc>
          <w:tcPr>
            <w:tcW w:w="8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5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40" w:type="dxa"/>
            <w:vAlign w:val="bottom"/>
          </w:tcPr>
          <w:p>
            <w:pPr>
              <w:ind w:left="40"/>
              <w:spacing w:after="0"/>
              <w:rPr>
                <w:sz w:val="20"/>
                <w:szCs w:val="20"/>
                <w:color w:val="auto"/>
              </w:rPr>
            </w:pPr>
            <w:r>
              <w:rPr>
                <w:rFonts w:ascii="Arial" w:cs="Arial" w:eastAsia="Arial" w:hAnsi="Arial"/>
                <w:sz w:val="22"/>
                <w:szCs w:val="22"/>
                <w:color w:val="auto"/>
                <w:w w:val="99"/>
              </w:rPr>
              <w:t>NORTH BETHESDA  MD</w:t>
            </w:r>
          </w:p>
        </w:tc>
        <w:tc>
          <w:tcPr>
            <w:tcW w:w="880" w:type="dxa"/>
            <w:vAlign w:val="bottom"/>
          </w:tcPr>
          <w:p>
            <w:pPr>
              <w:jc w:val="right"/>
              <w:ind w:right="152"/>
              <w:spacing w:after="0"/>
              <w:rPr>
                <w:sz w:val="20"/>
                <w:szCs w:val="20"/>
                <w:color w:val="auto"/>
              </w:rPr>
            </w:pPr>
            <w:r>
              <w:rPr>
                <w:rFonts w:ascii="Arial" w:cs="Arial" w:eastAsia="Arial" w:hAnsi="Arial"/>
                <w:sz w:val="22"/>
                <w:szCs w:val="22"/>
                <w:color w:val="auto"/>
                <w:w w:val="98"/>
              </w:rPr>
              <w:t>20852</w:t>
            </w: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78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0" w:type="dxa"/>
            <w:vAlign w:val="bottom"/>
          </w:tcPr>
          <w:p>
            <w:pPr>
              <w:spacing w:after="0"/>
              <w:rPr>
                <w:sz w:val="1"/>
                <w:szCs w:val="1"/>
                <w:color w:val="auto"/>
              </w:rPr>
            </w:pPr>
          </w:p>
        </w:tc>
      </w:tr>
      <w:tr>
        <w:trPr>
          <w:trHeight w:val="569"/>
        </w:trPr>
        <w:tc>
          <w:tcPr>
            <w:tcW w:w="2540" w:type="dxa"/>
            <w:vAlign w:val="bottom"/>
          </w:tcPr>
          <w:p>
            <w:pPr>
              <w:ind w:left="40"/>
              <w:spacing w:after="0"/>
              <w:rPr>
                <w:sz w:val="20"/>
                <w:szCs w:val="20"/>
                <w:color w:val="auto"/>
              </w:rPr>
            </w:pPr>
            <w:r>
              <w:rPr>
                <w:rFonts w:ascii="Arial" w:cs="Arial" w:eastAsia="Arial" w:hAnsi="Arial"/>
                <w:sz w:val="22"/>
                <w:szCs w:val="22"/>
                <w:color w:val="auto"/>
              </w:rPr>
              <w:t>Remarks</w:t>
            </w: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88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Arial" w:cs="Arial" w:eastAsia="Arial" w:hAnsi="Arial"/>
                <w:sz w:val="22"/>
                <w:szCs w:val="22"/>
                <w:color w:val="auto"/>
              </w:rPr>
              <w:t>07/05/2023</w:t>
            </w:r>
          </w:p>
        </w:tc>
        <w:tc>
          <w:tcPr>
            <w:tcW w:w="0" w:type="dxa"/>
            <w:vAlign w:val="bottom"/>
          </w:tcPr>
          <w:p>
            <w:pPr>
              <w:spacing w:after="0"/>
              <w:rPr>
                <w:sz w:val="1"/>
                <w:szCs w:val="1"/>
                <w:color w:val="auto"/>
              </w:rPr>
            </w:pPr>
          </w:p>
        </w:tc>
      </w:tr>
      <w:tr>
        <w:trPr>
          <w:trHeight w:val="162"/>
        </w:trPr>
        <w:tc>
          <w:tcPr>
            <w:tcW w:w="6780" w:type="dxa"/>
            <w:vAlign w:val="bottom"/>
            <w:gridSpan w:val="3"/>
          </w:tcPr>
          <w:p>
            <w:pPr>
              <w:ind w:left="40"/>
              <w:spacing w:after="0" w:line="162" w:lineRule="exact"/>
              <w:rPr>
                <w:sz w:val="20"/>
                <w:szCs w:val="20"/>
                <w:color w:val="auto"/>
              </w:rPr>
            </w:pPr>
            <w:r>
              <w:rPr>
                <w:rFonts w:ascii="Arial" w:cs="Arial" w:eastAsia="Arial" w:hAnsi="Arial"/>
                <w:sz w:val="18"/>
                <w:szCs w:val="18"/>
                <w:color w:val="auto"/>
              </w:rPr>
              <w:t>Date of Plan Adoption or Giving of Instruction, If Relying on</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520" w:type="dxa"/>
            <w:vAlign w:val="bottom"/>
            <w:vMerge w:val="restart"/>
          </w:tcPr>
          <w:p>
            <w:pPr>
              <w:spacing w:after="0"/>
              <w:rPr>
                <w:sz w:val="20"/>
                <w:szCs w:val="20"/>
                <w:color w:val="auto"/>
              </w:rPr>
            </w:pPr>
            <w:r>
              <w:rPr>
                <w:rFonts w:ascii="Arial" w:cs="Arial" w:eastAsia="Arial" w:hAnsi="Arial"/>
                <w:sz w:val="22"/>
                <w:szCs w:val="22"/>
                <w:color w:val="auto"/>
              </w:rPr>
              <w:t>Rule 10b5-1</w:t>
            </w:r>
          </w:p>
        </w:tc>
        <w:tc>
          <w:tcPr>
            <w:tcW w:w="3220" w:type="dxa"/>
            <w:vAlign w:val="bottom"/>
          </w:tcPr>
          <w:p>
            <w:pPr>
              <w:jc w:val="right"/>
              <w:spacing w:after="0"/>
              <w:rPr>
                <w:sz w:val="20"/>
                <w:szCs w:val="20"/>
                <w:color w:val="auto"/>
              </w:rPr>
            </w:pPr>
            <w:r>
              <w:rPr>
                <w:rFonts w:ascii="Arial" w:cs="Arial" w:eastAsia="Arial" w:hAnsi="Arial"/>
                <w:sz w:val="22"/>
                <w:szCs w:val="22"/>
                <w:color w:val="auto"/>
              </w:rPr>
              <w:t>09/15/2022</w:t>
            </w:r>
          </w:p>
        </w:tc>
        <w:tc>
          <w:tcPr>
            <w:tcW w:w="0" w:type="dxa"/>
            <w:vAlign w:val="bottom"/>
          </w:tcPr>
          <w:p>
            <w:pPr>
              <w:spacing w:after="0"/>
              <w:rPr>
                <w:sz w:val="1"/>
                <w:szCs w:val="1"/>
                <w:color w:val="auto"/>
              </w:rPr>
            </w:pPr>
          </w:p>
        </w:tc>
      </w:tr>
      <w:tr>
        <w:trPr>
          <w:trHeight w:val="103"/>
        </w:trPr>
        <w:tc>
          <w:tcPr>
            <w:tcW w:w="3520" w:type="dxa"/>
            <w:vAlign w:val="bottom"/>
            <w:vMerge w:val="continue"/>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3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812"/>
              <w:spacing w:after="0"/>
              <w:rPr>
                <w:sz w:val="20"/>
                <w:szCs w:val="20"/>
                <w:color w:val="auto"/>
              </w:rPr>
            </w:pPr>
            <w:r>
              <w:rPr>
                <w:rFonts w:ascii="Arial" w:cs="Arial" w:eastAsia="Arial" w:hAnsi="Arial"/>
                <w:sz w:val="22"/>
                <w:szCs w:val="22"/>
                <w:color w:val="auto"/>
                <w:w w:val="87"/>
              </w:rPr>
              <w:t>04/05/2023 360</w:t>
            </w:r>
          </w:p>
        </w:tc>
        <w:tc>
          <w:tcPr>
            <w:tcW w:w="1580" w:type="dxa"/>
            <w:vAlign w:val="bottom"/>
          </w:tcPr>
          <w:p>
            <w:pPr>
              <w:jc w:val="right"/>
              <w:ind w:right="652"/>
              <w:spacing w:after="0"/>
              <w:rPr>
                <w:sz w:val="20"/>
                <w:szCs w:val="20"/>
                <w:color w:val="auto"/>
              </w:rPr>
            </w:pPr>
            <w:r>
              <w:rPr>
                <w:rFonts w:ascii="Arial" w:cs="Arial" w:eastAsia="Arial" w:hAnsi="Arial"/>
                <w:sz w:val="22"/>
                <w:szCs w:val="22"/>
                <w:color w:val="auto"/>
              </w:rPr>
              <w:t>4965.34</w:t>
            </w:r>
          </w:p>
        </w:tc>
        <w:tc>
          <w:tcPr>
            <w:tcW w:w="0" w:type="dxa"/>
            <w:vAlign w:val="bottom"/>
          </w:tcPr>
          <w:p>
            <w:pPr>
              <w:spacing w:after="0"/>
              <w:rPr>
                <w:sz w:val="1"/>
                <w:szCs w:val="1"/>
                <w:color w:val="auto"/>
              </w:rPr>
            </w:pPr>
          </w:p>
        </w:tc>
      </w:tr>
    </w:tbl>
    <w:p>
      <w:pPr>
        <w:spacing w:after="0" w:line="3102" w:lineRule="exact"/>
        <w:rPr>
          <w:sz w:val="20"/>
          <w:szCs w:val="20"/>
          <w:color w:val="auto"/>
        </w:rPr>
      </w:pPr>
    </w:p>
    <w:p>
      <w:pPr>
        <w:sectPr>
          <w:pgSz w:w="11900" w:h="16838" w:orient="portrait"/>
          <w:cols w:equalWidth="0" w:num="2">
            <w:col w:w="6780" w:space="520"/>
            <w:col w:w="3940"/>
          </w:cols>
          <w:pgMar w:left="320" w:top="111" w:right="339" w:bottom="1440" w:gutter="0" w:footer="0" w:header="0"/>
          <w:type w:val="continuous"/>
        </w:sectPr>
      </w:pPr>
    </w:p>
    <w:p>
      <w:pPr>
        <w:spacing w:after="0" w:line="1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100" w:type="dxa"/>
            <w:vAlign w:val="bottom"/>
          </w:tcPr>
          <w:p>
            <w:pPr>
              <w:ind w:left="2460"/>
              <w:spacing w:after="0" w:line="246" w:lineRule="exact"/>
              <w:rPr>
                <w:sz w:val="20"/>
                <w:szCs w:val="20"/>
                <w:color w:val="auto"/>
              </w:rPr>
            </w:pPr>
            <w:r>
              <w:rPr>
                <w:rFonts w:ascii="Arial" w:cs="Arial" w:eastAsia="Arial" w:hAnsi="Arial"/>
                <w:sz w:val="22"/>
                <w:szCs w:val="22"/>
                <w:color w:val="auto"/>
                <w:w w:val="89"/>
              </w:rPr>
              <w:t>/s/ UBS Financial Services Inc, as attorney-in-fact for</w:t>
            </w: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7100" w:type="dxa"/>
            <w:vAlign w:val="bottom"/>
            <w:vMerge w:val="restart"/>
          </w:tcPr>
          <w:p>
            <w:pPr>
              <w:ind w:left="2460"/>
              <w:spacing w:after="0"/>
              <w:rPr>
                <w:sz w:val="20"/>
                <w:szCs w:val="20"/>
                <w:color w:val="auto"/>
              </w:rPr>
            </w:pPr>
            <w:r>
              <w:rPr>
                <w:rFonts w:ascii="Arial" w:cs="Arial" w:eastAsia="Arial" w:hAnsi="Arial"/>
                <w:sz w:val="22"/>
                <w:szCs w:val="22"/>
                <w:color w:val="auto"/>
              </w:rPr>
              <w:t>Matthew Leibel</w:t>
            </w:r>
          </w:p>
        </w:tc>
        <w:tc>
          <w:tcPr>
            <w:tcW w:w="0" w:type="dxa"/>
            <w:vAlign w:val="bottom"/>
          </w:tcPr>
          <w:p>
            <w:pPr>
              <w:spacing w:after="0"/>
              <w:rPr>
                <w:sz w:val="1"/>
                <w:szCs w:val="1"/>
                <w:color w:val="auto"/>
              </w:rPr>
            </w:pPr>
          </w:p>
        </w:tc>
      </w:tr>
      <w:tr>
        <w:trPr>
          <w:trHeight w:val="122"/>
        </w:trPr>
        <w:tc>
          <w:tcPr>
            <w:tcW w:w="330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2023-07-05T14:10:51Z</dcterms:created>
  <dcterms:modified xsi:type="dcterms:W3CDTF">2023-07-05T14:10:51Z</dcterms:modified>
</cp:coreProperties>
</file>