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03,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Xometry,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40" w:type="dxa"/>
        <w:tblCellMar>
          <w:top w:w="0" w:type="dxa"/>
          <w:left w:w="0" w:type="dxa"/>
          <w:bottom w:w="0" w:type="dxa"/>
          <w:right w:w="0" w:type="dxa"/>
        </w:tblCellMar>
      </w:tblPr>
      <w:tr>
        <w:trPr>
          <w:trHeight w:val="222"/>
        </w:trPr>
        <w:tc>
          <w:tcPr>
            <w:tcW w:w="304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4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001-40546</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32-0415449</w:t>
            </w:r>
          </w:p>
        </w:tc>
      </w:tr>
      <w:tr>
        <w:trPr>
          <w:trHeight w:val="149"/>
        </w:trPr>
        <w:tc>
          <w:tcPr>
            <w:tcW w:w="304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40" w:type="dxa"/>
            <w:vAlign w:val="bottom"/>
          </w:tcPr>
          <w:p>
            <w:pPr>
              <w:jc w:val="center"/>
              <w:ind w:right="26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4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4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4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rPr>
              <w:t>6116 Executive Blvd, Suite 800</w:t>
            </w:r>
          </w:p>
        </w:tc>
        <w:tc>
          <w:tcPr>
            <w:tcW w:w="324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04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w w:val="99"/>
              </w:rPr>
              <w:t>North Bethesda, Maryland</w:t>
            </w:r>
          </w:p>
        </w:tc>
        <w:tc>
          <w:tcPr>
            <w:tcW w:w="324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20852</w:t>
            </w:r>
          </w:p>
        </w:tc>
      </w:tr>
      <w:tr>
        <w:trPr>
          <w:trHeight w:val="178"/>
        </w:trPr>
        <w:tc>
          <w:tcPr>
            <w:tcW w:w="304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4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(240) 252-1138</w:t>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248285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Class A common stock, par value $0.000001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XMTR</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4.01 Changes in Registrant’s Certifying Accountant.</w:t>
      </w:r>
    </w:p>
    <w:p>
      <w:pPr>
        <w:spacing w:after="0" w:line="335" w:lineRule="exact"/>
        <w:rPr>
          <w:sz w:val="20"/>
          <w:szCs w:val="20"/>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Dismissal of Independent Registered Public Accounting Firm</w:t>
      </w:r>
    </w:p>
    <w:p>
      <w:pPr>
        <w:spacing w:after="0" w:line="223" w:lineRule="exact"/>
        <w:rPr>
          <w:sz w:val="20"/>
          <w:szCs w:val="20"/>
          <w:color w:val="auto"/>
        </w:rPr>
      </w:pPr>
    </w:p>
    <w:p>
      <w:pPr>
        <w:jc w:val="both"/>
        <w:ind w:right="140" w:firstLine="749"/>
        <w:spacing w:after="0" w:line="286" w:lineRule="auto"/>
        <w:rPr>
          <w:sz w:val="20"/>
          <w:szCs w:val="20"/>
          <w:color w:val="auto"/>
        </w:rPr>
      </w:pPr>
      <w:r>
        <w:rPr>
          <w:rFonts w:ascii="Times New Roman" w:cs="Times New Roman" w:eastAsia="Times New Roman" w:hAnsi="Times New Roman"/>
          <w:sz w:val="18"/>
          <w:szCs w:val="18"/>
          <w:color w:val="auto"/>
        </w:rPr>
        <w:t>On March 3, 2025, the Audit Committee of the Board of Directors of Xometry,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following careful deliberation, approved the dismissal of KPMG LLP, the Company’s independent registered public accounting firm. KPMG LLP was notified of the dismissal on March 4, 2025.</w:t>
      </w:r>
    </w:p>
    <w:p>
      <w:pPr>
        <w:spacing w:after="0" w:line="186"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The audit reports of KPMG LLP on the Company’s consolidated financial statements as of and for the fiscal years ended December 31, 2023 and 2024 did not contain an adverse opinion or a disclaimer of opinion, nor were they qualified or modified as to uncertainty, audit scope or accounting principles. The audit reports of KPMG LLP on the effectiveness of internal control over financial reporting as of December 31, 2023 and 2024 did not contain any adverse opinion or disclaimer of opinion, nor were they qualified or modified as to uncertainty, audit scope or accounting principles.</w:t>
      </w:r>
    </w:p>
    <w:p>
      <w:pPr>
        <w:spacing w:after="0" w:line="207" w:lineRule="exact"/>
        <w:rPr>
          <w:sz w:val="20"/>
          <w:szCs w:val="20"/>
          <w:color w:val="auto"/>
        </w:rPr>
      </w:pPr>
    </w:p>
    <w:p>
      <w:pPr>
        <w:ind w:right="40" w:firstLine="749"/>
        <w:spacing w:after="0" w:line="255" w:lineRule="auto"/>
        <w:rPr>
          <w:sz w:val="20"/>
          <w:szCs w:val="20"/>
          <w:color w:val="auto"/>
        </w:rPr>
      </w:pPr>
      <w:r>
        <w:rPr>
          <w:rFonts w:ascii="Times New Roman" w:cs="Times New Roman" w:eastAsia="Times New Roman" w:hAnsi="Times New Roman"/>
          <w:sz w:val="18"/>
          <w:szCs w:val="18"/>
          <w:color w:val="auto"/>
        </w:rPr>
        <w:t>During the fiscal years ended December 31, 2023 and 2024 and the subsequent interim period through March 4, 2025, there were no: (i) “disagreements” (as defined in Item 304(a)(1)(iv) of Regulation S-K and the related instructions to Item 304) between the Company and KPMG LLP on any matter of accounting principles or practices, financial statement disclosure or auditing scope or procedure which disagreements, if not resolved to the satisfaction of KPMG LLP would have caused KPMG LLP to make reference in connection with their opinion to the subject matter of the disagreement; or</w:t>
      </w:r>
    </w:p>
    <w:p>
      <w:pPr>
        <w:spacing w:after="0" w:line="3" w:lineRule="exact"/>
        <w:rPr>
          <w:sz w:val="20"/>
          <w:szCs w:val="20"/>
          <w:color w:val="auto"/>
        </w:rPr>
      </w:pPr>
    </w:p>
    <w:p>
      <w:pPr>
        <w:ind w:right="200" w:firstLine="8"/>
        <w:spacing w:after="0" w:line="258" w:lineRule="auto"/>
        <w:tabs>
          <w:tab w:leader="none" w:pos="31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“reportable events” (as defined in Item 304(a)(1)(v) of Regulation S-K), except for the material weakness in internal control over financial reporting initially disclosed in the Company’s Annual Report on Form 10-K for the year ended December 31, 2022 and referred to most recently in the Company’s Quarterly Report on Form 10-Q for the quarterly period ended September 30, 2023. This material weakness involved ineffective process-level controls, primarily related to revenue and costs of revenue, following the Company’s acquisition of Thomas Publishing, Inc., and was fully remediated as of December 31, 2023. The Audit Committee discussed this matter with KPMG LLP, and the Company has authorized KPMG LLP to respond fully to any inquiries of Deloitte &amp; Touche LLP with respect to this matter.</w:t>
      </w:r>
    </w:p>
    <w:p>
      <w:pPr>
        <w:spacing w:after="0" w:line="213"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The Company provided KPMG LLP with a copy of the disclosures it is making in this Current Report on Form 8-K and requested that KPMG LLP furnish a letter addressed to the Securities and Exchange Commission stating whether KPMG LLP agrees with the statements made herein. A copy of KPMG LLP’s letter dated March 7, 2025 is filed as Exhibit 16.1 hereto.</w:t>
      </w:r>
    </w:p>
    <w:p>
      <w:pPr>
        <w:spacing w:after="0" w:line="309" w:lineRule="exact"/>
        <w:rPr>
          <w:sz w:val="20"/>
          <w:szCs w:val="20"/>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Appointment of New Independent Registered Public Accounting Firm</w:t>
      </w:r>
    </w:p>
    <w:p>
      <w:pPr>
        <w:spacing w:after="0" w:line="227" w:lineRule="exact"/>
        <w:rPr>
          <w:sz w:val="20"/>
          <w:szCs w:val="20"/>
          <w:color w:val="auto"/>
        </w:rPr>
      </w:pPr>
    </w:p>
    <w:p>
      <w:pPr>
        <w:ind w:right="300" w:firstLine="749"/>
        <w:spacing w:after="0" w:line="282" w:lineRule="auto"/>
        <w:rPr>
          <w:sz w:val="20"/>
          <w:szCs w:val="20"/>
          <w:color w:val="auto"/>
        </w:rPr>
      </w:pPr>
      <w:r>
        <w:rPr>
          <w:rFonts w:ascii="Times New Roman" w:cs="Times New Roman" w:eastAsia="Times New Roman" w:hAnsi="Times New Roman"/>
          <w:sz w:val="18"/>
          <w:szCs w:val="18"/>
          <w:color w:val="auto"/>
        </w:rPr>
        <w:t>On March 3, 2025, the Audit Committee of the Board of Directors of the Company appointed Deloitte &amp; Touche LLP as the Company’s new independent registered public accounting firm, subject to completion of its standard client acceptance procedures.</w:t>
      </w:r>
    </w:p>
    <w:p>
      <w:pPr>
        <w:spacing w:after="0" w:line="162"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During the fiscal years ended December 31, 2023 and 2024 and the subsequent interim period through March 3, 2025, neither the Company nor anyone acting on its behalf consulted with Deloitte &amp; Touche LLP regarding either (i) the application of accounting principles to any specific completed or proposed transaction, or the type of audit opinion that might be rendered on the Company’s financial statements, nor did Deloitte &amp; Touche LLP provide written or oral advice to the Company that Deloitte &amp; Touche LLP concluded was an important factor considered by the Company in reaching a decision as to the accounting, auditing or financial reporting issue; or (ii) any matter that was either the subject of a “disagreement” (as defined in Item 304(a)(1)(iv) of Regulation S-K and the instructions thereto) or a “reportable event” (as defined in Item 304(a)(1)(v) of Regulation S-K).</w:t>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tc>
        <w:tc>
          <w:tcPr>
            <w:tcW w:w="3380" w:type="dxa"/>
            <w:vAlign w:val="bottom"/>
          </w:tcPr>
          <w:p>
            <w:pPr>
              <w:spacing w:after="0"/>
              <w:rPr>
                <w:sz w:val="20"/>
                <w:szCs w:val="20"/>
                <w:color w:val="auto"/>
              </w:rPr>
            </w:pPr>
          </w:p>
        </w:tc>
        <w:tc>
          <w:tcPr>
            <w:tcW w:w="3960" w:type="dxa"/>
            <w:vAlign w:val="bottom"/>
          </w:tcPr>
          <w:p>
            <w:pPr>
              <w:spacing w:after="0"/>
              <w:rPr>
                <w:sz w:val="20"/>
                <w:szCs w:val="20"/>
                <w:color w:val="auto"/>
              </w:rPr>
            </w:pPr>
          </w:p>
        </w:tc>
      </w:tr>
      <w:tr>
        <w:trPr>
          <w:trHeight w:val="324"/>
        </w:trPr>
        <w:tc>
          <w:tcPr>
            <w:tcW w:w="220" w:type="dxa"/>
            <w:vAlign w:val="bottom"/>
          </w:tcPr>
          <w:p>
            <w:pPr>
              <w:spacing w:after="0"/>
              <w:rPr>
                <w:sz w:val="24"/>
                <w:szCs w:val="24"/>
                <w:color w:val="auto"/>
              </w:rPr>
            </w:pPr>
          </w:p>
        </w:tc>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91"/>
        </w:trPr>
        <w:tc>
          <w:tcPr>
            <w:tcW w:w="39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0000FF"/>
              </w:rPr>
              <w:t>16.</w:t>
            </w:r>
            <w:r>
              <w:rPr>
                <w:rFonts w:ascii="Times New Roman" w:cs="Times New Roman" w:eastAsia="Times New Roman" w:hAnsi="Times New Roman"/>
                <w:sz w:val="18"/>
                <w:szCs w:val="18"/>
                <w:u w:val="single" w:color="auto"/>
                <w:color w:val="0000FF"/>
              </w:rPr>
              <w:t>1</w:t>
            </w:r>
          </w:p>
        </w:tc>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Letter Dated March 7, 2025 from KPMG LLP.</w:t>
            </w:r>
          </w:p>
        </w:tc>
      </w:tr>
      <w:tr>
        <w:trPr>
          <w:trHeight w:val="20"/>
        </w:trPr>
        <w:tc>
          <w:tcPr>
            <w:tcW w:w="22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3380" w:type="dxa"/>
            <w:vAlign w:val="bottom"/>
            <w:shd w:val="clear" w:color="auto" w:fill="0000FF"/>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r>
      <w:tr>
        <w:trPr>
          <w:trHeight w:val="237"/>
        </w:trPr>
        <w:tc>
          <w:tcPr>
            <w:tcW w:w="5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104</w:t>
            </w:r>
          </w:p>
        </w:tc>
        <w:tc>
          <w:tcPr>
            <w:tcW w:w="3400" w:type="dxa"/>
            <w:vAlign w:val="bottom"/>
          </w:tcPr>
          <w:p>
            <w:pPr>
              <w:spacing w:after="0"/>
              <w:rPr>
                <w:sz w:val="20"/>
                <w:szCs w:val="20"/>
                <w:color w:val="auto"/>
              </w:rPr>
            </w:pPr>
          </w:p>
        </w:tc>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979"/>
        </w:trPr>
        <w:tc>
          <w:tcPr>
            <w:tcW w:w="2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400" w:type="dxa"/>
            <w:vAlign w:val="bottom"/>
            <w:tcBorders>
              <w:bottom w:val="single" w:sz="8" w:color="9A9A9A"/>
            </w:tcBorders>
          </w:tcPr>
          <w:p>
            <w:pPr>
              <w:spacing w:after="0"/>
              <w:rPr>
                <w:sz w:val="24"/>
                <w:szCs w:val="24"/>
                <w:color w:val="auto"/>
              </w:rPr>
            </w:pPr>
          </w:p>
        </w:tc>
        <w:tc>
          <w:tcPr>
            <w:tcW w:w="3380" w:type="dxa"/>
            <w:vAlign w:val="bottom"/>
            <w:tcBorders>
              <w:bottom w:val="single" w:sz="8" w:color="9A9A9A"/>
            </w:tcBorders>
          </w:tcPr>
          <w:p>
            <w:pPr>
              <w:spacing w:after="0"/>
              <w:rPr>
                <w:sz w:val="24"/>
                <w:szCs w:val="24"/>
                <w:color w:val="auto"/>
              </w:rPr>
            </w:pPr>
          </w:p>
        </w:tc>
        <w:tc>
          <w:tcPr>
            <w:tcW w:w="3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98"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b w:val="1"/>
          <w:bCs w:val="1"/>
          <w:color w:val="auto"/>
        </w:rPr>
        <w:t>XOMETRY, INC.</w:t>
      </w:r>
    </w:p>
    <w:p>
      <w:pPr>
        <w:spacing w:after="0" w:line="378" w:lineRule="exact"/>
        <w:rPr>
          <w:sz w:val="20"/>
          <w:szCs w:val="20"/>
          <w:color w:val="auto"/>
        </w:rPr>
      </w:pPr>
    </w:p>
    <w:p>
      <w:pPr>
        <w:ind w:left="20"/>
        <w:spacing w:after="0"/>
        <w:tabs>
          <w:tab w:leader="none" w:pos="680" w:val="left"/>
          <w:tab w:leader="none" w:pos="5640" w:val="left"/>
          <w:tab w:leader="none" w:pos="60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March 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u w:val="single" w:color="auto"/>
          <w:color w:val="auto"/>
        </w:rPr>
        <w:t>/s/ Randolph Altschuler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Randolph Altschuler</w:t>
      </w:r>
    </w:p>
    <w:p>
      <w:pPr>
        <w:spacing w:after="0" w:line="2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16.1</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March 7, 2025</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right="320"/>
        <w:spacing w:after="0" w:line="253" w:lineRule="auto"/>
        <w:rPr>
          <w:sz w:val="20"/>
          <w:szCs w:val="20"/>
          <w:color w:val="auto"/>
        </w:rPr>
      </w:pPr>
      <w:r>
        <w:rPr>
          <w:rFonts w:ascii="Arial" w:cs="Arial" w:eastAsia="Arial" w:hAnsi="Arial"/>
          <w:sz w:val="18"/>
          <w:szCs w:val="18"/>
          <w:color w:val="auto"/>
        </w:rPr>
        <w:t>We were previously principal accountants for Xometry, Inc. and, under the date of February 25, 2025, we reported on the consolidated financial statements of Xometry, Inc. as of and for the years ended December 31, 2024 and 2023 and the effectiveness of internal control over financial reporting as of December 31, 2024. On March 4, 2025, we were dismissed.</w:t>
      </w:r>
    </w:p>
    <w:p>
      <w:pPr>
        <w:spacing w:after="0" w:line="142"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We have read Xometry Inc.’s statements included under Item 4.01 of its Form 8-K dated March 7, 2025, and we agree with such statements, except that we are not in a position to agree or disagree with the statements in Item 4.01(b).</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1144905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lowerRoman"/>
      <w:start w:val="2"/>
    </w:lvl>
  </w:abstractNum>
  <w:abstractNum w:abstractNumId="3">
    <w:nsid w:val="625558EC"/>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2025-03-07T07:18:11Z</dcterms:created>
  <dcterms:modified xsi:type="dcterms:W3CDTF">2025-03-07T07:18:11Z</dcterms:modified>
</cp:coreProperties>
</file>