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7"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On November 3, 2026, Xometry, Inc. (the “Company”) issued a press release announcing its third quarter financial results for the quarterly period ended September 30, 2026. A copy of the press release is furnished as Exhibit 99.1 to this report.</w:t>
      </w:r>
    </w:p>
    <w:p>
      <w:pPr>
        <w:spacing w:after="0" w:line="16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06"/>
        </w:trPr>
        <w:tc>
          <w:tcPr>
            <w:tcW w:w="1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6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November 3, 2026.</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7"/>
        </w:trPr>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0"/>
                <w:szCs w:val="20"/>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Singh Sahni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Sanjeev Singh Sahni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Record Third Quarter 2026 Results</w:t>
      </w:r>
    </w:p>
    <w:p>
      <w:pPr>
        <w:spacing w:after="0" w:line="19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Q3 revenue increased 40% year-over-year to a record $252 million, driven by robust marketplace growth.</w:t>
      </w:r>
    </w:p>
    <w:p>
      <w:pPr>
        <w:spacing w:after="0" w:line="106" w:lineRule="exact"/>
        <w:rPr>
          <w:rFonts w:ascii="Times New Roman" w:cs="Times New Roman" w:eastAsia="Times New Roman" w:hAnsi="Times New Roman"/>
          <w:sz w:val="20"/>
          <w:szCs w:val="20"/>
          <w:color w:val="auto"/>
        </w:rPr>
      </w:pPr>
    </w:p>
    <w:p>
      <w:pPr>
        <w:ind w:left="1020" w:right="12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Q3 marketplace revenue increased 43% year-over-year, driven by expanding networks of buyers and suppliers and increasing wallet share.</w:t>
      </w:r>
    </w:p>
    <w:p>
      <w:pPr>
        <w:spacing w:after="0" w:line="48" w:lineRule="exact"/>
        <w:rPr>
          <w:rFonts w:ascii="Times New Roman" w:cs="Times New Roman" w:eastAsia="Times New Roman" w:hAnsi="Times New Roman"/>
          <w:sz w:val="20"/>
          <w:szCs w:val="20"/>
          <w:color w:val="auto"/>
        </w:rPr>
      </w:pPr>
    </w:p>
    <w:p>
      <w:pPr>
        <w:ind w:left="1020" w:right="70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Q3 gross profit increased 37% year-over-year to a record $98.7 million, driven by strong marketplace growth. Record Q3 marketplace gross margin of 36.0%, an increase of 30 bps year-over-year.</w:t>
      </w:r>
    </w:p>
    <w:p>
      <w:pPr>
        <w:spacing w:after="0" w:line="48" w:lineRule="exact"/>
        <w:rPr>
          <w:rFonts w:ascii="Times New Roman" w:cs="Times New Roman" w:eastAsia="Times New Roman" w:hAnsi="Times New Roman"/>
          <w:sz w:val="20"/>
          <w:szCs w:val="20"/>
          <w:color w:val="auto"/>
        </w:rPr>
      </w:pPr>
    </w:p>
    <w:p>
      <w:pPr>
        <w:ind w:left="1020" w:right="26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Q3 Adjusted EBITDA improved $15.3 million year-over-year to Adjusted EBITDA of $21.4 million, driven by strong marketplace gross profit growth and significant operating expense leverage.</w:t>
      </w:r>
    </w:p>
    <w:p>
      <w:pPr>
        <w:spacing w:after="0" w:line="48" w:lineRule="exact"/>
        <w:rPr>
          <w:rFonts w:ascii="Times New Roman" w:cs="Times New Roman" w:eastAsia="Times New Roman" w:hAnsi="Times New Roman"/>
          <w:sz w:val="20"/>
          <w:szCs w:val="20"/>
          <w:color w:val="auto"/>
        </w:rPr>
      </w:pPr>
    </w:p>
    <w:p>
      <w:pPr>
        <w:ind w:left="1020" w:hanging="503"/>
        <w:spacing w:after="0" w:line="241"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Strong operating results were driven by consistent execution across growth initiatives: establishing Xometry as the infrastructure for custom manufacturing, improving AI-native marketplace experiences, expanding buyer and supplier networks, deepening enterprise engagement and leveraging services opportunities.</w:t>
      </w:r>
    </w:p>
    <w:p>
      <w:pPr>
        <w:spacing w:after="0" w:line="303"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NORTH BETHESDA, MD., November 3, 2026 /Globe Newswire/</w:t>
      </w:r>
      <w:r>
        <w:rPr>
          <w:rFonts w:ascii="Arial" w:cs="Arial" w:eastAsia="Arial" w:hAnsi="Arial"/>
          <w:sz w:val="20"/>
          <w:szCs w:val="20"/>
          <w:color w:val="auto"/>
        </w:rPr>
        <w:t>-- Xometry, Inc. (NASDAQ: XMTR), the global AI-native</w:t>
      </w:r>
      <w:r>
        <w:rPr>
          <w:rFonts w:ascii="Arial" w:cs="Arial" w:eastAsia="Arial" w:hAnsi="Arial"/>
          <w:sz w:val="20"/>
          <w:szCs w:val="20"/>
          <w:b w:val="1"/>
          <w:bCs w:val="1"/>
          <w:color w:val="auto"/>
        </w:rPr>
        <w:t xml:space="preserve"> </w:t>
      </w:r>
      <w:r>
        <w:rPr>
          <w:rFonts w:ascii="Arial" w:cs="Arial" w:eastAsia="Arial" w:hAnsi="Arial"/>
          <w:sz w:val="20"/>
          <w:szCs w:val="20"/>
          <w:color w:val="auto"/>
        </w:rPr>
        <w:t>marketplace connecting buyers and suppliers of custom manufacturing, today announced its financial results for the third quarter ended September 30, 2026.</w:t>
      </w:r>
    </w:p>
    <w:p>
      <w:pPr>
        <w:spacing w:after="0" w:line="143"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“Our key growth initiatives drove record results in the third quarter, with marketplace growth of 43% year-over-year, as we surpassed the $1 billion revenue run rate. We further improved our marketplace experience and continue to deepen enterprise engagement, driving record net buyer additions and increasing wallet share in larger accounts,” said Sanjeev Singh Sahni, CEO at Xometry. “We continue to strengthen Xometry’s position as the infrastructure layer for custom manufacturing, enabling us to rapidly scale online adoption and accelerate market share gains.”</w:t>
      </w:r>
    </w:p>
    <w:p>
      <w:pPr>
        <w:spacing w:after="0" w:line="134" w:lineRule="exact"/>
        <w:rPr>
          <w:sz w:val="20"/>
          <w:szCs w:val="20"/>
          <w:color w:val="auto"/>
        </w:rPr>
      </w:pPr>
    </w:p>
    <w:p>
      <w:pPr>
        <w:ind w:right="380"/>
        <w:spacing w:after="0" w:line="234" w:lineRule="auto"/>
        <w:rPr>
          <w:sz w:val="20"/>
          <w:szCs w:val="20"/>
          <w:color w:val="auto"/>
        </w:rPr>
      </w:pPr>
      <w:r>
        <w:rPr>
          <w:rFonts w:ascii="Arial" w:cs="Arial" w:eastAsia="Arial" w:hAnsi="Arial"/>
          <w:sz w:val="20"/>
          <w:szCs w:val="20"/>
          <w:color w:val="auto"/>
        </w:rPr>
        <w:t>“Our record-setting Q3 performance demonstrates the compounding growth and operational efficiency of our marketplace, delivering both strong revenue expansion and margin improvement,” said James Miln, CFO at Xometry. “Revenue growth remained robust at the 40% level for the second quarter in a row, alongside record marketplace gross margin of 36.0%. This durable top line growth was paired with yet another quarter of improved Adjusted EBITDA profit margin, up 510 basis points year-over-year to 8.5%.”</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Financial Highlights</w:t>
      </w:r>
    </w:p>
    <w:p>
      <w:pPr>
        <w:spacing w:after="0" w:line="9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third quarter of 2026 was $252 million, an increase of 40% year-over-year.</w:t>
      </w:r>
    </w:p>
    <w:p>
      <w:pPr>
        <w:spacing w:after="0" w:line="106" w:lineRule="exact"/>
        <w:rPr>
          <w:rFonts w:ascii="Times New Roman" w:cs="Times New Roman" w:eastAsia="Times New Roman" w:hAnsi="Times New Roman"/>
          <w:sz w:val="20"/>
          <w:szCs w:val="20"/>
          <w:color w:val="auto"/>
        </w:rPr>
      </w:pPr>
    </w:p>
    <w:p>
      <w:pPr>
        <w:ind w:left="1020" w:right="48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gross profit for the third quarter of 2026 was $98.7 million, an increase of 37% year-over-year. Total gross margin for the third quarter of 2026 was 39.1%.</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third quarter of 2026 was $238 million, an increase of 43% year-over-year.</w:t>
      </w:r>
    </w:p>
    <w:p>
      <w:pPr>
        <w:spacing w:after="0" w:line="106" w:lineRule="exact"/>
        <w:rPr>
          <w:rFonts w:ascii="Times New Roman" w:cs="Times New Roman" w:eastAsia="Times New Roman" w:hAnsi="Times New Roman"/>
          <w:sz w:val="20"/>
          <w:szCs w:val="20"/>
          <w:color w:val="auto"/>
        </w:rPr>
      </w:pPr>
    </w:p>
    <w:p>
      <w:pPr>
        <w:ind w:left="1020" w:right="34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20% from 78,282 as of September 30, 2025 to 93,812 as of September 30, 2026, with record net buyer additions of 4,255 in the third quarter of 2026.</w:t>
      </w:r>
    </w:p>
    <w:p>
      <w:pPr>
        <w:spacing w:after="0" w:line="48" w:lineRule="exact"/>
        <w:rPr>
          <w:rFonts w:ascii="Times New Roman" w:cs="Times New Roman" w:eastAsia="Times New Roman" w:hAnsi="Times New Roman"/>
          <w:sz w:val="20"/>
          <w:szCs w:val="20"/>
          <w:color w:val="auto"/>
        </w:rPr>
      </w:pPr>
    </w:p>
    <w:p>
      <w:pPr>
        <w:ind w:left="1020" w:right="88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26% from 1,724 as of September 30, 2025 to 2,172 as of September 30, 2026.</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for the third quarter of 2026 was $14.4 million, up 2% year-over-year.</w:t>
      </w:r>
    </w:p>
    <w:p>
      <w:pPr>
        <w:spacing w:after="0" w:line="106" w:lineRule="exact"/>
        <w:rPr>
          <w:rFonts w:ascii="Times New Roman" w:cs="Times New Roman" w:eastAsia="Times New Roman" w:hAnsi="Times New Roman"/>
          <w:sz w:val="20"/>
          <w:szCs w:val="20"/>
          <w:color w:val="auto"/>
        </w:rPr>
      </w:pPr>
    </w:p>
    <w:p>
      <w:pPr>
        <w:ind w:left="1020" w:right="26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 attributable to common stockholders for the third quarter of 2026 was $1.9 million, as compared to net loss attributable to common stockholders of $11.6 million in the third quarter of 2025.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ind w:left="1020" w:right="380" w:hanging="503"/>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for the third quarter of 2026 was $21.4 million, reflecting an improvement of $15.3 million year-over-year.</w:t>
      </w:r>
    </w:p>
    <w:p>
      <w:pPr>
        <w:spacing w:after="0" w:line="48" w:lineRule="exact"/>
        <w:rPr>
          <w:rFonts w:ascii="Times New Roman" w:cs="Times New Roman" w:eastAsia="Times New Roman" w:hAnsi="Times New Roman"/>
          <w:sz w:val="20"/>
          <w:szCs w:val="20"/>
          <w:color w:val="auto"/>
        </w:rPr>
      </w:pPr>
    </w:p>
    <w:p>
      <w:pPr>
        <w:ind w:left="1020" w:right="280" w:hanging="503"/>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income for the third quarter of 2026 was $18.6 million, as compared to a Non-GAAP net income of $2.1 million in the third quarter of 2025.</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Cash, cash equivalents and marketable securities were $505 million as of September 30, 2026.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Business Highlights</w:t>
      </w:r>
    </w:p>
    <w:p>
      <w:pPr>
        <w:spacing w:after="0" w:line="177" w:lineRule="exact"/>
        <w:rPr>
          <w:sz w:val="20"/>
          <w:szCs w:val="20"/>
          <w:color w:val="auto"/>
        </w:rPr>
      </w:pPr>
    </w:p>
    <w:p>
      <w:pPr>
        <w:ind w:left="1020" w:hanging="503"/>
        <w:spacing w:after="0" w:line="241"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Xometry unveiled its next-gen Workcenter experience for manufacturing partners, building on the AI sourcing models introduced in July. The redesigned homepage unifies job discovery, performance scores and payout visibility, and the enhanced Job Board offers filters and an on-screen 3D viewer and drawing review.</w:t>
      </w:r>
    </w:p>
    <w:p>
      <w:pPr>
        <w:spacing w:after="0" w:line="62" w:lineRule="exact"/>
        <w:rPr>
          <w:rFonts w:ascii="Times New Roman" w:cs="Times New Roman" w:eastAsia="Times New Roman" w:hAnsi="Times New Roman"/>
          <w:sz w:val="20"/>
          <w:szCs w:val="20"/>
          <w:color w:val="auto"/>
        </w:rPr>
      </w:pPr>
    </w:p>
    <w:p>
      <w:pPr>
        <w:ind w:left="1020" w:right="100" w:hanging="503"/>
        <w:spacing w:after="0" w:line="23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Xometry expanded its partnership with TradeCentric, adding Purchase Order Automation and Invoice Automation to the PunchOut capability already available between its marketplace and customers’ eProcurement systems. The integration connects with over 220 eProcurement solutions, including Coupa, SAP Ariba and Microsoft Dynamics, and is available now to U.S. customers, with international expansion planned.</w:t>
      </w:r>
    </w:p>
    <w:p>
      <w:pPr>
        <w:spacing w:after="0" w:line="66" w:lineRule="exact"/>
        <w:rPr>
          <w:rFonts w:ascii="Times New Roman" w:cs="Times New Roman" w:eastAsia="Times New Roman" w:hAnsi="Times New Roman"/>
          <w:sz w:val="20"/>
          <w:szCs w:val="20"/>
          <w:color w:val="auto"/>
        </w:rPr>
      </w:pPr>
    </w:p>
    <w:p>
      <w:pPr>
        <w:ind w:left="1020" w:right="300" w:hanging="503"/>
        <w:spacing w:after="0" w:line="23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Xometry Foundation announced a partnership with MxD, the nation’s Digital Manufacturing and Cybersecurity Institute, aimed at making cybersecurity compliance, including CMMC Level 2, more affordable for small and mid-sized manufacturers. The grant program is part of Xometry’s broader commitment to strengthening the U.S. aerospace and defense industrial base.</w:t>
      </w:r>
    </w:p>
    <w:p>
      <w:pPr>
        <w:spacing w:after="0" w:line="66" w:lineRule="exact"/>
        <w:rPr>
          <w:rFonts w:ascii="Times New Roman" w:cs="Times New Roman" w:eastAsia="Times New Roman" w:hAnsi="Times New Roman"/>
          <w:sz w:val="20"/>
          <w:szCs w:val="20"/>
          <w:color w:val="auto"/>
        </w:rPr>
      </w:pPr>
    </w:p>
    <w:p>
      <w:pPr>
        <w:ind w:left="1020" w:right="180" w:hanging="503"/>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Xometry released data showing job growth among its Texas supplier partners tracking at nearly twice the rate of its national partner network in 2026, driven by demand for certified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Financial Summary</w:t>
      </w:r>
    </w:p>
    <w:p>
      <w:pPr>
        <w:jc w:val="center"/>
        <w:spacing w:after="0" w:line="231" w:lineRule="auto"/>
        <w:rPr>
          <w:sz w:val="20"/>
          <w:szCs w:val="20"/>
          <w:color w:val="auto"/>
        </w:rPr>
      </w:pPr>
      <w:r>
        <w:rPr>
          <w:rFonts w:ascii="Arial" w:cs="Arial" w:eastAsia="Arial" w:hAnsi="Arial"/>
          <w:sz w:val="20"/>
          <w:szCs w:val="20"/>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Nine Months</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Ended September 30,</w:t>
            </w: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Ended September 30,</w:t>
            </w:r>
          </w:p>
        </w:tc>
        <w:tc>
          <w:tcPr>
            <w:tcW w:w="1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2026</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Consolidated</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Revenue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252,439</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180,715</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40%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686,857</w:t>
            </w:r>
          </w:p>
        </w:tc>
        <w:tc>
          <w:tcPr>
            <w:tcW w:w="200" w:type="dxa"/>
            <w:vAlign w:val="bottom"/>
          </w:tcPr>
          <w:p>
            <w:pPr>
              <w:spacing w:after="0"/>
              <w:rPr>
                <w:sz w:val="14"/>
                <w:szCs w:val="14"/>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494,234</w:t>
            </w:r>
          </w:p>
        </w:tc>
        <w:tc>
          <w:tcPr>
            <w:tcW w:w="2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Gross profit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98,680</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72,029</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37%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264,321</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193,536</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Net income (loss) attributable to common stockholders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1,935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(11,597)</w:t>
            </w:r>
          </w:p>
        </w:tc>
        <w:tc>
          <w:tcPr>
            <w:tcW w:w="1040" w:type="dxa"/>
            <w:vAlign w:val="bottom"/>
          </w:tcPr>
          <w:p>
            <w:pPr>
              <w:jc w:val="center"/>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(8,645)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(53,109)</w:t>
            </w:r>
          </w:p>
        </w:tc>
        <w:tc>
          <w:tcPr>
            <w:tcW w:w="1060" w:type="dxa"/>
            <w:vAlign w:val="bottom"/>
          </w:tcPr>
          <w:p>
            <w:pPr>
              <w:jc w:val="center"/>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EPS, basic and diluted, of Class A and Class B common stock</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(0.23)</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(0.16)</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(1.05)</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4"/>
                <w:szCs w:val="14"/>
                <w:color w:val="auto"/>
              </w:rPr>
              <w:t>Adjusted EBITDA</w:t>
            </w:r>
            <w:r>
              <w:rPr>
                <w:rFonts w:ascii="Arial" w:cs="Arial" w:eastAsia="Arial" w:hAnsi="Arial"/>
                <w:sz w:val="19"/>
                <w:szCs w:val="19"/>
                <w:color w:val="auto"/>
                <w:vertAlign w:val="superscript"/>
              </w:rPr>
              <w:t>(1)</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6,142</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46,050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10,146</w:t>
            </w:r>
          </w:p>
        </w:tc>
        <w:tc>
          <w:tcPr>
            <w:tcW w:w="2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spacing w:after="0" w:line="189" w:lineRule="exact"/>
              <w:rPr>
                <w:sz w:val="20"/>
                <w:szCs w:val="20"/>
                <w:color w:val="auto"/>
              </w:rPr>
            </w:pPr>
            <w:r>
              <w:rPr>
                <w:rFonts w:ascii="Arial" w:cs="Arial" w:eastAsia="Arial" w:hAnsi="Arial"/>
                <w:sz w:val="14"/>
                <w:szCs w:val="14"/>
                <w:color w:val="auto"/>
              </w:rPr>
              <w:t>Non-GAAP net income</w:t>
            </w:r>
            <w:r>
              <w:rPr>
                <w:rFonts w:ascii="Arial" w:cs="Arial" w:eastAsia="Arial" w:hAnsi="Arial"/>
                <w:sz w:val="19"/>
                <w:szCs w:val="19"/>
                <w:color w:val="auto"/>
                <w:vertAlign w:val="superscript"/>
              </w:rPr>
              <w:t>(1)</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18,561</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2,103</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783%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35,362</w:t>
            </w: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5,291%</w:t>
            </w: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4"/>
                <w:szCs w:val="14"/>
                <w:color w:val="auto"/>
              </w:rPr>
              <w:t>Non-GAAP EPS, basic</w:t>
            </w:r>
            <w:r>
              <w:rPr>
                <w:rFonts w:ascii="Arial" w:cs="Arial" w:eastAsia="Arial" w:hAnsi="Arial"/>
                <w:sz w:val="19"/>
                <w:szCs w:val="19"/>
                <w:color w:val="auto"/>
                <w:vertAlign w:val="superscript"/>
              </w:rPr>
              <w:t>(1)</w:t>
            </w:r>
            <w:r>
              <w:rPr>
                <w:rFonts w:ascii="Arial" w:cs="Arial" w:eastAsia="Arial" w:hAnsi="Arial"/>
                <w:sz w:val="14"/>
                <w:szCs w:val="14"/>
                <w:color w:val="auto"/>
              </w:rPr>
              <w:t>, of Class A and Class B common stock</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0.04</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0.65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6,400%</w:t>
            </w:r>
          </w:p>
        </w:tc>
        <w:tc>
          <w:tcPr>
            <w:tcW w:w="0" w:type="dxa"/>
            <w:vAlign w:val="bottom"/>
          </w:tcPr>
          <w:p>
            <w:pPr>
              <w:spacing w:after="0"/>
              <w:rPr>
                <w:sz w:val="1"/>
                <w:szCs w:val="1"/>
                <w:color w:val="auto"/>
              </w:rPr>
            </w:pPr>
          </w:p>
        </w:tc>
      </w:tr>
      <w:tr>
        <w:trPr>
          <w:trHeight w:val="180"/>
        </w:trPr>
        <w:tc>
          <w:tcPr>
            <w:tcW w:w="4240" w:type="dxa"/>
            <w:vAlign w:val="bottom"/>
            <w:shd w:val="clear" w:color="auto" w:fill="CFF0FC"/>
          </w:tcPr>
          <w:p>
            <w:pPr>
              <w:spacing w:after="0" w:line="180" w:lineRule="exact"/>
              <w:rPr>
                <w:sz w:val="20"/>
                <w:szCs w:val="20"/>
                <w:color w:val="auto"/>
              </w:rPr>
            </w:pPr>
            <w:r>
              <w:rPr>
                <w:rFonts w:ascii="Arial" w:cs="Arial" w:eastAsia="Arial" w:hAnsi="Arial"/>
                <w:sz w:val="14"/>
                <w:szCs w:val="14"/>
                <w:color w:val="auto"/>
              </w:rPr>
              <w:t>Non-GAAP EPS, diluted</w:t>
            </w:r>
            <w:r>
              <w:rPr>
                <w:rFonts w:ascii="Arial" w:cs="Arial" w:eastAsia="Arial" w:hAnsi="Arial"/>
                <w:sz w:val="19"/>
                <w:szCs w:val="19"/>
                <w:color w:val="auto"/>
                <w:vertAlign w:val="superscript"/>
              </w:rPr>
              <w:t>(1)</w:t>
            </w:r>
            <w:r>
              <w:rPr>
                <w:rFonts w:ascii="Arial" w:cs="Arial" w:eastAsia="Arial" w:hAnsi="Arial"/>
                <w:sz w:val="14"/>
                <w:szCs w:val="14"/>
                <w:color w:val="auto"/>
              </w:rPr>
              <w:t>, of Class A and Class B common</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stock</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0.28</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0.57</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5,600%</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Arial" w:cs="Arial" w:eastAsia="Arial" w:hAnsi="Arial"/>
                <w:sz w:val="14"/>
                <w:szCs w:val="14"/>
                <w:b w:val="1"/>
                <w:bCs w:val="1"/>
                <w:color w:val="auto"/>
              </w:rPr>
              <w:t>Marketplace</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238,004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166,592</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43%</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644,691</w:t>
            </w:r>
          </w:p>
        </w:tc>
        <w:tc>
          <w:tcPr>
            <w:tcW w:w="20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451,168</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Cost of revenue</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152,306</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107,086</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42%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417,787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295,891</w:t>
            </w:r>
          </w:p>
        </w:tc>
        <w:tc>
          <w:tcPr>
            <w:tcW w:w="2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85,698</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59,506</w:t>
            </w:r>
          </w:p>
        </w:tc>
        <w:tc>
          <w:tcPr>
            <w:tcW w:w="2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44%</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226,904</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155,277</w:t>
            </w:r>
          </w:p>
        </w:tc>
        <w:tc>
          <w:tcPr>
            <w:tcW w:w="2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20"/>
                <w:szCs w:val="20"/>
                <w:color w:val="auto"/>
              </w:rPr>
            </w:pPr>
            <w:r>
              <w:rPr>
                <w:rFonts w:ascii="Arial" w:cs="Arial" w:eastAsia="Arial" w:hAnsi="Arial"/>
                <w:sz w:val="14"/>
                <w:szCs w:val="14"/>
                <w:color w:val="auto"/>
              </w:rPr>
              <w:t>Gross Margin</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36.0%</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35.7%</w:t>
            </w:r>
          </w:p>
        </w:tc>
        <w:tc>
          <w:tcPr>
            <w:tcW w:w="1040" w:type="dxa"/>
            <w:vAlign w:val="bottom"/>
          </w:tcPr>
          <w:p>
            <w:pPr>
              <w:jc w:val="center"/>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35.2%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34.4%</w:t>
            </w:r>
          </w:p>
        </w:tc>
        <w:tc>
          <w:tcPr>
            <w:tcW w:w="1060" w:type="dxa"/>
            <w:vAlign w:val="bottom"/>
          </w:tcPr>
          <w:p>
            <w:pPr>
              <w:jc w:val="center"/>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4"/>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Services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Revenue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14,435</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14,123</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42,166</w:t>
            </w:r>
          </w:p>
        </w:tc>
        <w:tc>
          <w:tcPr>
            <w:tcW w:w="200" w:type="dxa"/>
            <w:vAlign w:val="bottom"/>
          </w:tcPr>
          <w:p>
            <w:pPr>
              <w:spacing w:after="0"/>
              <w:rPr>
                <w:sz w:val="14"/>
                <w:szCs w:val="14"/>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43,066</w:t>
            </w:r>
          </w:p>
        </w:tc>
        <w:tc>
          <w:tcPr>
            <w:tcW w:w="2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Cost of revenue</w:t>
            </w: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1,453</w:t>
            </w: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1,600</w:t>
            </w:r>
          </w:p>
        </w:tc>
        <w:tc>
          <w:tcPr>
            <w:tcW w:w="26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4,749</w:t>
            </w: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4,807</w:t>
            </w:r>
          </w:p>
        </w:tc>
        <w:tc>
          <w:tcPr>
            <w:tcW w:w="24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4240" w:type="dxa"/>
            <w:vAlign w:val="bottom"/>
          </w:tcPr>
          <w:p>
            <w:pPr>
              <w:spacing w:after="0" w:line="155" w:lineRule="exact"/>
              <w:rPr>
                <w:sz w:val="20"/>
                <w:szCs w:val="20"/>
                <w:color w:val="auto"/>
              </w:rPr>
            </w:pPr>
            <w:r>
              <w:rPr>
                <w:rFonts w:ascii="Arial" w:cs="Arial" w:eastAsia="Arial" w:hAnsi="Arial"/>
                <w:sz w:val="14"/>
                <w:szCs w:val="14"/>
                <w:color w:val="auto"/>
              </w:rPr>
              <w:t>Gross Profit</w:t>
            </w: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12,982</w:t>
            </w:r>
          </w:p>
        </w:tc>
        <w:tc>
          <w:tcPr>
            <w:tcW w:w="26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12,523</w:t>
            </w:r>
          </w:p>
        </w:tc>
        <w:tc>
          <w:tcPr>
            <w:tcW w:w="26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Arial" w:cs="Arial" w:eastAsia="Arial" w:hAnsi="Arial"/>
                <w:sz w:val="14"/>
                <w:szCs w:val="14"/>
                <w:color w:val="auto"/>
                <w:w w:val="98"/>
              </w:rPr>
              <w:t>4%</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37,417</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38,259</w:t>
            </w:r>
          </w:p>
        </w:tc>
        <w:tc>
          <w:tcPr>
            <w:tcW w:w="24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Gross Margin</w:t>
            </w: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3" w:lineRule="exact"/>
              <w:rPr>
                <w:sz w:val="20"/>
                <w:szCs w:val="20"/>
                <w:color w:val="auto"/>
              </w:rPr>
            </w:pPr>
            <w:r>
              <w:rPr>
                <w:rFonts w:ascii="Arial" w:cs="Arial" w:eastAsia="Arial" w:hAnsi="Arial"/>
                <w:sz w:val="14"/>
                <w:szCs w:val="14"/>
                <w:color w:val="auto"/>
              </w:rPr>
              <w:t>89.9%</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3" w:lineRule="exact"/>
              <w:rPr>
                <w:sz w:val="20"/>
                <w:szCs w:val="20"/>
                <w:color w:val="auto"/>
              </w:rPr>
            </w:pPr>
            <w:r>
              <w:rPr>
                <w:rFonts w:ascii="Arial" w:cs="Arial" w:eastAsia="Arial" w:hAnsi="Arial"/>
                <w:sz w:val="14"/>
                <w:szCs w:val="14"/>
                <w:color w:val="auto"/>
              </w:rPr>
              <w:t>88.7%</w:t>
            </w:r>
          </w:p>
        </w:tc>
        <w:tc>
          <w:tcPr>
            <w:tcW w:w="104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88.7%</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3" w:lineRule="exact"/>
              <w:rPr>
                <w:sz w:val="20"/>
                <w:szCs w:val="20"/>
                <w:color w:val="auto"/>
              </w:rPr>
            </w:pPr>
            <w:r>
              <w:rPr>
                <w:rFonts w:ascii="Arial" w:cs="Arial" w:eastAsia="Arial" w:hAnsi="Arial"/>
                <w:sz w:val="14"/>
                <w:szCs w:val="14"/>
                <w:color w:val="auto"/>
              </w:rPr>
              <w:t>88.8%</w:t>
            </w:r>
          </w:p>
        </w:tc>
        <w:tc>
          <w:tcPr>
            <w:tcW w:w="106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-779145</wp:posOffset>
            </wp:positionV>
            <wp:extent cx="94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-762000</wp:posOffset>
            </wp:positionV>
            <wp:extent cx="94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-779145</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-762000</wp:posOffset>
            </wp:positionV>
            <wp:extent cx="93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-779145</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-762000</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-779145</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-762000</wp:posOffset>
            </wp:positionV>
            <wp:extent cx="93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-239395</wp:posOffset>
            </wp:positionV>
            <wp:extent cx="94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-239395</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-239395</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-239395</wp:posOffset>
            </wp:positionV>
            <wp:extent cx="93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 w:name="page6"/>
    <w:bookmarkEnd w:id="5"/>
    <w:p>
      <w:pPr>
        <w:ind w:left="380" w:right="160" w:hanging="372"/>
        <w:spacing w:after="0" w:line="285"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p>
      <w:pPr>
        <w:spacing w:after="0" w:line="116" w:lineRule="exact"/>
        <w:rPr>
          <w:sz w:val="20"/>
          <w:szCs w:val="20"/>
          <w:color w:val="auto"/>
        </w:rPr>
      </w:pPr>
    </w:p>
    <w:tbl>
      <w:tblPr>
        <w:tblLayout w:type="fixed"/>
        <w:tblInd w:w="6140" w:type="dxa"/>
        <w:tblCellMar>
          <w:top w:w="0" w:type="dxa"/>
          <w:left w:w="0" w:type="dxa"/>
          <w:bottom w:w="0" w:type="dxa"/>
          <w:right w:w="0" w:type="dxa"/>
        </w:tblCellMar>
      </w:tblPr>
      <w:tr>
        <w:trPr>
          <w:trHeight w:val="203"/>
        </w:trPr>
        <w:tc>
          <w:tcPr>
            <w:tcW w:w="31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As of September 30,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68"/>
        </w:trPr>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619"/>
              <w:spacing w:after="0" w:line="168" w:lineRule="exact"/>
              <w:rPr>
                <w:sz w:val="20"/>
                <w:szCs w:val="20"/>
                <w:color w:val="auto"/>
              </w:rPr>
            </w:pPr>
            <w:r>
              <w:rPr>
                <w:rFonts w:ascii="Arial" w:cs="Arial" w:eastAsia="Arial" w:hAnsi="Arial"/>
                <w:sz w:val="16"/>
                <w:szCs w:val="16"/>
                <w:b w:val="1"/>
                <w:bCs w:val="1"/>
                <w:color w:val="auto"/>
              </w:rPr>
              <w:t>%</w:t>
            </w:r>
          </w:p>
        </w:tc>
      </w:tr>
      <w:tr>
        <w:trPr>
          <w:trHeight w:val="203"/>
        </w:trPr>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spacing w:after="0"/>
              <w:rPr>
                <w:sz w:val="17"/>
                <w:szCs w:val="17"/>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bl>
    <w:p>
      <w:pPr>
        <w:spacing w:after="0" w:line="119" w:lineRule="exact"/>
        <w:rPr>
          <w:sz w:val="20"/>
          <w:szCs w:val="20"/>
          <w:color w:val="auto"/>
        </w:rPr>
      </w:pPr>
    </w:p>
    <w:p>
      <w:pPr>
        <w:sectPr>
          <w:pgSz w:w="11900" w:h="16838" w:orient="portrait"/>
          <w:cols w:equalWidth="0" w:num="1">
            <w:col w:w="11240"/>
          </w:cols>
          <w:pgMar w:left="320" w:top="1102" w:right="339" w:bottom="1440" w:gutter="0" w:footer="0" w:header="0"/>
        </w:sectPr>
      </w:pPr>
    </w:p>
    <w:p>
      <w:pPr>
        <w:spacing w:after="0"/>
        <w:rPr>
          <w:sz w:val="20"/>
          <w:szCs w:val="20"/>
          <w:color w:val="auto"/>
        </w:rPr>
      </w:pPr>
      <w:r>
        <w:rPr>
          <w:rFonts w:ascii="Arial" w:cs="Arial" w:eastAsia="Arial" w:hAnsi="Arial"/>
          <w:sz w:val="16"/>
          <w:szCs w:val="16"/>
          <w:color w:val="auto"/>
        </w:rPr>
        <w:t>Active Buyers</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1" w:lineRule="auto"/>
        <w:rPr>
          <w:sz w:val="20"/>
          <w:szCs w:val="20"/>
          <w:color w:val="auto"/>
        </w:rPr>
      </w:pPr>
      <w:r>
        <w:rPr>
          <w:rFonts w:ascii="Arial" w:cs="Arial" w:eastAsia="Arial" w:hAnsi="Arial"/>
          <w:sz w:val="16"/>
          <w:szCs w:val="16"/>
          <w:color w:val="auto"/>
        </w:rPr>
        <w:t>Percentage of Revenue from Existing Accounts</w:t>
      </w:r>
      <w:r>
        <w:rPr>
          <w:rFonts w:ascii="Arial" w:cs="Arial" w:eastAsia="Arial" w:hAnsi="Arial"/>
          <w:sz w:val="21"/>
          <w:szCs w:val="21"/>
          <w:color w:val="auto"/>
          <w:vertAlign w:val="superscript"/>
        </w:rPr>
        <w:t>(3)</w:t>
      </w:r>
    </w:p>
    <w:p>
      <w:pPr>
        <w:spacing w:after="0"/>
        <w:rPr>
          <w:sz w:val="20"/>
          <w:szCs w:val="20"/>
          <w:color w:val="auto"/>
        </w:rPr>
      </w:pPr>
      <w:r>
        <w:rPr>
          <w:rFonts w:ascii="Arial" w:cs="Arial" w:eastAsia="Arial" w:hAnsi="Arial"/>
          <w:sz w:val="16"/>
          <w:szCs w:val="16"/>
          <w:color w:val="auto"/>
        </w:rPr>
        <w:t>Accounts with Last Twelve-Months Spend of at Least $50,000</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0" w:type="dxa"/>
            <w:vAlign w:val="bottom"/>
          </w:tcPr>
          <w:p>
            <w:pPr>
              <w:jc w:val="right"/>
              <w:ind w:right="619"/>
              <w:spacing w:after="0"/>
              <w:rPr>
                <w:sz w:val="20"/>
                <w:szCs w:val="20"/>
                <w:color w:val="auto"/>
              </w:rPr>
            </w:pPr>
            <w:r>
              <w:rPr>
                <w:rFonts w:ascii="Arial" w:cs="Arial" w:eastAsia="Arial" w:hAnsi="Arial"/>
                <w:sz w:val="16"/>
                <w:szCs w:val="16"/>
                <w:color w:val="auto"/>
                <w:w w:val="98"/>
              </w:rPr>
              <w:t>93,812</w:t>
            </w:r>
          </w:p>
        </w:tc>
        <w:tc>
          <w:tcPr>
            <w:tcW w:w="1900" w:type="dxa"/>
            <w:vAlign w:val="bottom"/>
          </w:tcPr>
          <w:p>
            <w:pPr>
              <w:jc w:val="right"/>
              <w:ind w:right="779"/>
              <w:spacing w:after="0"/>
              <w:rPr>
                <w:sz w:val="20"/>
                <w:szCs w:val="20"/>
                <w:color w:val="auto"/>
              </w:rPr>
            </w:pPr>
            <w:r>
              <w:rPr>
                <w:rFonts w:ascii="Arial" w:cs="Arial" w:eastAsia="Arial" w:hAnsi="Arial"/>
                <w:sz w:val="16"/>
                <w:szCs w:val="16"/>
                <w:color w:val="auto"/>
              </w:rPr>
              <w:t>78,282</w:t>
            </w: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3"/>
        </w:trPr>
        <w:tc>
          <w:tcPr>
            <w:tcW w:w="1200" w:type="dxa"/>
            <w:vAlign w:val="bottom"/>
          </w:tcPr>
          <w:p>
            <w:pPr>
              <w:jc w:val="right"/>
              <w:ind w:right="459"/>
              <w:spacing w:after="0"/>
              <w:rPr>
                <w:sz w:val="20"/>
                <w:szCs w:val="20"/>
                <w:color w:val="auto"/>
              </w:rPr>
            </w:pPr>
            <w:r>
              <w:rPr>
                <w:rFonts w:ascii="Arial" w:cs="Arial" w:eastAsia="Arial" w:hAnsi="Arial"/>
                <w:sz w:val="16"/>
                <w:szCs w:val="16"/>
                <w:color w:val="auto"/>
              </w:rPr>
              <w:t>98%</w:t>
            </w:r>
          </w:p>
        </w:tc>
        <w:tc>
          <w:tcPr>
            <w:tcW w:w="1900" w:type="dxa"/>
            <w:vAlign w:val="bottom"/>
          </w:tcPr>
          <w:p>
            <w:pPr>
              <w:jc w:val="right"/>
              <w:ind w:right="639"/>
              <w:spacing w:after="0"/>
              <w:rPr>
                <w:sz w:val="20"/>
                <w:szCs w:val="20"/>
                <w:color w:val="auto"/>
              </w:rPr>
            </w:pPr>
            <w:r>
              <w:rPr>
                <w:rFonts w:ascii="Arial" w:cs="Arial" w:eastAsia="Arial" w:hAnsi="Arial"/>
                <w:sz w:val="16"/>
                <w:szCs w:val="16"/>
                <w:color w:val="auto"/>
              </w:rPr>
              <w:t>98%</w:t>
            </w:r>
          </w:p>
        </w:tc>
        <w:tc>
          <w:tcPr>
            <w:tcW w:w="1040" w:type="dxa"/>
            <w:vAlign w:val="bottom"/>
          </w:tcPr>
          <w:p>
            <w:pPr>
              <w:spacing w:after="0"/>
              <w:rPr>
                <w:sz w:val="17"/>
                <w:szCs w:val="17"/>
                <w:color w:val="auto"/>
              </w:rPr>
            </w:pPr>
          </w:p>
        </w:tc>
      </w:tr>
      <w:tr>
        <w:trPr>
          <w:trHeight w:val="215"/>
        </w:trPr>
        <w:tc>
          <w:tcPr>
            <w:tcW w:w="1200" w:type="dxa"/>
            <w:vAlign w:val="bottom"/>
          </w:tcPr>
          <w:p>
            <w:pPr>
              <w:jc w:val="right"/>
              <w:ind w:right="619"/>
              <w:spacing w:after="0"/>
              <w:rPr>
                <w:sz w:val="20"/>
                <w:szCs w:val="20"/>
                <w:color w:val="auto"/>
              </w:rPr>
            </w:pPr>
            <w:r>
              <w:rPr>
                <w:rFonts w:ascii="Arial" w:cs="Arial" w:eastAsia="Arial" w:hAnsi="Arial"/>
                <w:sz w:val="16"/>
                <w:szCs w:val="16"/>
                <w:color w:val="auto"/>
              </w:rPr>
              <w:t>2,172</w:t>
            </w:r>
          </w:p>
        </w:tc>
        <w:tc>
          <w:tcPr>
            <w:tcW w:w="1900" w:type="dxa"/>
            <w:vAlign w:val="bottom"/>
          </w:tcPr>
          <w:p>
            <w:pPr>
              <w:jc w:val="right"/>
              <w:ind w:right="779"/>
              <w:spacing w:after="0"/>
              <w:rPr>
                <w:sz w:val="20"/>
                <w:szCs w:val="20"/>
                <w:color w:val="auto"/>
              </w:rPr>
            </w:pPr>
            <w:r>
              <w:rPr>
                <w:rFonts w:ascii="Arial" w:cs="Arial" w:eastAsia="Arial" w:hAnsi="Arial"/>
                <w:sz w:val="16"/>
                <w:szCs w:val="16"/>
                <w:color w:val="auto"/>
              </w:rPr>
              <w:t>1,724</w:t>
            </w: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101" w:lineRule="exact"/>
        <w:rPr>
          <w:sz w:val="20"/>
          <w:szCs w:val="20"/>
          <w:color w:val="auto"/>
        </w:rPr>
      </w:pPr>
    </w:p>
    <w:p>
      <w:pPr>
        <w:sectPr>
          <w:pgSz w:w="11900" w:h="16838" w:orient="portrait"/>
          <w:cols w:equalWidth="0" w:num="2">
            <w:col w:w="6360" w:space="720"/>
            <w:col w:w="4160"/>
          </w:cols>
          <w:pgMar w:left="320" w:top="1102" w:right="339" w:bottom="1440" w:gutter="0" w:footer="0" w:header="0"/>
          <w:type w:val="continuous"/>
        </w:sectPr>
      </w:pP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key operating metrics are for Marketplace. See “Key Terms for our Key Metrics and Non-GAAP Financial Measures” below for definitions of these metrics.</w:t>
      </w:r>
    </w:p>
    <w:p>
      <w:pPr>
        <w:spacing w:after="0" w:line="15" w:lineRule="exact"/>
        <w:rPr>
          <w:rFonts w:ascii="Arial" w:cs="Arial" w:eastAsia="Arial" w:hAnsi="Arial"/>
          <w:sz w:val="14"/>
          <w:szCs w:val="14"/>
          <w:color w:val="auto"/>
        </w:rPr>
      </w:pPr>
    </w:p>
    <w:p>
      <w:pPr>
        <w:ind w:left="380" w:right="600" w:hanging="372"/>
        <w:spacing w:after="0" w:line="324"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shown for Active Buyers and Accounts with Last Twelve-Months Spend of at Least $50,000 are as of September 30, 2026 and 2025, and Percentage of Revenue from Existing Accounts is presented for the quarters ended September 30, 2026 and 2025.</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Q4 2026</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43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99"/>
              <w:spacing w:after="0" w:line="183" w:lineRule="exact"/>
              <w:rPr>
                <w:sz w:val="20"/>
                <w:szCs w:val="20"/>
                <w:color w:val="auto"/>
              </w:rPr>
            </w:pPr>
            <w:r>
              <w:rPr>
                <w:rFonts w:ascii="Arial" w:cs="Arial" w:eastAsia="Arial" w:hAnsi="Arial"/>
                <w:sz w:val="16"/>
                <w:szCs w:val="16"/>
                <w:b w:val="1"/>
                <w:bCs w:val="1"/>
                <w:color w:val="auto"/>
              </w:rPr>
              <w:t>(in millions)</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3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0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Low</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jc w:val="right"/>
              <w:ind w:right="599"/>
              <w:spacing w:after="0" w:line="183" w:lineRule="exact"/>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15"/>
                <w:szCs w:val="15"/>
                <w:color w:val="auto"/>
              </w:rPr>
            </w:pPr>
          </w:p>
        </w:tc>
      </w:tr>
      <w:tr>
        <w:trPr>
          <w:trHeight w:val="18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4260" w:type="dxa"/>
            <w:vAlign w:val="bottom"/>
            <w:gridSpan w:val="2"/>
            <w:shd w:val="clear" w:color="auto" w:fill="CFF0FC"/>
          </w:tcPr>
          <w:p>
            <w:pPr>
              <w:jc w:val="right"/>
              <w:ind w:right="10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254</w:t>
            </w:r>
          </w:p>
        </w:tc>
        <w:tc>
          <w:tcPr>
            <w:tcW w:w="6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FF0FC"/>
          </w:tcPr>
          <w:p>
            <w:pPr>
              <w:spacing w:after="0"/>
              <w:rPr>
                <w:sz w:val="16"/>
                <w:szCs w:val="16"/>
                <w:color w:val="auto"/>
              </w:rPr>
            </w:pPr>
          </w:p>
        </w:tc>
      </w:tr>
      <w:tr>
        <w:trPr>
          <w:trHeight w:val="215"/>
        </w:trPr>
        <w:tc>
          <w:tcPr>
            <w:tcW w:w="4340" w:type="dxa"/>
            <w:vAlign w:val="bottom"/>
          </w:tcPr>
          <w:p>
            <w:pPr>
              <w:spacing w:after="0"/>
              <w:rPr>
                <w:sz w:val="20"/>
                <w:szCs w:val="20"/>
                <w:color w:val="auto"/>
              </w:rPr>
            </w:pPr>
            <w:r>
              <w:rPr>
                <w:rFonts w:ascii="Arial" w:cs="Arial" w:eastAsia="Arial" w:hAnsi="Arial"/>
                <w:sz w:val="16"/>
                <w:szCs w:val="16"/>
                <w:color w:val="auto"/>
              </w:rPr>
              <w:t>Adjusted EBITDA</w:t>
            </w:r>
          </w:p>
        </w:tc>
        <w:tc>
          <w:tcPr>
            <w:tcW w:w="4260" w:type="dxa"/>
            <w:vAlign w:val="bottom"/>
            <w:gridSpan w:val="2"/>
          </w:tcPr>
          <w:p>
            <w:pPr>
              <w:jc w:val="right"/>
              <w:ind w:right="10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22.0</w:t>
            </w:r>
          </w:p>
        </w:tc>
        <w:tc>
          <w:tcPr>
            <w:tcW w:w="6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r>
    </w:tbl>
    <w:p>
      <w:pPr>
        <w:spacing w:after="0" w:line="61" w:lineRule="exact"/>
        <w:rPr>
          <w:sz w:val="20"/>
          <w:szCs w:val="20"/>
          <w:color w:val="auto"/>
        </w:rPr>
      </w:pPr>
    </w:p>
    <w:p>
      <w:pPr>
        <w:ind w:left="1020" w:right="700" w:hanging="503"/>
        <w:spacing w:after="0" w:line="256" w:lineRule="auto"/>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For Q4 2026, we expect revenue of $254-$256 million, representing 32-33% growth year-over-year driven by approximately 35-36% marketplace growth.</w:t>
      </w:r>
    </w:p>
    <w:p>
      <w:pPr>
        <w:spacing w:after="0" w:line="48" w:lineRule="exact"/>
        <w:rPr>
          <w:rFonts w:ascii="Times New Roman" w:cs="Times New Roman" w:eastAsia="Times New Roman" w:hAnsi="Times New Roman"/>
          <w:sz w:val="20"/>
          <w:szCs w:val="20"/>
          <w:color w:val="1D1C1D"/>
        </w:rPr>
      </w:pPr>
    </w:p>
    <w:p>
      <w:pPr>
        <w:ind w:left="1020" w:right="500" w:hanging="503"/>
        <w:spacing w:after="0" w:line="256" w:lineRule="auto"/>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For Q4 2026, we expect Adjusted EBITDA of $22-$22.5 million, an improvement from Adjusted EBITDA of $8.4 million in Q4 2025.</w:t>
      </w:r>
    </w:p>
    <w:p>
      <w:pPr>
        <w:spacing w:after="0" w:line="48" w:lineRule="exact"/>
        <w:rPr>
          <w:rFonts w:ascii="Times New Roman" w:cs="Times New Roman" w:eastAsia="Times New Roman" w:hAnsi="Times New Roman"/>
          <w:sz w:val="20"/>
          <w:szCs w:val="20"/>
          <w:color w:val="1D1C1D"/>
        </w:rPr>
      </w:pPr>
    </w:p>
    <w:p>
      <w:pPr>
        <w:ind w:left="1020" w:right="340" w:hanging="503"/>
        <w:spacing w:after="0" w:line="256" w:lineRule="auto"/>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For Full Year 2026, we are raising our revenue growth outlook from previous guidance of 33-34% to at least 37% driven by approximately 41% marketplace growth.</w:t>
      </w:r>
    </w:p>
    <w:p>
      <w:pPr>
        <w:spacing w:after="0" w:line="48" w:lineRule="exact"/>
        <w:rPr>
          <w:rFonts w:ascii="Times New Roman" w:cs="Times New Roman" w:eastAsia="Times New Roman" w:hAnsi="Times New Roman"/>
          <w:sz w:val="20"/>
          <w:szCs w:val="20"/>
          <w:color w:val="1D1C1D"/>
        </w:rPr>
      </w:pPr>
    </w:p>
    <w:p>
      <w:pPr>
        <w:ind w:left="1020" w:right="120" w:hanging="503"/>
        <w:spacing w:after="0" w:line="256" w:lineRule="auto"/>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For Full Year 2026, we expect Adjusted EBITDA of $68-$68.5 million, an improvement from an Adjusted EBITDA of $18.5 million in Full Year 2025.</w:t>
      </w:r>
    </w:p>
    <w:p>
      <w:pPr>
        <w:spacing w:after="0" w:line="156"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Xometry’s fourth quarter and full year 2026 financial outlook is based on a number of assumptions that are subject to change and may be outside of its control. If actual results vary from these assumptions, Xometry’s expectations may change. There can be no assurance that Xometry will achieve these results.</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Reconciliation of Adjusted EBITDA on a forward-looking basis to net loss, the most directly comparable GAAP measure, is not available without unreasonable efforts due to the high variability and complexity and low visibility with respect to certain charges excluded from this non-GAAP measure, including interest and dividend income, (provision) benefit for income taxes, charitable contributions of common stock and impairment of assets. Xometry expects the variability of these items could have a significant, and potentially unpredictable, impact on its future GAAP financial results.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64" w:lineRule="exact"/>
        <w:rPr>
          <w:sz w:val="20"/>
          <w:szCs w:val="20"/>
          <w:color w:val="auto"/>
        </w:rPr>
      </w:pPr>
    </w:p>
    <w:p>
      <w:pPr>
        <w:ind w:right="120"/>
        <w:spacing w:after="0" w:line="231"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income and non-GAAP Earnings Per Share, basic and diluted,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6" w:name="page7"/>
    <w:bookmarkEnd w:id="6"/>
    <w:p>
      <w:pPr>
        <w:spacing w:after="0" w:line="230" w:lineRule="auto"/>
        <w:rPr>
          <w:sz w:val="20"/>
          <w:szCs w:val="20"/>
          <w:color w:val="auto"/>
        </w:rPr>
      </w:pPr>
      <w:r>
        <w:rPr>
          <w:rFonts w:ascii="Arial" w:cs="Arial" w:eastAsia="Arial" w:hAnsi="Arial"/>
          <w:sz w:val="20"/>
          <w:szCs w:val="20"/>
          <w:color w:val="auto"/>
        </w:rPr>
        <w:t>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36"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Non-GAAP Financial Measure</w:t>
      </w:r>
    </w:p>
    <w:p>
      <w:pPr>
        <w:spacing w:after="0" w:line="164"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Effective January 1, 2026, we revised our definition of Non-GAAP Net Income to exclude depreciation expense which had previously been included as an adjustment. Management believes this revised definition provides a more representative view of our core operating performance. All prior-period amounts have been recast to conform to this new definition.</w:t>
      </w:r>
    </w:p>
    <w:p>
      <w:pPr>
        <w:spacing w:after="0" w:line="129" w:lineRule="exact"/>
        <w:rPr>
          <w:sz w:val="20"/>
          <w:szCs w:val="20"/>
          <w:color w:val="auto"/>
        </w:rPr>
      </w:pPr>
    </w:p>
    <w:p>
      <w:pPr>
        <w:ind w:right="4100"/>
        <w:spacing w:after="0" w:line="437"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 on our platform.</w:t>
      </w:r>
    </w:p>
    <w:p>
      <w:pPr>
        <w:spacing w:after="0" w:line="1" w:lineRule="exact"/>
        <w:rPr>
          <w:sz w:val="20"/>
          <w:szCs w:val="20"/>
          <w:color w:val="auto"/>
        </w:rPr>
      </w:pPr>
    </w:p>
    <w:p>
      <w:pPr>
        <w:ind w:right="260"/>
        <w:spacing w:after="0" w:line="259" w:lineRule="auto"/>
        <w:rPr>
          <w:sz w:val="20"/>
          <w:szCs w:val="20"/>
          <w:color w:val="auto"/>
        </w:rPr>
      </w:pPr>
      <w:r>
        <w:rPr>
          <w:rFonts w:ascii="Arial" w:cs="Arial" w:eastAsia="Arial" w:hAnsi="Arial"/>
          <w:sz w:val="20"/>
          <w:szCs w:val="20"/>
          <w:b w:val="1"/>
          <w:bCs w:val="1"/>
          <w:color w:val="auto"/>
        </w:rPr>
        <w:t xml:space="preserve">Services revenue: </w:t>
      </w:r>
      <w:r>
        <w:rPr>
          <w:rFonts w:ascii="Arial" w:cs="Arial" w:eastAsia="Arial" w:hAnsi="Arial"/>
          <w:sz w:val="20"/>
          <w:szCs w:val="20"/>
          <w:color w:val="auto"/>
        </w:rPr>
        <w:t>includes the sales of marketing and advertising services and, to a lesser extent, financial service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and SaaS-based solutions.</w:t>
      </w:r>
    </w:p>
    <w:p>
      <w:pPr>
        <w:spacing w:after="0" w:line="111" w:lineRule="exact"/>
        <w:rPr>
          <w:sz w:val="20"/>
          <w:szCs w:val="20"/>
          <w:color w:val="auto"/>
        </w:rPr>
      </w:pPr>
    </w:p>
    <w:p>
      <w:pPr>
        <w:ind w:right="460"/>
        <w:spacing w:after="0" w:line="242"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141"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tools and materials. The Company defines Active Suppliers as suppliers that have used our platform at least once during the last twelve months to manufacture a product.</w:t>
      </w:r>
    </w:p>
    <w:p>
      <w:pPr>
        <w:spacing w:after="0" w:line="131" w:lineRule="exact"/>
        <w:rPr>
          <w:sz w:val="20"/>
          <w:szCs w:val="20"/>
          <w:color w:val="auto"/>
        </w:rPr>
      </w:pPr>
    </w:p>
    <w:p>
      <w:pPr>
        <w:jc w:val="both"/>
        <w:ind w:right="14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11" w:lineRule="exact"/>
        <w:rPr>
          <w:sz w:val="20"/>
          <w:szCs w:val="20"/>
          <w:color w:val="auto"/>
        </w:rPr>
      </w:pPr>
    </w:p>
    <w:p>
      <w:pPr>
        <w:ind w:right="26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141" w:lineRule="exact"/>
        <w:rPr>
          <w:sz w:val="20"/>
          <w:szCs w:val="20"/>
          <w:color w:val="auto"/>
        </w:rPr>
      </w:pPr>
    </w:p>
    <w:p>
      <w:pPr>
        <w:ind w:right="660"/>
        <w:spacing w:after="0" w:line="259" w:lineRule="auto"/>
        <w:rPr>
          <w:sz w:val="20"/>
          <w:szCs w:val="20"/>
          <w:color w:val="auto"/>
        </w:rPr>
      </w:pPr>
      <w:r>
        <w:rPr>
          <w:rFonts w:ascii="Arial" w:cs="Arial" w:eastAsia="Arial" w:hAnsi="Arial"/>
          <w:sz w:val="20"/>
          <w:szCs w:val="20"/>
          <w:b w:val="1"/>
          <w:bCs w:val="1"/>
          <w:color w:val="auto"/>
        </w:rPr>
        <w:t>Adjusted earnings before interest, taxes, depreciation and amortization (Adjusted EBITDA)</w:t>
      </w:r>
      <w:r>
        <w:rPr>
          <w:rFonts w:ascii="Arial" w:cs="Arial" w:eastAsia="Arial" w:hAnsi="Arial"/>
          <w:sz w:val="20"/>
          <w:szCs w:val="20"/>
          <w:color w:val="auto"/>
        </w:rPr>
        <w:t>: The Company defines</w:t>
      </w:r>
      <w:r>
        <w:rPr>
          <w:rFonts w:ascii="Arial" w:cs="Arial" w:eastAsia="Arial" w:hAnsi="Arial"/>
          <w:sz w:val="20"/>
          <w:szCs w:val="20"/>
          <w:b w:val="1"/>
          <w:bCs w:val="1"/>
          <w:color w:val="auto"/>
        </w:rPr>
        <w:t xml:space="preserve"> </w:t>
      </w:r>
      <w:r>
        <w:rPr>
          <w:rFonts w:ascii="Arial" w:cs="Arial" w:eastAsia="Arial" w:hAnsi="Arial"/>
          <w:sz w:val="20"/>
          <w:szCs w:val="20"/>
          <w:color w:val="auto"/>
        </w:rPr>
        <w:t>Adjusted EBITDA as net income (loss), adjusted for interest expense, interest and dividend</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7" w:name="page8"/>
    <w:bookmarkEnd w:id="7"/>
    <w:p>
      <w:pPr>
        <w:spacing w:after="0" w:line="234" w:lineRule="auto"/>
        <w:rPr>
          <w:sz w:val="20"/>
          <w:szCs w:val="20"/>
          <w:color w:val="auto"/>
        </w:rPr>
      </w:pPr>
      <w:r>
        <w:rPr>
          <w:rFonts w:ascii="Arial" w:cs="Arial" w:eastAsia="Arial" w:hAnsi="Arial"/>
          <w:sz w:val="20"/>
          <w:szCs w:val="20"/>
          <w:color w:val="auto"/>
        </w:rPr>
        <w:t>income and other expenses, depreciation and amortization, amortization of lease intangible, provision for (benefit from) income taxes, stock-based compensation, payroll tax expense related to stock-based compensation, charitable contributions of common stock, income from unconsolidated joint venture, impairment of assets, restructuring charges and acquisition and other adjustments not reflective of the Company’s ongoing business, such as adjustments related to purchase accounting, the revaluation of contingent consideration, transaction costs and executive severance.</w:t>
      </w:r>
    </w:p>
    <w:p>
      <w:pPr>
        <w:spacing w:after="0" w:line="132"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b w:val="1"/>
          <w:bCs w:val="1"/>
          <w:color w:val="auto"/>
        </w:rPr>
        <w:t xml:space="preserve">Non-GAAP net income: </w:t>
      </w:r>
      <w:r>
        <w:rPr>
          <w:rFonts w:ascii="Arial" w:cs="Arial" w:eastAsia="Arial" w:hAnsi="Arial"/>
          <w:sz w:val="20"/>
          <w:szCs w:val="20"/>
          <w:color w:val="auto"/>
        </w:rPr>
        <w:t>The Company defines non-GAAP net income as net loss adjusted for stock-based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payroll tax expense related to stock-based compensation, amortization of lease intangible, amortization of deferred costs on convertible notes, charitable contributions of common stock, lease termination, impairment of assets, restructuring charges, loss on debt extinguishment, amortization of acquired intangible assets &amp; patents, other amortization and acquisition and other adjustments not reflective of the Company’s ongoing business, such as adjustments related to purchase accounting, the revaluation of contingent consideration, transaction costs and executive severance.</w:t>
      </w:r>
    </w:p>
    <w:p>
      <w:pPr>
        <w:spacing w:after="0" w:line="145" w:lineRule="exact"/>
        <w:rPr>
          <w:sz w:val="20"/>
          <w:szCs w:val="20"/>
          <w:color w:val="auto"/>
        </w:rPr>
      </w:pPr>
    </w:p>
    <w:p>
      <w:pPr>
        <w:jc w:val="both"/>
        <w:ind w:right="44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income divided by the weighted average number of basic or dilutive shares of common stock outstanding.</w:t>
      </w:r>
    </w:p>
    <w:p>
      <w:pPr>
        <w:spacing w:after="0" w:line="130"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income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Xometry’s (NASDAQ: XMTR) AI-native marketplace, popular Thomasnet® industrial sourcing platform and suite of cloud-based services are rapidly digitizing the manufacturing industry. Xometry provides manufacturers the critical resources they need to grow their business and streamlines the procurement process for buyers through real-time pricing and lead time data. Learn more at xometry.com and xometry.eu.</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 w:lineRule="exact"/>
        <w:rPr>
          <w:sz w:val="20"/>
          <w:szCs w:val="20"/>
          <w:color w:val="auto"/>
        </w:rPr>
      </w:pPr>
    </w:p>
    <w:p>
      <w:pPr>
        <w:ind w:right="400"/>
        <w:spacing w:after="0" w:line="234"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November 3, 2026. In addition to its press release announcing its third quarter 2026 financial results, Xometry will release an earnings presentation, which will be available on its investor website at investors.xometry.com.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Xometry, Inc. Third Quarter 2026 Earnings Presentation and Conference Call</w:t>
      </w:r>
    </w:p>
    <w:p>
      <w:pPr>
        <w:spacing w:after="0" w:line="3"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Tuesday, November 3, 2026</w:t>
      </w:r>
    </w:p>
    <w:p>
      <w:pPr>
        <w:ind w:left="1020" w:hanging="503"/>
        <w:spacing w:after="0" w:line="238"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w:t>
      </w:r>
    </w:p>
    <w:p>
      <w:pPr>
        <w:ind w:left="1020" w:hanging="503"/>
        <w:spacing w:after="0" w:line="238"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To access the webcast use the following link: https://register-conf.media-server.com/register</w:t>
      </w:r>
    </w:p>
    <w:p>
      <w:pPr>
        <w:ind w:left="1020" w:right="80" w:hanging="503"/>
        <w:spacing w:after="0" w:line="239"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6"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regarding our financial position and operating performance, including our outlook and guidance for the fourth quarter of 2026 and the full year 2026; our expectations regarding our growth; and statements regarding our strategies, initiatives,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fluctuations in inflation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2025,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180"/>
          </w:cols>
          <w:pgMar w:left="320" w:top="982" w:right="39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Shawn Milne</w:t>
      </w:r>
    </w:p>
    <w:p>
      <w:pPr>
        <w:spacing w:after="0" w:line="232" w:lineRule="auto"/>
        <w:rPr>
          <w:sz w:val="20"/>
          <w:szCs w:val="20"/>
          <w:color w:val="auto"/>
        </w:rPr>
      </w:pPr>
      <w:r>
        <w:rPr>
          <w:rFonts w:ascii="Arial" w:cs="Arial" w:eastAsia="Arial" w:hAnsi="Arial"/>
          <w:sz w:val="17"/>
          <w:szCs w:val="17"/>
          <w:color w:val="auto"/>
        </w:rPr>
        <w:t>VP Investor Relations</w:t>
      </w:r>
    </w:p>
    <w:p>
      <w:pPr>
        <w:spacing w:after="0" w:line="232" w:lineRule="auto"/>
        <w:rPr>
          <w:sz w:val="20"/>
          <w:szCs w:val="20"/>
          <w:color w:val="auto"/>
        </w:rPr>
      </w:pPr>
      <w:r>
        <w:rPr>
          <w:rFonts w:ascii="Arial" w:cs="Arial" w:eastAsia="Arial" w:hAnsi="Arial"/>
          <w:sz w:val="17"/>
          <w:szCs w:val="17"/>
          <w:color w:val="auto"/>
        </w:rPr>
        <w:t>240-335-8132</w:t>
      </w:r>
    </w:p>
    <w:p>
      <w:pPr>
        <w:spacing w:after="0"/>
        <w:rPr>
          <w:sz w:val="20"/>
          <w:szCs w:val="20"/>
          <w:color w:val="auto"/>
        </w:rPr>
      </w:pPr>
      <w:r>
        <w:rPr>
          <w:rFonts w:ascii="Arial" w:cs="Arial" w:eastAsia="Arial" w:hAnsi="Arial"/>
          <w:sz w:val="17"/>
          <w:szCs w:val="17"/>
          <w:color w:val="auto"/>
        </w:rPr>
        <w:t>shawn.milne@xometry.com</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Lauran Cacciatori</w:t>
      </w:r>
    </w:p>
    <w:p>
      <w:pPr>
        <w:spacing w:after="0" w:line="232" w:lineRule="auto"/>
        <w:rPr>
          <w:sz w:val="20"/>
          <w:szCs w:val="20"/>
          <w:color w:val="auto"/>
        </w:rPr>
      </w:pPr>
      <w:r>
        <w:rPr>
          <w:rFonts w:ascii="Arial" w:cs="Arial" w:eastAsia="Arial" w:hAnsi="Arial"/>
          <w:sz w:val="17"/>
          <w:szCs w:val="17"/>
          <w:color w:val="auto"/>
        </w:rPr>
        <w:t>VP Communications</w:t>
      </w:r>
    </w:p>
    <w:p>
      <w:pPr>
        <w:spacing w:after="0" w:line="232" w:lineRule="auto"/>
        <w:rPr>
          <w:sz w:val="20"/>
          <w:szCs w:val="20"/>
          <w:color w:val="auto"/>
        </w:rPr>
      </w:pPr>
      <w:r>
        <w:rPr>
          <w:rFonts w:ascii="Arial" w:cs="Arial" w:eastAsia="Arial" w:hAnsi="Arial"/>
          <w:sz w:val="17"/>
          <w:szCs w:val="17"/>
          <w:color w:val="auto"/>
        </w:rPr>
        <w:t>773-610-0806</w:t>
      </w:r>
    </w:p>
    <w:p>
      <w:pPr>
        <w:spacing w:after="0"/>
        <w:rPr>
          <w:sz w:val="20"/>
          <w:szCs w:val="20"/>
          <w:color w:val="auto"/>
        </w:rPr>
      </w:pPr>
      <w:r>
        <w:rPr>
          <w:rFonts w:ascii="Arial" w:cs="Arial" w:eastAsia="Arial" w:hAnsi="Arial"/>
          <w:sz w:val="17"/>
          <w:szCs w:val="17"/>
          <w:color w:val="auto"/>
        </w:rPr>
        <w:t>lauran.cacciatori@xometry.com</w:t>
      </w:r>
    </w:p>
    <w:p>
      <w:pPr>
        <w:spacing w:after="0" w:line="200" w:lineRule="exact"/>
        <w:rPr>
          <w:sz w:val="20"/>
          <w:szCs w:val="20"/>
          <w:color w:val="auto"/>
        </w:rPr>
      </w:pPr>
    </w:p>
    <w:p>
      <w:pPr>
        <w:sectPr>
          <w:pgSz w:w="11900" w:h="16838" w:orient="portrait"/>
          <w:cols w:equalWidth="0" w:num="2">
            <w:col w:w="4900" w:space="720"/>
            <w:col w:w="5560"/>
          </w:cols>
          <w:pgMar w:left="320" w:top="982" w:right="39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2" w:right="39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3740"/>
        <w:spacing w:after="0" w:line="231" w:lineRule="auto"/>
        <w:rPr>
          <w:sz w:val="20"/>
          <w:szCs w:val="20"/>
          <w:color w:val="auto"/>
        </w:rPr>
      </w:pPr>
      <w:r>
        <w:rPr>
          <w:rFonts w:ascii="Arial" w:cs="Arial" w:eastAsia="Arial" w:hAnsi="Arial"/>
          <w:sz w:val="20"/>
          <w:szCs w:val="20"/>
          <w:color w:val="auto"/>
        </w:rPr>
        <w:t>Condensed Consolidated Balance Sheets</w:t>
      </w:r>
    </w:p>
    <w:p>
      <w:pPr>
        <w:ind w:left="3520"/>
        <w:spacing w:after="0" w:line="226" w:lineRule="auto"/>
        <w:rPr>
          <w:sz w:val="20"/>
          <w:szCs w:val="20"/>
          <w:color w:val="auto"/>
        </w:rPr>
      </w:pPr>
      <w:r>
        <w:rPr>
          <w:rFonts w:ascii="Arial" w:cs="Arial" w:eastAsia="Arial" w:hAnsi="Arial"/>
          <w:sz w:val="20"/>
          <w:szCs w:val="20"/>
          <w:color w:val="auto"/>
        </w:rPr>
        <w:t>(In thousands, except share and per share data)</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68"/>
              <w:spacing w:after="0" w:line="155" w:lineRule="exact"/>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r>
      <w:tr>
        <w:trPr>
          <w:trHeight w:val="155"/>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18,132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14,996</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Marketable securities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486,850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204,145</w:t>
            </w:r>
          </w:p>
        </w:tc>
        <w:tc>
          <w:tcPr>
            <w:tcW w:w="120" w:type="dxa"/>
            <w:vAlign w:val="bottom"/>
          </w:tcPr>
          <w:p>
            <w:pPr>
              <w:spacing w:after="0"/>
              <w:rPr>
                <w:sz w:val="14"/>
                <w:szCs w:val="14"/>
                <w:color w:val="auto"/>
              </w:rPr>
            </w:pPr>
          </w:p>
        </w:tc>
      </w:tr>
      <w:tr>
        <w:trPr>
          <w:trHeight w:val="153"/>
        </w:trPr>
        <w:tc>
          <w:tcPr>
            <w:tcW w:w="7220" w:type="dxa"/>
            <w:vAlign w:val="bottom"/>
            <w:shd w:val="clear" w:color="auto" w:fill="CFF0FC"/>
          </w:tcPr>
          <w:p>
            <w:pPr>
              <w:ind w:left="120"/>
              <w:spacing w:after="0" w:line="153" w:lineRule="exact"/>
              <w:rPr>
                <w:sz w:val="20"/>
                <w:szCs w:val="20"/>
                <w:color w:val="auto"/>
              </w:rPr>
            </w:pPr>
            <w:r>
              <w:rPr>
                <w:rFonts w:ascii="Arial" w:cs="Arial" w:eastAsia="Arial" w:hAnsi="Arial"/>
                <w:sz w:val="14"/>
                <w:szCs w:val="14"/>
                <w:color w:val="auto"/>
              </w:rPr>
              <w:t>Accounts receivable, less allowance for credit losses of $9.1 million and $8.0 million as of</w:t>
            </w: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1"/>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September 30, 2026 and December 31, 2025, respectively</w:t>
            </w: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152,151</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97,370</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Inventory</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3,767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3,917</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6,216</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7,262</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14,441</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6,954</w:t>
            </w:r>
          </w:p>
        </w:tc>
        <w:tc>
          <w:tcPr>
            <w:tcW w:w="120" w:type="dxa"/>
            <w:vAlign w:val="bottom"/>
          </w:tcPr>
          <w:p>
            <w:pPr>
              <w:spacing w:after="0"/>
              <w:rPr>
                <w:sz w:val="14"/>
                <w:szCs w:val="14"/>
                <w:color w:val="auto"/>
              </w:rPr>
            </w:pPr>
          </w:p>
        </w:tc>
      </w:tr>
      <w:tr>
        <w:trPr>
          <w:trHeight w:val="156"/>
        </w:trPr>
        <w:tc>
          <w:tcPr>
            <w:tcW w:w="72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Total current assets</w:t>
            </w: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681,557</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334,644</w:t>
            </w: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Software development and property and equipment, net</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91,788</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60,631</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13,142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11,132</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Investment in unconsolidated joint venture</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4,157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4,069</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28,008</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28,563</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268,051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263,801</w:t>
            </w:r>
          </w:p>
        </w:tc>
        <w:tc>
          <w:tcPr>
            <w:tcW w:w="120" w:type="dxa"/>
            <w:vAlign w:val="bottom"/>
          </w:tcPr>
          <w:p>
            <w:pPr>
              <w:spacing w:after="0"/>
              <w:rPr>
                <w:sz w:val="14"/>
                <w:szCs w:val="14"/>
                <w:color w:val="auto"/>
              </w:rPr>
            </w:pPr>
          </w:p>
        </w:tc>
      </w:tr>
      <w:tr>
        <w:trPr>
          <w:trHeight w:val="162"/>
        </w:trPr>
        <w:tc>
          <w:tcPr>
            <w:tcW w:w="7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6"/>
        </w:trPr>
        <w:tc>
          <w:tcPr>
            <w:tcW w:w="72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1,087,616</w:t>
            </w:r>
          </w:p>
        </w:tc>
        <w:tc>
          <w:tcPr>
            <w:tcW w:w="28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703,720</w:t>
            </w:r>
          </w:p>
        </w:tc>
        <w:tc>
          <w:tcPr>
            <w:tcW w:w="120" w:type="dxa"/>
            <w:vAlign w:val="bottom"/>
          </w:tcPr>
          <w:p>
            <w:pPr>
              <w:spacing w:after="0"/>
              <w:rPr>
                <w:sz w:val="13"/>
                <w:szCs w:val="13"/>
                <w:color w:val="auto"/>
              </w:rPr>
            </w:pP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72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Accounts payable and accrued cost of revenue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68,870</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44,612</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Other accrued expenses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41,769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31,669</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Contract liabilities</w:t>
            </w: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17,667</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10,319</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Convertible notes, current portion</w:t>
            </w: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84,816</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Operating lease liabilities, current portion</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c>
          <w:tcPr>
            <w:tcW w:w="120" w:type="dxa"/>
            <w:vAlign w:val="bottom"/>
          </w:tcPr>
          <w:p>
            <w:pPr>
              <w:spacing w:after="0"/>
              <w:rPr>
                <w:sz w:val="14"/>
                <w:szCs w:val="14"/>
                <w:color w:val="auto"/>
              </w:rPr>
            </w:pPr>
          </w:p>
        </w:tc>
      </w:tr>
      <w:tr>
        <w:trPr>
          <w:trHeight w:val="156"/>
        </w:trPr>
        <w:tc>
          <w:tcPr>
            <w:tcW w:w="72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Total current liabilities</w:t>
            </w: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216,420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88,936</w:t>
            </w: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Convertible notes, net of current portion</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243,607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327,514</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lease liabilities, net of current portion</w:t>
            </w: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11,198</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9,841</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4"/>
                <w:szCs w:val="14"/>
                <w:color w:val="auto"/>
              </w:rPr>
            </w:pPr>
          </w:p>
        </w:tc>
      </w:tr>
      <w:tr>
        <w:trPr>
          <w:trHeight w:val="162"/>
        </w:trPr>
        <w:tc>
          <w:tcPr>
            <w:tcW w:w="7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1,349</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547</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2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472,697</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426,983</w:t>
            </w:r>
          </w:p>
        </w:tc>
        <w:tc>
          <w:tcPr>
            <w:tcW w:w="120" w:type="dxa"/>
            <w:vAlign w:val="bottom"/>
          </w:tcPr>
          <w:p>
            <w:pPr>
              <w:spacing w:after="0"/>
              <w:rPr>
                <w:sz w:val="13"/>
                <w:szCs w:val="13"/>
                <w:color w:val="auto"/>
              </w:rPr>
            </w:pPr>
          </w:p>
        </w:tc>
      </w:tr>
      <w:tr>
        <w:trPr>
          <w:trHeight w:val="155"/>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Commitments and contingencies</w:t>
            </w: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7220" w:type="dxa"/>
            <w:vAlign w:val="bottom"/>
            <w:shd w:val="clear" w:color="auto" w:fill="CFF0FC"/>
          </w:tcPr>
          <w:p>
            <w:pPr>
              <w:ind w:left="120"/>
              <w:spacing w:after="0" w:line="153" w:lineRule="exact"/>
              <w:rPr>
                <w:sz w:val="20"/>
                <w:szCs w:val="20"/>
                <w:color w:val="auto"/>
              </w:rPr>
            </w:pPr>
            <w:r>
              <w:rPr>
                <w:rFonts w:ascii="Arial" w:cs="Arial" w:eastAsia="Arial" w:hAnsi="Arial"/>
                <w:sz w:val="14"/>
                <w:szCs w:val="14"/>
                <w:color w:val="auto"/>
              </w:rPr>
              <w:t>Preferred stock, $0.000001 par value. Authorized; 50,000,000 shares; zero shares issued</w:t>
            </w: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1"/>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outstanding as of September 30, 2026 and December 31, 2025</w:t>
            </w:r>
          </w:p>
        </w:tc>
        <w:tc>
          <w:tcPr>
            <w:tcW w:w="24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7220" w:type="dxa"/>
            <w:vAlign w:val="bottom"/>
          </w:tcPr>
          <w:p>
            <w:pPr>
              <w:ind w:left="120"/>
              <w:spacing w:after="0" w:line="153" w:lineRule="exact"/>
              <w:rPr>
                <w:sz w:val="20"/>
                <w:szCs w:val="20"/>
                <w:color w:val="auto"/>
              </w:rPr>
            </w:pPr>
            <w:r>
              <w:rPr>
                <w:rFonts w:ascii="Arial" w:cs="Arial" w:eastAsia="Arial" w:hAnsi="Arial"/>
                <w:sz w:val="14"/>
                <w:szCs w:val="14"/>
                <w:color w:val="auto"/>
              </w:rPr>
              <w:t>Class A common stock, $0.000001 par value. Authorized; 750,000,000 shares; 55,905,317</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shares and 49,842,220 shares issued and outstanding as of September 30, 2026 and</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220" w:type="dxa"/>
            <w:vAlign w:val="bottom"/>
          </w:tcPr>
          <w:p>
            <w:pPr>
              <w:ind w:left="120"/>
              <w:spacing w:after="0"/>
              <w:rPr>
                <w:sz w:val="20"/>
                <w:szCs w:val="20"/>
                <w:color w:val="auto"/>
              </w:rPr>
            </w:pPr>
            <w:r>
              <w:rPr>
                <w:rFonts w:ascii="Arial" w:cs="Arial" w:eastAsia="Arial" w:hAnsi="Arial"/>
                <w:sz w:val="14"/>
                <w:szCs w:val="14"/>
                <w:color w:val="auto"/>
              </w:rPr>
              <w:t>December 31, 2025, respectively</w:t>
            </w:r>
          </w:p>
        </w:tc>
        <w:tc>
          <w:tcPr>
            <w:tcW w:w="240" w:type="dxa"/>
            <w:vAlign w:val="bottom"/>
          </w:tcPr>
          <w:p>
            <w:pPr>
              <w:spacing w:after="0"/>
              <w:rPr>
                <w:sz w:val="14"/>
                <w:szCs w:val="14"/>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7220" w:type="dxa"/>
            <w:vAlign w:val="bottom"/>
            <w:shd w:val="clear" w:color="auto" w:fill="CFF0FC"/>
          </w:tcPr>
          <w:p>
            <w:pPr>
              <w:ind w:left="120"/>
              <w:spacing w:after="0" w:line="153" w:lineRule="exact"/>
              <w:rPr>
                <w:sz w:val="20"/>
                <w:szCs w:val="20"/>
                <w:color w:val="auto"/>
              </w:rPr>
            </w:pPr>
            <w:r>
              <w:rPr>
                <w:rFonts w:ascii="Arial" w:cs="Arial" w:eastAsia="Arial" w:hAnsi="Arial"/>
                <w:sz w:val="14"/>
                <w:szCs w:val="14"/>
                <w:color w:val="auto"/>
              </w:rPr>
              <w:t>Class B common stock, $0.000001 par value. Authorized; 5,000,000 shares; 1,475,311</w:t>
            </w: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1"/>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 issued and outstanding as of September 30, 2026 and December 31, 2025</w:t>
            </w:r>
          </w:p>
        </w:tc>
        <w:tc>
          <w:tcPr>
            <w:tcW w:w="24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1,058,186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710,925</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Treasury stock, at cost, 220,994 shares as of September 30, 2026 and December 31, 2025</w:t>
            </w:r>
          </w:p>
        </w:tc>
        <w:tc>
          <w:tcPr>
            <w:tcW w:w="24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(8,080)</w:t>
            </w: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(8,080)</w:t>
            </w: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4,331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4,772</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(440,661)</w:t>
            </w: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(432,016)</w:t>
            </w:r>
          </w:p>
        </w:tc>
      </w:tr>
      <w:tr>
        <w:trPr>
          <w:trHeight w:val="155"/>
        </w:trPr>
        <w:tc>
          <w:tcPr>
            <w:tcW w:w="72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stockholders’ equity</w:t>
            </w: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613,776</w:t>
            </w:r>
          </w:p>
        </w:tc>
        <w:tc>
          <w:tcPr>
            <w:tcW w:w="28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275,601</w:t>
            </w:r>
          </w:p>
        </w:tc>
        <w:tc>
          <w:tcPr>
            <w:tcW w:w="120" w:type="dxa"/>
            <w:vAlign w:val="bottom"/>
            <w:tcBorders>
              <w:top w:val="single" w:sz="8" w:color="CFF0FC"/>
            </w:tcBorders>
          </w:tcPr>
          <w:p>
            <w:pPr>
              <w:spacing w:after="0"/>
              <w:rPr>
                <w:sz w:val="13"/>
                <w:szCs w:val="13"/>
                <w:color w:val="auto"/>
              </w:rPr>
            </w:pPr>
          </w:p>
        </w:tc>
      </w:tr>
      <w:tr>
        <w:trPr>
          <w:trHeight w:val="162"/>
        </w:trPr>
        <w:tc>
          <w:tcPr>
            <w:tcW w:w="7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24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1,143</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2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equity</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614,919</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276,737</w:t>
            </w:r>
          </w:p>
        </w:tc>
        <w:tc>
          <w:tcPr>
            <w:tcW w:w="120" w:type="dxa"/>
            <w:vAlign w:val="bottom"/>
          </w:tcPr>
          <w:p>
            <w:pPr>
              <w:spacing w:after="0"/>
              <w:rPr>
                <w:sz w:val="13"/>
                <w:szCs w:val="13"/>
                <w:color w:val="auto"/>
              </w:rPr>
            </w:pPr>
          </w:p>
        </w:tc>
      </w:tr>
      <w:tr>
        <w:trPr>
          <w:trHeight w:val="195"/>
        </w:trPr>
        <w:tc>
          <w:tcPr>
            <w:tcW w:w="72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1,087,616</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703,720</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-3402330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-3402330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-1919605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-1919605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-462280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1" w:lineRule="auto"/>
        <w:rPr>
          <w:sz w:val="20"/>
          <w:szCs w:val="20"/>
          <w:color w:val="auto"/>
        </w:rPr>
      </w:pPr>
      <w:r>
        <w:rPr>
          <w:rFonts w:ascii="Arial" w:cs="Arial" w:eastAsia="Arial" w:hAnsi="Arial"/>
          <w:sz w:val="20"/>
          <w:szCs w:val="20"/>
          <w:color w:val="auto"/>
        </w:rPr>
        <w:t>Condensed Consolidated Statements of Operations and Comprehensive Income (Loss)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5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5"/>
        </w:trPr>
        <w:tc>
          <w:tcPr>
            <w:tcW w:w="5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252,439</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180,715</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686,857</w:t>
            </w:r>
          </w:p>
        </w:tc>
        <w:tc>
          <w:tcPr>
            <w:tcW w:w="14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494,234</w:t>
            </w:r>
          </w:p>
        </w:tc>
        <w:tc>
          <w:tcPr>
            <w:tcW w:w="100" w:type="dxa"/>
            <w:vAlign w:val="bottom"/>
            <w:shd w:val="clear" w:color="auto" w:fill="CFF0FC"/>
          </w:tcPr>
          <w:p>
            <w:pPr>
              <w:spacing w:after="0"/>
              <w:rPr>
                <w:sz w:val="14"/>
                <w:szCs w:val="14"/>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108,686</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422,536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300,698</w:t>
            </w:r>
          </w:p>
        </w:tc>
        <w:tc>
          <w:tcPr>
            <w:tcW w:w="100" w:type="dxa"/>
            <w:vAlign w:val="bottom"/>
          </w:tcPr>
          <w:p>
            <w:pPr>
              <w:spacing w:after="0"/>
              <w:rPr>
                <w:sz w:val="14"/>
                <w:szCs w:val="14"/>
                <w:color w:val="auto"/>
              </w:rPr>
            </w:pPr>
          </w:p>
        </w:tc>
      </w:tr>
      <w:tr>
        <w:trPr>
          <w:trHeight w:val="156"/>
        </w:trPr>
        <w:tc>
          <w:tcPr>
            <w:tcW w:w="546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Gross profit</w:t>
            </w:r>
          </w:p>
        </w:tc>
        <w:tc>
          <w:tcPr>
            <w:tcW w:w="2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98,680</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72,029</w:t>
            </w:r>
          </w:p>
        </w:tc>
        <w:tc>
          <w:tcPr>
            <w:tcW w:w="2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264,321</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193,536</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5460" w:type="dxa"/>
            <w:vAlign w:val="bottom"/>
          </w:tcPr>
          <w:p>
            <w:pPr>
              <w:spacing w:after="0" w:line="155" w:lineRule="exact"/>
              <w:rPr>
                <w:sz w:val="20"/>
                <w:szCs w:val="20"/>
                <w:color w:val="auto"/>
              </w:rPr>
            </w:pPr>
            <w:r>
              <w:rPr>
                <w:rFonts w:ascii="Arial" w:cs="Arial" w:eastAsia="Arial" w:hAnsi="Arial"/>
                <w:sz w:val="14"/>
                <w:szCs w:val="14"/>
                <w:b w:val="1"/>
                <w:bCs w:val="1"/>
                <w:color w:val="auto"/>
              </w:rPr>
              <w:t>Operating expenses: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35,571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32,649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101,124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88,866</w:t>
            </w:r>
          </w:p>
        </w:tc>
        <w:tc>
          <w:tcPr>
            <w:tcW w:w="100" w:type="dxa"/>
            <w:vAlign w:val="bottom"/>
            <w:shd w:val="clear" w:color="auto" w:fill="CFF0FC"/>
          </w:tcPr>
          <w:p>
            <w:pPr>
              <w:spacing w:after="0"/>
              <w:rPr>
                <w:sz w:val="14"/>
                <w:szCs w:val="14"/>
                <w:color w:val="auto"/>
              </w:rPr>
            </w:pPr>
          </w:p>
        </w:tc>
      </w:tr>
      <w:tr>
        <w:trPr>
          <w:trHeight w:val="162"/>
        </w:trPr>
        <w:tc>
          <w:tcPr>
            <w:tcW w:w="5460" w:type="dxa"/>
            <w:vAlign w:val="bottom"/>
          </w:tcPr>
          <w:p>
            <w:pPr>
              <w:ind w:left="120"/>
              <w:spacing w:after="0"/>
              <w:rPr>
                <w:sz w:val="20"/>
                <w:szCs w:val="20"/>
                <w:color w:val="auto"/>
              </w:rPr>
            </w:pPr>
            <w:r>
              <w:rPr>
                <w:rFonts w:ascii="Arial" w:cs="Arial" w:eastAsia="Arial" w:hAnsi="Arial"/>
                <w:sz w:val="14"/>
                <w:szCs w:val="14"/>
                <w:color w:val="auto"/>
              </w:rPr>
              <w:t>Operations and support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23,264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18,403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64,332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53,225</w:t>
            </w: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Product development</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12,524</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40,510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34,703</w:t>
            </w:r>
          </w:p>
        </w:tc>
        <w:tc>
          <w:tcPr>
            <w:tcW w:w="100" w:type="dxa"/>
            <w:vAlign w:val="bottom"/>
            <w:shd w:val="clear" w:color="auto" w:fill="CFF0FC"/>
          </w:tcPr>
          <w:p>
            <w:pPr>
              <w:spacing w:after="0"/>
              <w:rPr>
                <w:sz w:val="14"/>
                <w:szCs w:val="14"/>
                <w:color w:val="auto"/>
              </w:rPr>
            </w:pPr>
          </w:p>
        </w:tc>
      </w:tr>
      <w:tr>
        <w:trPr>
          <w:trHeight w:val="162"/>
        </w:trPr>
        <w:tc>
          <w:tcPr>
            <w:tcW w:w="546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19,463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69,063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53,433</w:t>
            </w: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Impairment of assets</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FF0FC"/>
          </w:tcPr>
          <w:p>
            <w:pPr>
              <w:spacing w:after="0"/>
              <w:rPr>
                <w:sz w:val="14"/>
                <w:szCs w:val="14"/>
                <w:color w:val="auto"/>
              </w:rPr>
            </w:pPr>
          </w:p>
        </w:tc>
      </w:tr>
      <w:tr>
        <w:trPr>
          <w:trHeight w:val="156"/>
        </w:trPr>
        <w:tc>
          <w:tcPr>
            <w:tcW w:w="546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Total operating expenses</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98,623</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83,088</w:t>
            </w:r>
          </w:p>
        </w:tc>
        <w:tc>
          <w:tcPr>
            <w:tcW w:w="24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275,029</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230,276</w:t>
            </w:r>
          </w:p>
        </w:tc>
        <w:tc>
          <w:tcPr>
            <w:tcW w:w="100" w:type="dxa"/>
            <w:vAlign w:val="bottom"/>
            <w:tcBorders>
              <w:top w:val="single" w:sz="8" w:color="CFF0FC"/>
            </w:tcBorders>
          </w:tcPr>
          <w:p>
            <w:pPr>
              <w:spacing w:after="0"/>
              <w:rPr>
                <w:sz w:val="13"/>
                <w:szCs w:val="13"/>
                <w:color w:val="auto"/>
              </w:rPr>
            </w:pPr>
          </w:p>
        </w:tc>
      </w:tr>
      <w:tr>
        <w:trPr>
          <w:trHeight w:val="155"/>
        </w:trPr>
        <w:tc>
          <w:tcPr>
            <w:tcW w:w="546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(11,059)</w:t>
            </w: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(10,708)</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(36,740)</w:t>
            </w:r>
          </w:p>
        </w:tc>
      </w:tr>
      <w:tr>
        <w:trPr>
          <w:trHeight w:val="162"/>
        </w:trPr>
        <w:tc>
          <w:tcPr>
            <w:tcW w:w="5460" w:type="dxa"/>
            <w:vAlign w:val="bottom"/>
          </w:tcPr>
          <w:p>
            <w:pPr>
              <w:spacing w:after="0"/>
              <w:rPr>
                <w:sz w:val="20"/>
                <w:szCs w:val="20"/>
                <w:color w:val="auto"/>
              </w:rPr>
            </w:pPr>
            <w:r>
              <w:rPr>
                <w:rFonts w:ascii="Arial" w:cs="Arial" w:eastAsia="Arial" w:hAnsi="Arial"/>
                <w:sz w:val="14"/>
                <w:szCs w:val="14"/>
                <w:b w:val="1"/>
                <w:bCs w:val="1"/>
                <w:color w:val="auto"/>
              </w:rPr>
              <w:t>Other (expenses) income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(1,258)</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(1,278)</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(3,774)</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(3,648)</w:t>
            </w:r>
          </w:p>
        </w:tc>
      </w:tr>
      <w:tr>
        <w:trPr>
          <w:trHeight w:val="162"/>
        </w:trPr>
        <w:tc>
          <w:tcPr>
            <w:tcW w:w="5460" w:type="dxa"/>
            <w:vAlign w:val="bottom"/>
          </w:tcPr>
          <w:p>
            <w:pPr>
              <w:ind w:left="120"/>
              <w:spacing w:after="0"/>
              <w:rPr>
                <w:sz w:val="20"/>
                <w:szCs w:val="20"/>
                <w:color w:val="auto"/>
              </w:rPr>
            </w:pPr>
            <w:r>
              <w:rPr>
                <w:rFonts w:ascii="Arial" w:cs="Arial" w:eastAsia="Arial" w:hAnsi="Arial"/>
                <w:sz w:val="14"/>
                <w:szCs w:val="14"/>
                <w:color w:val="auto"/>
              </w:rPr>
              <w:t>Interest and dividend income</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4,440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6,591</w:t>
            </w: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expenses</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(1,636)</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(2,260)</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(19,882)</w:t>
            </w:r>
          </w:p>
        </w:tc>
      </w:tr>
      <w:tr>
        <w:trPr>
          <w:trHeight w:val="162"/>
        </w:trPr>
        <w:tc>
          <w:tcPr>
            <w:tcW w:w="5460" w:type="dxa"/>
            <w:vAlign w:val="bottom"/>
          </w:tcPr>
          <w:p>
            <w:pPr>
              <w:ind w:left="120"/>
              <w:spacing w:after="0"/>
              <w:rPr>
                <w:sz w:val="20"/>
                <w:szCs w:val="20"/>
                <w:color w:val="auto"/>
              </w:rPr>
            </w:pPr>
            <w:r>
              <w:rPr>
                <w:rFonts w:ascii="Arial" w:cs="Arial" w:eastAsia="Arial" w:hAnsi="Arial"/>
                <w:sz w:val="14"/>
                <w:szCs w:val="14"/>
                <w:color w:val="auto"/>
              </w:rPr>
              <w:t>Income from unconsolidated joint venture</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14"/>
                <w:szCs w:val="14"/>
                <w:color w:val="auto"/>
              </w:rPr>
            </w:pPr>
          </w:p>
        </w:tc>
      </w:tr>
      <w:tr>
        <w:trPr>
          <w:trHeight w:val="156"/>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other income (expenses)</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2,582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(555)</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3,376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(16,395)</w:t>
            </w:r>
          </w:p>
        </w:tc>
      </w:tr>
      <w:tr>
        <w:trPr>
          <w:trHeight w:val="20"/>
        </w:trPr>
        <w:tc>
          <w:tcPr>
            <w:tcW w:w="5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546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2,639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(11,614)</w:t>
            </w:r>
          </w:p>
        </w:tc>
        <w:tc>
          <w:tcPr>
            <w:tcW w:w="260" w:type="dxa"/>
            <w:vAlign w:val="bottom"/>
          </w:tcPr>
          <w:p>
            <w:pPr>
              <w:spacing w:after="0"/>
              <w:rPr>
                <w:sz w:val="13"/>
                <w:szCs w:val="13"/>
                <w:color w:val="auto"/>
              </w:rPr>
            </w:pPr>
          </w:p>
        </w:tc>
        <w:tc>
          <w:tcPr>
            <w:tcW w:w="11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(7,332)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(53,135)</w:t>
            </w:r>
          </w:p>
        </w:tc>
      </w:tr>
      <w:tr>
        <w:trPr>
          <w:trHeight w:val="162"/>
        </w:trPr>
        <w:tc>
          <w:tcPr>
            <w:tcW w:w="5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(Provision) benefit for income taxes</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(1,306)</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546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income (loss)</w:t>
            </w: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1,935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(11,597)</w:t>
            </w:r>
          </w:p>
        </w:tc>
        <w:tc>
          <w:tcPr>
            <w:tcW w:w="260" w:type="dxa"/>
            <w:vAlign w:val="bottom"/>
          </w:tcPr>
          <w:p>
            <w:pPr>
              <w:spacing w:after="0"/>
              <w:rPr>
                <w:sz w:val="13"/>
                <w:szCs w:val="13"/>
                <w:color w:val="auto"/>
              </w:rPr>
            </w:pPr>
          </w:p>
        </w:tc>
        <w:tc>
          <w:tcPr>
            <w:tcW w:w="11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(8,638)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(53,110)</w:t>
            </w: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attributable to noncontrolling interest</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w:t>
            </w:r>
          </w:p>
        </w:tc>
      </w:tr>
      <w:tr>
        <w:trPr>
          <w:trHeight w:val="20"/>
        </w:trPr>
        <w:tc>
          <w:tcPr>
            <w:tcW w:w="5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546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income (loss) attributable to common stockholders</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1,935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(11,597)</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(8,645)</w:t>
            </w:r>
          </w:p>
        </w:tc>
        <w:tc>
          <w:tcPr>
            <w:tcW w:w="5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(53,109)</w:t>
            </w:r>
          </w:p>
        </w:tc>
      </w:tr>
      <w:tr>
        <w:trPr>
          <w:trHeight w:val="20"/>
        </w:trPr>
        <w:tc>
          <w:tcPr>
            <w:tcW w:w="5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Net income (loss) per share of Class A and Class B common stock:</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(0.23)</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(0.16)</w:t>
            </w:r>
          </w:p>
        </w:tc>
        <w:tc>
          <w:tcPr>
            <w:tcW w:w="5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(1.05)</w:t>
            </w:r>
          </w:p>
        </w:tc>
      </w:tr>
      <w:tr>
        <w:trPr>
          <w:trHeight w:val="162"/>
        </w:trPr>
        <w:tc>
          <w:tcPr>
            <w:tcW w:w="5460" w:type="dxa"/>
            <w:vAlign w:val="bottom"/>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0.03</w:t>
            </w:r>
          </w:p>
        </w:tc>
        <w:tc>
          <w:tcPr>
            <w:tcW w:w="140" w:type="dxa"/>
            <w:vAlign w:val="bottom"/>
          </w:tcPr>
          <w:p>
            <w:pPr>
              <w:spacing w:after="0"/>
              <w:rPr>
                <w:sz w:val="14"/>
                <w:szCs w:val="14"/>
                <w:color w:val="auto"/>
              </w:rPr>
            </w:pPr>
          </w:p>
        </w:tc>
        <w:tc>
          <w:tcPr>
            <w:tcW w:w="52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(0.23)</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(0.16)</w:t>
            </w:r>
          </w:p>
        </w:tc>
        <w:tc>
          <w:tcPr>
            <w:tcW w:w="5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r>
      <w:tr>
        <w:trPr>
          <w:trHeight w:val="162"/>
        </w:trPr>
        <w:tc>
          <w:tcPr>
            <w:tcW w:w="5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Weighted average shares outstanding:</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57,333,901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50,920,588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54,508,819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50,653,997</w:t>
            </w:r>
          </w:p>
        </w:tc>
        <w:tc>
          <w:tcPr>
            <w:tcW w:w="100" w:type="dxa"/>
            <w:vAlign w:val="bottom"/>
            <w:shd w:val="clear" w:color="auto" w:fill="CFF0FC"/>
          </w:tcPr>
          <w:p>
            <w:pPr>
              <w:spacing w:after="0"/>
              <w:rPr>
                <w:sz w:val="14"/>
                <w:szCs w:val="14"/>
                <w:color w:val="auto"/>
              </w:rPr>
            </w:pPr>
          </w:p>
        </w:tc>
      </w:tr>
      <w:tr>
        <w:trPr>
          <w:trHeight w:val="162"/>
        </w:trPr>
        <w:tc>
          <w:tcPr>
            <w:tcW w:w="5460" w:type="dxa"/>
            <w:vAlign w:val="bottom"/>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60,462,719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50,920,588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54,508,819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50,653,997</w:t>
            </w: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1,935</w:t>
            </w:r>
          </w:p>
        </w:tc>
        <w:tc>
          <w:tcPr>
            <w:tcW w:w="140" w:type="dxa"/>
            <w:vAlign w:val="bottom"/>
          </w:tcPr>
          <w:p>
            <w:pPr>
              <w:spacing w:after="0"/>
              <w:rPr>
                <w:sz w:val="14"/>
                <w:szCs w:val="14"/>
                <w:color w:val="auto"/>
              </w:rPr>
            </w:pPr>
          </w:p>
        </w:tc>
        <w:tc>
          <w:tcPr>
            <w:tcW w:w="52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(11,597)</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(8,638)</w:t>
            </w:r>
          </w:p>
        </w:tc>
        <w:tc>
          <w:tcPr>
            <w:tcW w:w="5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(53,110)</w:t>
            </w: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Comprehensive income (loss):</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460" w:type="dxa"/>
            <w:vAlign w:val="bottom"/>
          </w:tcPr>
          <w:p>
            <w:pPr>
              <w:ind w:left="120"/>
              <w:spacing w:after="0"/>
              <w:rPr>
                <w:sz w:val="20"/>
                <w:szCs w:val="20"/>
                <w:color w:val="auto"/>
              </w:rPr>
            </w:pPr>
            <w:r>
              <w:rPr>
                <w:rFonts w:ascii="Arial" w:cs="Arial" w:eastAsia="Arial" w:hAnsi="Arial"/>
                <w:sz w:val="14"/>
                <w:szCs w:val="14"/>
                <w:color w:val="auto"/>
              </w:rPr>
              <w:t>Foreign currency translation</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(441)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4,766</w:t>
            </w:r>
          </w:p>
        </w:tc>
        <w:tc>
          <w:tcPr>
            <w:tcW w:w="100" w:type="dxa"/>
            <w:vAlign w:val="bottom"/>
          </w:tcPr>
          <w:p>
            <w:pPr>
              <w:spacing w:after="0"/>
              <w:rPr>
                <w:sz w:val="14"/>
                <w:szCs w:val="14"/>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546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other comprehensive income (loss)</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(441)</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4,766</w:t>
            </w:r>
          </w:p>
        </w:tc>
        <w:tc>
          <w:tcPr>
            <w:tcW w:w="100" w:type="dxa"/>
            <w:vAlign w:val="bottom"/>
            <w:shd w:val="clear" w:color="auto" w:fill="CFF0FC"/>
          </w:tcPr>
          <w:p>
            <w:pPr>
              <w:spacing w:after="0"/>
              <w:rPr>
                <w:sz w:val="13"/>
                <w:szCs w:val="13"/>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5460" w:type="dxa"/>
            <w:vAlign w:val="bottom"/>
          </w:tcPr>
          <w:p>
            <w:pPr>
              <w:spacing w:after="0" w:line="155" w:lineRule="exact"/>
              <w:rPr>
                <w:sz w:val="20"/>
                <w:szCs w:val="20"/>
                <w:color w:val="auto"/>
              </w:rPr>
            </w:pPr>
            <w:r>
              <w:rPr>
                <w:rFonts w:ascii="Arial" w:cs="Arial" w:eastAsia="Arial" w:hAnsi="Arial"/>
                <w:sz w:val="14"/>
                <w:szCs w:val="14"/>
                <w:b w:val="1"/>
                <w:bCs w:val="1"/>
                <w:color w:val="auto"/>
              </w:rPr>
              <w:t>Comprehensive income (loss)</w:t>
            </w: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2,054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(11,417)</w:t>
            </w:r>
          </w:p>
        </w:tc>
        <w:tc>
          <w:tcPr>
            <w:tcW w:w="260" w:type="dxa"/>
            <w:vAlign w:val="bottom"/>
          </w:tcPr>
          <w:p>
            <w:pPr>
              <w:spacing w:after="0"/>
              <w:rPr>
                <w:sz w:val="13"/>
                <w:szCs w:val="13"/>
                <w:color w:val="auto"/>
              </w:rPr>
            </w:pPr>
          </w:p>
        </w:tc>
        <w:tc>
          <w:tcPr>
            <w:tcW w:w="11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(9,079)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(48,344)</w:t>
            </w: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Comprehensive (loss) income attributable to noncontrolling interest</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w:t>
            </w:r>
          </w:p>
        </w:tc>
      </w:tr>
      <w:tr>
        <w:trPr>
          <w:trHeight w:val="20"/>
        </w:trPr>
        <w:tc>
          <w:tcPr>
            <w:tcW w:w="5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5460" w:type="dxa"/>
            <w:vAlign w:val="bottom"/>
          </w:tcPr>
          <w:p>
            <w:pPr>
              <w:spacing w:after="0" w:line="155" w:lineRule="exact"/>
              <w:rPr>
                <w:sz w:val="20"/>
                <w:szCs w:val="20"/>
                <w:color w:val="auto"/>
              </w:rPr>
            </w:pPr>
            <w:r>
              <w:rPr>
                <w:rFonts w:ascii="Arial" w:cs="Arial" w:eastAsia="Arial" w:hAnsi="Arial"/>
                <w:sz w:val="14"/>
                <w:szCs w:val="14"/>
                <w:b w:val="1"/>
                <w:bCs w:val="1"/>
                <w:color w:val="auto"/>
              </w:rPr>
              <w:t>Total comprehensive income (loss) attributable to common stockholders</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2,064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(11,424)</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(9,086)</w:t>
            </w:r>
          </w:p>
        </w:tc>
        <w:tc>
          <w:tcPr>
            <w:tcW w:w="5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(48,327)</w:t>
            </w:r>
          </w:p>
        </w:tc>
      </w:tr>
      <w:tr>
        <w:trPr>
          <w:trHeight w:val="20"/>
        </w:trPr>
        <w:tc>
          <w:tcPr>
            <w:tcW w:w="5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-3736975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-3736975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-3736975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-3110865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-3110865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-3110865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-2262505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-2262505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-2262505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-2047875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-2047875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-2047875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-1833880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-1833880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-1833880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-351155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-351155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-351155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-136525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-136525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-136525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Condensed Consolidated Statements of Cash Flows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6"/>
        </w:trPr>
        <w:tc>
          <w:tcPr>
            <w:tcW w:w="63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Net loss</w:t>
            </w:r>
          </w:p>
        </w:tc>
        <w:tc>
          <w:tcPr>
            <w:tcW w:w="214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(8,638)</w:t>
            </w:r>
          </w:p>
        </w:tc>
        <w:tc>
          <w:tcPr>
            <w:tcW w:w="160" w:type="dxa"/>
            <w:vAlign w:val="bottom"/>
          </w:tcPr>
          <w:p>
            <w:pPr>
              <w:spacing w:after="0"/>
              <w:rPr>
                <w:sz w:val="14"/>
                <w:szCs w:val="14"/>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(53,110)</w:t>
            </w: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16,952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13,741</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Impairment of assets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Reduction in carrying amount of right-of-use asset</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3,350</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Lease termination</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30,961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25,985</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Income from unconsolidated joint venture</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(144)</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Donation of common stock</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2,080</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debt extinguishment</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16,430</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Amortization of deferred costs on convertible notes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Deferred tax benefit</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w:t>
            </w: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Changes in other assets and liabilities: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Accounts receivable, net</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(55,096)</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(23,370)</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Inventory</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(192)</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Prepaid expenses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(904)</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Other assets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(7,468)</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(1,233)</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Accounts payable and accrued cost of revenue</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10,728</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Other accrued expenses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9,100</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Contract liabilities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3,170</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Lease liabilities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(1,482)</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(5,202)</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liabilities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Income taxes payable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(249)</w:t>
            </w:r>
          </w:p>
        </w:tc>
      </w:tr>
      <w:tr>
        <w:trPr>
          <w:trHeight w:val="156"/>
        </w:trPr>
        <w:tc>
          <w:tcPr>
            <w:tcW w:w="636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106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25,410</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1,674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63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Purchases of marketable securities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(341,705)</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(6,571)</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Proceeds from sale of marketable securities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20,500</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Capitalization of software development and purchases of property and equipment</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(38,905)</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(19,911)</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Cash paid for business combination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(4,599)</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55"/>
        </w:trPr>
        <w:tc>
          <w:tcPr>
            <w:tcW w:w="6360" w:type="dxa"/>
            <w:vAlign w:val="bottom"/>
            <w:tcBorders>
              <w:top w:val="single" w:sz="8" w:color="CFF0FC"/>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1060" w:type="dxa"/>
            <w:vAlign w:val="bottom"/>
            <w:tcBorders>
              <w:top w:val="single" w:sz="8" w:color="CFF0FC"/>
              <w:bottom w:val="single" w:sz="8" w:color="CFF0FC"/>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(326,209)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(5,982)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56"/>
        </w:trPr>
        <w:tc>
          <w:tcPr>
            <w:tcW w:w="63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issuance of convertible notes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Costs incurred in connection with issuance of convertible notes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(8,650)</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Payments for repurchase of convertible notes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(215,992)</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Purchase of capped calls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(17,475)</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 of treasury stock</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(8,080)</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Proceeds from stock options exercised</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2,703</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issuance of common stock, net of underwriters’ discount</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248,400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Payment of costs related to issuance of common stock</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(776)</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issuance of common stock under Siemens agreement</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6360" w:type="dxa"/>
            <w:vAlign w:val="bottom"/>
            <w:tcBorders>
              <w:top w:val="single" w:sz="8" w:color="CFF0FC"/>
            </w:tcBorders>
          </w:tcPr>
          <w:p>
            <w:pPr>
              <w:ind w:left="20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060" w:type="dxa"/>
            <w:vAlign w:val="bottom"/>
            <w:tcBorders>
              <w:top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303,973</w:t>
            </w: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2,506</w:t>
            </w:r>
          </w:p>
        </w:tc>
        <w:tc>
          <w:tcPr>
            <w:tcW w:w="100" w:type="dxa"/>
            <w:vAlign w:val="bottom"/>
            <w:tcBorders>
              <w:top w:val="single" w:sz="8" w:color="CFF0FC"/>
            </w:tcBorders>
          </w:tcPr>
          <w:p>
            <w:pPr>
              <w:spacing w:after="0"/>
              <w:rPr>
                <w:sz w:val="13"/>
                <w:szCs w:val="13"/>
                <w:color w:val="auto"/>
              </w:rPr>
            </w:pPr>
          </w:p>
        </w:tc>
      </w:tr>
      <w:tr>
        <w:trPr>
          <w:trHeight w:val="155"/>
        </w:trPr>
        <w:tc>
          <w:tcPr>
            <w:tcW w:w="63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foreign currency translation on cash and cash equivalents</w:t>
            </w: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(38)</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415</w:t>
            </w:r>
          </w:p>
        </w:tc>
        <w:tc>
          <w:tcPr>
            <w:tcW w:w="100" w:type="dxa"/>
            <w:vAlign w:val="bottom"/>
            <w:shd w:val="clear" w:color="auto" w:fill="CFF0FC"/>
          </w:tcPr>
          <w:p>
            <w:pPr>
              <w:spacing w:after="0"/>
              <w:rPr>
                <w:sz w:val="13"/>
                <w:szCs w:val="13"/>
                <w:color w:val="auto"/>
              </w:rPr>
            </w:pPr>
          </w:p>
        </w:tc>
      </w:tr>
      <w:tr>
        <w:trPr>
          <w:trHeight w:val="20"/>
        </w:trPr>
        <w:tc>
          <w:tcPr>
            <w:tcW w:w="63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636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3,136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(1,387)</w:t>
            </w:r>
          </w:p>
        </w:tc>
      </w:tr>
      <w:tr>
        <w:trPr>
          <w:trHeight w:val="162"/>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and cash equivalents at beginning of the period</w:t>
            </w:r>
          </w:p>
        </w:tc>
        <w:tc>
          <w:tcPr>
            <w:tcW w:w="106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14,996</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22,232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36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at end of the period</w:t>
            </w:r>
          </w:p>
        </w:tc>
        <w:tc>
          <w:tcPr>
            <w:tcW w:w="2140" w:type="dxa"/>
            <w:vAlign w:val="bottom"/>
            <w:gridSpan w:val="2"/>
          </w:tcPr>
          <w:p>
            <w:pPr>
              <w:jc w:val="right"/>
              <w:ind w:right="928"/>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18,132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4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20,845</w:t>
            </w:r>
          </w:p>
        </w:tc>
        <w:tc>
          <w:tcPr>
            <w:tcW w:w="100" w:type="dxa"/>
            <w:vAlign w:val="bottom"/>
          </w:tcPr>
          <w:p>
            <w:pPr>
              <w:spacing w:after="0"/>
              <w:rPr>
                <w:sz w:val="13"/>
                <w:szCs w:val="13"/>
                <w:color w:val="auto"/>
              </w:rPr>
            </w:pPr>
          </w:p>
        </w:tc>
      </w:tr>
      <w:tr>
        <w:trPr>
          <w:trHeight w:val="20"/>
        </w:trPr>
        <w:tc>
          <w:tcPr>
            <w:tcW w:w="6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36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10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Cash paid for interest</w:t>
            </w:r>
          </w:p>
        </w:tc>
        <w:tc>
          <w:tcPr>
            <w:tcW w:w="214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2,600</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paid for income taxes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 included in capitalized software development costs</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Pr>
          <w:p>
            <w:pPr>
              <w:ind w:left="120"/>
              <w:spacing w:after="0"/>
              <w:rPr>
                <w:sz w:val="20"/>
                <w:szCs w:val="20"/>
                <w:color w:val="auto"/>
              </w:rPr>
            </w:pPr>
            <w:r>
              <w:rPr>
                <w:rFonts w:ascii="Arial" w:cs="Arial" w:eastAsia="Arial" w:hAnsi="Arial"/>
                <w:sz w:val="14"/>
                <w:szCs w:val="14"/>
                <w:color w:val="auto"/>
              </w:rPr>
              <w:t>Non-cash consideration in connection with business combination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Non-cash purchase of property and equipment</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FF0FC"/>
          </w:tcPr>
          <w:p>
            <w:pPr>
              <w:spacing w:after="0"/>
              <w:rPr>
                <w:sz w:val="14"/>
                <w:szCs w:val="14"/>
                <w:color w:val="auto"/>
              </w:rPr>
            </w:pPr>
          </w:p>
        </w:tc>
      </w:tr>
      <w:tr>
        <w:trPr>
          <w:trHeight w:val="190"/>
        </w:trPr>
        <w:tc>
          <w:tcPr>
            <w:tcW w:w="6360" w:type="dxa"/>
            <w:vAlign w:val="bottom"/>
          </w:tcPr>
          <w:p>
            <w:pPr>
              <w:ind w:left="120"/>
              <w:spacing w:after="0"/>
              <w:rPr>
                <w:sz w:val="20"/>
                <w:szCs w:val="20"/>
                <w:color w:val="auto"/>
              </w:rPr>
            </w:pPr>
            <w:r>
              <w:rPr>
                <w:rFonts w:ascii="Arial" w:cs="Arial" w:eastAsia="Arial" w:hAnsi="Arial"/>
                <w:sz w:val="14"/>
                <w:szCs w:val="14"/>
                <w:color w:val="auto"/>
              </w:rPr>
              <w:t>Conversion of 2027 convertible notes to common stock</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-3086100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-3086100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-2576195</wp:posOffset>
            </wp:positionV>
            <wp:extent cx="9398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-2576195</wp:posOffset>
            </wp:positionV>
            <wp:extent cx="9398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-1414780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-1414780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-1191895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-1191895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-977265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-977265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Reconciliations of Non-GAAP Financial Measures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8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For the Three Months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8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Ended September 30,</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6"/>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 (loss)</w:t>
            </w:r>
          </w:p>
        </w:tc>
        <w:tc>
          <w:tcPr>
            <w:tcW w:w="4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1,935</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(11,597)</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(8,638)</w:t>
            </w:r>
          </w:p>
        </w:tc>
        <w:tc>
          <w:tcPr>
            <w:tcW w:w="3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(53,110)</w:t>
            </w: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Add (deduct):</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 interest and dividend income and other expenses</w:t>
            </w:r>
          </w:p>
        </w:tc>
        <w:tc>
          <w:tcPr>
            <w:tcW w:w="8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(2,395)</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(2,788)</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line="18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9"/>
                <w:szCs w:val="19"/>
                <w:color w:val="auto"/>
                <w:vertAlign w:val="superscript"/>
              </w:rPr>
              <w:t>(1)</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6,185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Amortization of lease intangible</w:t>
            </w:r>
          </w:p>
        </w:tc>
        <w:tc>
          <w:tcPr>
            <w:tcW w:w="8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Provision (benefit) from income taxes</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line="189"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9"/>
                <w:szCs w:val="19"/>
                <w:color w:val="auto"/>
                <w:vertAlign w:val="superscript"/>
              </w:rPr>
              <w:t>(2)</w:t>
            </w:r>
          </w:p>
        </w:tc>
        <w:tc>
          <w:tcPr>
            <w:tcW w:w="8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11,288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10,748</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30,961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2,792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line="189"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9"/>
                <w:szCs w:val="19"/>
                <w:color w:val="auto"/>
                <w:vertAlign w:val="superscript"/>
              </w:rPr>
              <w:t>(3)</w:t>
            </w:r>
          </w:p>
        </w:tc>
        <w:tc>
          <w:tcPr>
            <w:tcW w:w="8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Charitable contribution of common stock</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1,767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950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from unconsolidated joint venture</w:t>
            </w:r>
          </w:p>
        </w:tc>
        <w:tc>
          <w:tcPr>
            <w:tcW w:w="8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(220)</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(588)</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8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60" w:type="dxa"/>
            <w:vAlign w:val="bottom"/>
            <w:gridSpan w:val="2"/>
            <w:shd w:val="clear" w:color="auto" w:fill="CFF0FC"/>
          </w:tcPr>
          <w:p>
            <w:pPr>
              <w:spacing w:after="0" w:line="175"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9"/>
                <w:szCs w:val="19"/>
                <w:color w:val="auto"/>
                <w:vertAlign w:val="superscript"/>
              </w:rPr>
              <w:t>(4)</w:t>
            </w:r>
          </w:p>
        </w:tc>
        <w:tc>
          <w:tcPr>
            <w:tcW w:w="8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(92)</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60" w:type="dxa"/>
            <w:vAlign w:val="bottom"/>
            <w:tcBorders>
              <w:top w:val="single" w:sz="8" w:color="CFF0FC"/>
            </w:tcBorders>
            <w:gridSpan w:val="2"/>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800" w:type="dxa"/>
            <w:vAlign w:val="bottom"/>
            <w:tcBorders>
              <w:top w:val="single" w:sz="8" w:color="auto"/>
              <w:bottom w:val="single" w:sz="8" w:color="auto"/>
            </w:tcBorders>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21,423</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6,142</w:t>
            </w:r>
          </w:p>
        </w:tc>
        <w:tc>
          <w:tcPr>
            <w:tcW w:w="24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46,050</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10,146</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-136525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-136525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-136525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Ended September 30,</w:t>
            </w:r>
          </w:p>
        </w:tc>
        <w:tc>
          <w:tcPr>
            <w:tcW w:w="260" w:type="dxa"/>
            <w:vAlign w:val="bottom"/>
          </w:tcPr>
          <w:p>
            <w:pPr>
              <w:spacing w:after="0"/>
              <w:rPr>
                <w:sz w:val="14"/>
                <w:szCs w:val="14"/>
                <w:color w:val="auto"/>
              </w:rPr>
            </w:pPr>
          </w:p>
        </w:tc>
        <w:tc>
          <w:tcPr>
            <w:tcW w:w="25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5"/>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Non-GAAP Net Income:</w:t>
            </w:r>
          </w:p>
        </w:tc>
        <w:tc>
          <w:tcPr>
            <w:tcW w:w="3840" w:type="dxa"/>
            <w:vAlign w:val="bottom"/>
            <w:vMerge w:val="restart"/>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20" w:type="dxa"/>
            <w:vAlign w:val="bottom"/>
            <w:tcBorders>
              <w:bottom w:val="single" w:sz="8" w:color="auto"/>
            </w:tcBorders>
            <w:vMerge w:val="continue"/>
          </w:tcPr>
          <w:p>
            <w:pPr>
              <w:spacing w:after="0"/>
              <w:rPr>
                <w:sz w:val="12"/>
                <w:szCs w:val="12"/>
                <w:color w:val="auto"/>
              </w:rPr>
            </w:pPr>
          </w:p>
        </w:tc>
        <w:tc>
          <w:tcPr>
            <w:tcW w:w="3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income (loss)</w:t>
            </w: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1,935</w:t>
            </w:r>
          </w:p>
        </w:tc>
        <w:tc>
          <w:tcPr>
            <w:tcW w:w="52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(11,597)</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(8,638)</w:t>
            </w:r>
          </w:p>
        </w:tc>
        <w:tc>
          <w:tcPr>
            <w:tcW w:w="3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(53,110)</w:t>
            </w: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Add (deduct):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line="189"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9"/>
                <w:szCs w:val="19"/>
                <w:color w:val="auto"/>
                <w:vertAlign w:val="superscript"/>
              </w:rPr>
              <w:t>(2)</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11,288</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10,748</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30,961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2,792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Amortization of lease intangible</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Amortization of deferred costs on convertible notes</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line="189"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9"/>
                <w:szCs w:val="19"/>
                <w:color w:val="auto"/>
                <w:vertAlign w:val="superscript"/>
              </w:rPr>
              <w:t>(3)</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Charitable contribution of common stock</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Lease termination</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line="189"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9"/>
                <w:szCs w:val="19"/>
                <w:color w:val="auto"/>
                <w:vertAlign w:val="superscript"/>
              </w:rPr>
              <w:t>(4)</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(92)</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Loss on debt extinguishment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line="189" w:lineRule="exact"/>
              <w:rPr>
                <w:sz w:val="20"/>
                <w:szCs w:val="20"/>
                <w:color w:val="auto"/>
              </w:rPr>
            </w:pPr>
            <w:r>
              <w:rPr>
                <w:rFonts w:ascii="Arial" w:cs="Arial" w:eastAsia="Arial" w:hAnsi="Arial"/>
                <w:sz w:val="14"/>
                <w:szCs w:val="14"/>
                <w:color w:val="auto"/>
              </w:rPr>
              <w:t>Amortization of acquired intangible assets &amp; patents</w:t>
            </w:r>
            <w:r>
              <w:rPr>
                <w:rFonts w:ascii="Arial" w:cs="Arial" w:eastAsia="Arial" w:hAnsi="Arial"/>
                <w:sz w:val="19"/>
                <w:szCs w:val="19"/>
                <w:color w:val="auto"/>
                <w:vertAlign w:val="superscript"/>
              </w:rPr>
              <w:t>(5)</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60" w:type="dxa"/>
            <w:vAlign w:val="bottom"/>
            <w:gridSpan w:val="2"/>
          </w:tcPr>
          <w:p>
            <w:pPr>
              <w:spacing w:after="0" w:line="175" w:lineRule="exact"/>
              <w:rPr>
                <w:sz w:val="20"/>
                <w:szCs w:val="20"/>
                <w:color w:val="auto"/>
              </w:rPr>
            </w:pPr>
            <w:r>
              <w:rPr>
                <w:rFonts w:ascii="Arial" w:cs="Arial" w:eastAsia="Arial" w:hAnsi="Arial"/>
                <w:sz w:val="14"/>
                <w:szCs w:val="14"/>
                <w:color w:val="auto"/>
              </w:rPr>
              <w:t>Other amortization</w:t>
            </w:r>
            <w:r>
              <w:rPr>
                <w:rFonts w:ascii="Arial" w:cs="Arial" w:eastAsia="Arial" w:hAnsi="Arial"/>
                <w:sz w:val="19"/>
                <w:szCs w:val="19"/>
                <w:color w:val="auto"/>
                <w:vertAlign w:val="superscript"/>
              </w:rPr>
              <w:t>(5)</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4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Non-GAAP Net Income</w:t>
            </w: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18,561</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2,103</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35,362</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5460" w:type="dxa"/>
            <w:vAlign w:val="bottom"/>
            <w:gridSpan w:val="2"/>
          </w:tcPr>
          <w:p>
            <w:pPr>
              <w:spacing w:after="0"/>
              <w:rPr>
                <w:sz w:val="20"/>
                <w:szCs w:val="20"/>
                <w:color w:val="auto"/>
              </w:rPr>
            </w:pPr>
            <w:r>
              <w:rPr>
                <w:rFonts w:ascii="Arial" w:cs="Arial" w:eastAsia="Arial" w:hAnsi="Arial"/>
                <w:sz w:val="14"/>
                <w:szCs w:val="14"/>
                <w:color w:val="auto"/>
              </w:rPr>
              <w:t>Adjustments to numerator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540</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1,619</w:t>
            </w:r>
          </w:p>
        </w:tc>
        <w:tc>
          <w:tcPr>
            <w:tcW w:w="140" w:type="dxa"/>
            <w:vAlign w:val="bottom"/>
          </w:tcPr>
          <w:p>
            <w:pPr>
              <w:spacing w:after="0"/>
              <w:rPr>
                <w:sz w:val="24"/>
                <w:szCs w:val="24"/>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5460" w:type="dxa"/>
            <w:vAlign w:val="bottom"/>
            <w:gridSpan w:val="2"/>
            <w:shd w:val="clear" w:color="auto" w:fill="CFF0FC"/>
          </w:tcPr>
          <w:p>
            <w:pPr>
              <w:spacing w:after="0" w:line="153" w:lineRule="exact"/>
              <w:rPr>
                <w:sz w:val="20"/>
                <w:szCs w:val="20"/>
                <w:color w:val="auto"/>
              </w:rPr>
            </w:pPr>
            <w:r>
              <w:rPr>
                <w:rFonts w:ascii="Arial" w:cs="Arial" w:eastAsia="Arial" w:hAnsi="Arial"/>
                <w:sz w:val="14"/>
                <w:szCs w:val="14"/>
                <w:color w:val="auto"/>
              </w:rPr>
              <w:t>Weighted-average number of shares outstanding used to compute Non-GAAP Net</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(Loss) per share, basic and diluted, of Class A and Class B common stock</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57,333,901</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50,920,588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54,508,819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50,653,997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Non-GAAP effect of potentially dilutive Class A common stock</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9,969,202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3,115,487</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9,902,171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2,608,839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460" w:type="dxa"/>
            <w:vAlign w:val="bottom"/>
            <w:gridSpan w:val="2"/>
            <w:shd w:val="clear" w:color="auto" w:fill="CFF0FC"/>
          </w:tcPr>
          <w:p>
            <w:pPr>
              <w:spacing w:after="0" w:line="147" w:lineRule="exact"/>
              <w:rPr>
                <w:sz w:val="20"/>
                <w:szCs w:val="20"/>
                <w:color w:val="auto"/>
              </w:rPr>
            </w:pPr>
            <w:r>
              <w:rPr>
                <w:rFonts w:ascii="Arial" w:cs="Arial" w:eastAsia="Arial" w:hAnsi="Arial"/>
                <w:sz w:val="14"/>
                <w:szCs w:val="14"/>
                <w:color w:val="auto"/>
              </w:rPr>
              <w:t>Non-GAAP weighted-average shares used to compute Non-GAAP Net Income</w:t>
            </w:r>
          </w:p>
        </w:tc>
        <w:tc>
          <w:tcPr>
            <w:tcW w:w="2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67,303,103</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54,036,075</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64,410,990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53,262,836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60" w:type="dxa"/>
            <w:vAlign w:val="bottom"/>
            <w:tcBorders>
              <w:bottom w:val="single" w:sz="8" w:color="CFF0FC"/>
            </w:tcBorders>
            <w:gridSpan w:val="2"/>
            <w:shd w:val="clear" w:color="auto" w:fill="CFF0FC"/>
          </w:tcPr>
          <w:p>
            <w:pPr>
              <w:spacing w:after="0" w:line="158" w:lineRule="exact"/>
              <w:rPr>
                <w:sz w:val="20"/>
                <w:szCs w:val="20"/>
                <w:color w:val="auto"/>
              </w:rPr>
            </w:pPr>
            <w:r>
              <w:rPr>
                <w:rFonts w:ascii="Arial" w:cs="Arial" w:eastAsia="Arial" w:hAnsi="Arial"/>
                <w:sz w:val="14"/>
                <w:szCs w:val="14"/>
                <w:color w:val="auto"/>
              </w:rPr>
              <w:t>(Loss) per share, diluted</w:t>
            </w:r>
          </w:p>
        </w:tc>
        <w:tc>
          <w:tcPr>
            <w:tcW w:w="2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460" w:type="dxa"/>
            <w:vAlign w:val="bottom"/>
            <w:gridSpan w:val="2"/>
          </w:tcPr>
          <w:p>
            <w:pPr>
              <w:spacing w:after="0"/>
              <w:rPr>
                <w:sz w:val="20"/>
                <w:szCs w:val="20"/>
                <w:color w:val="auto"/>
              </w:rPr>
            </w:pPr>
            <w:r>
              <w:rPr>
                <w:rFonts w:ascii="Arial" w:cs="Arial" w:eastAsia="Arial" w:hAnsi="Arial"/>
                <w:sz w:val="14"/>
                <w:szCs w:val="14"/>
                <w:color w:val="auto"/>
              </w:rPr>
              <w:t>EPS, basic and diluted, of Class A and Class B common stock</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0.03</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(0.23)</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(0.16)</w:t>
            </w:r>
          </w:p>
        </w:tc>
        <w:tc>
          <w:tcPr>
            <w:tcW w:w="3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Non-GAAP EPS basic, of Class A and Class B common stock</w:t>
            </w:r>
          </w:p>
        </w:tc>
        <w:tc>
          <w:tcPr>
            <w:tcW w:w="280" w:type="dxa"/>
            <w:vAlign w:val="bottom"/>
            <w:tcBorders>
              <w:bottom w:val="single" w:sz="8" w:color="auto"/>
            </w:tcBorders>
            <w:shd w:val="clear" w:color="auto" w:fill="CFF0FC"/>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0.32</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0.04</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0.65</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0.01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460" w:type="dxa"/>
            <w:vAlign w:val="bottom"/>
            <w:gridSpan w:val="2"/>
          </w:tcPr>
          <w:p>
            <w:pPr>
              <w:spacing w:after="0" w:line="143" w:lineRule="exact"/>
              <w:rPr>
                <w:sz w:val="20"/>
                <w:szCs w:val="20"/>
                <w:color w:val="auto"/>
              </w:rPr>
            </w:pPr>
            <w:r>
              <w:rPr>
                <w:rFonts w:ascii="Arial" w:cs="Arial" w:eastAsia="Arial" w:hAnsi="Arial"/>
                <w:sz w:val="14"/>
                <w:szCs w:val="14"/>
                <w:color w:val="auto"/>
              </w:rPr>
              <w:t>Non-GAAP EPS diluted, of Class A and Class B common stock</w:t>
            </w:r>
          </w:p>
        </w:tc>
        <w:tc>
          <w:tcPr>
            <w:tcW w:w="280" w:type="dxa"/>
            <w:vAlign w:val="bottom"/>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0.28</w:t>
            </w:r>
          </w:p>
        </w:tc>
        <w:tc>
          <w:tcPr>
            <w:tcW w:w="520" w:type="dxa"/>
            <w:vAlign w:val="bottom"/>
            <w:gridSpan w:val="2"/>
          </w:tcPr>
          <w:p>
            <w:pPr>
              <w:jc w:val="right"/>
              <w:ind w:right="128"/>
              <w:spacing w:after="0" w:line="14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0.04</w:t>
            </w:r>
          </w:p>
        </w:tc>
        <w:tc>
          <w:tcPr>
            <w:tcW w:w="240" w:type="dxa"/>
            <w:vAlign w:val="bottom"/>
          </w:tcPr>
          <w:p>
            <w:pPr>
              <w:spacing w:after="0"/>
              <w:rPr>
                <w:sz w:val="12"/>
                <w:szCs w:val="12"/>
                <w:color w:val="auto"/>
              </w:rPr>
            </w:pPr>
          </w:p>
        </w:tc>
        <w:tc>
          <w:tcPr>
            <w:tcW w:w="260" w:type="dxa"/>
            <w:vAlign w:val="bottom"/>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0.57</w:t>
            </w:r>
          </w:p>
        </w:tc>
        <w:tc>
          <w:tcPr>
            <w:tcW w:w="140" w:type="dxa"/>
            <w:vAlign w:val="bottom"/>
          </w:tcPr>
          <w:p>
            <w:pPr>
              <w:spacing w:after="0"/>
              <w:rPr>
                <w:sz w:val="12"/>
                <w:szCs w:val="12"/>
                <w:color w:val="auto"/>
              </w:rPr>
            </w:pPr>
          </w:p>
        </w:tc>
        <w:tc>
          <w:tcPr>
            <w:tcW w:w="340" w:type="dxa"/>
            <w:vAlign w:val="bottom"/>
            <w:gridSpan w:val="2"/>
          </w:tcPr>
          <w:p>
            <w:pPr>
              <w:jc w:val="right"/>
              <w:ind w:right="108"/>
              <w:spacing w:after="0" w:line="14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-1242695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-1224915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-1242695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-1224915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-1242695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-1224915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-496570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-496570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-496570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-153670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-136525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-153670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-136525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-153670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-136525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20" w:hanging="372"/>
        <w:spacing w:after="0" w:line="25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depreciation expense of the Company’s long-lived tangible assets and amortization expense of its finite-lived intangible assets, as included in the Company’s GAAP results of operations.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non-cash expense related to stock-based awards granted to employees, as included in the Company’s GAAP results of operations.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adjustments related to purchase accounting, the revaluation of contingent consideration, transaction costs and executive severance.</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Costs associated with the 2026 and 2025 reductions in workforce.</w:t>
      </w:r>
    </w:p>
    <w:p>
      <w:pPr>
        <w:spacing w:after="0" w:line="1" w:lineRule="exact"/>
        <w:rPr>
          <w:rFonts w:ascii="Arial" w:cs="Arial" w:eastAsia="Arial" w:hAnsi="Arial"/>
          <w:sz w:val="14"/>
          <w:szCs w:val="14"/>
          <w:color w:val="auto"/>
        </w:rPr>
      </w:pPr>
    </w:p>
    <w:p>
      <w:pPr>
        <w:ind w:left="380" w:right="80" w:hanging="372"/>
        <w:spacing w:after="0" w:line="264"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the first quarter of 2026, we changed the definition of Non-GAAP Net Income to exclude depreciation expense. Prior period amounts were recast to conform to the new definition.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Reconciliation of GAAP EPS to Non-GAAP EPS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3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For the Three Months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rPr>
              <w:t>For the Nine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Ended 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rPr>
              <w:t>Ended 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 EPS:</w:t>
            </w:r>
          </w:p>
        </w:tc>
        <w:tc>
          <w:tcPr>
            <w:tcW w:w="88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2026</w:t>
            </w:r>
          </w:p>
        </w:tc>
        <w:tc>
          <w:tcPr>
            <w:tcW w:w="3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GAAP EPS, diluted, of Class A and Class B common stock</w:t>
            </w:r>
          </w:p>
        </w:tc>
        <w:tc>
          <w:tcPr>
            <w:tcW w:w="880" w:type="dxa"/>
            <w:vAlign w:val="bottom"/>
            <w:shd w:val="clear" w:color="auto" w:fill="CFF0FC"/>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0.03</w:t>
            </w:r>
          </w:p>
        </w:tc>
        <w:tc>
          <w:tcPr>
            <w:tcW w:w="1080" w:type="dxa"/>
            <w:vAlign w:val="bottom"/>
            <w:gridSpan w:val="2"/>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(0.23)</w:t>
            </w:r>
          </w:p>
        </w:tc>
        <w:tc>
          <w:tcPr>
            <w:tcW w:w="820" w:type="dxa"/>
            <w:vAlign w:val="bottom"/>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(0.16)</w:t>
            </w:r>
          </w:p>
        </w:tc>
        <w:tc>
          <w:tcPr>
            <w:tcW w:w="920" w:type="dxa"/>
            <w:vAlign w:val="bottom"/>
            <w:gridSpan w:val="2"/>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Non-GAAP effect of potentially dilutive Class A common stock</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(deduct):</w:t>
            </w:r>
          </w:p>
        </w:tc>
        <w:tc>
          <w:tcPr>
            <w:tcW w:w="8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0.17</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0.20</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0.48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8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Amortization of lease intangible</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Amortization of deferred costs on convertible notes</w:t>
            </w:r>
          </w:p>
        </w:tc>
        <w:tc>
          <w:tcPr>
            <w:tcW w:w="8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Acquisition and other</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Charitable contribution of common stock</w:t>
            </w:r>
          </w:p>
        </w:tc>
        <w:tc>
          <w:tcPr>
            <w:tcW w:w="8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Restructuring charges</w:t>
            </w:r>
          </w:p>
        </w:tc>
        <w:tc>
          <w:tcPr>
            <w:tcW w:w="8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Loss on debt extinguishment</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Amortization of acquired intangible assets &amp; patents</w:t>
            </w:r>
          </w:p>
        </w:tc>
        <w:tc>
          <w:tcPr>
            <w:tcW w:w="8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gridSpan w:val="2"/>
          </w:tcPr>
          <w:p>
            <w:pPr>
              <w:spacing w:after="0"/>
              <w:rPr>
                <w:sz w:val="20"/>
                <w:szCs w:val="20"/>
                <w:color w:val="auto"/>
              </w:rPr>
            </w:pPr>
            <w:r>
              <w:rPr>
                <w:rFonts w:ascii="Arial" w:cs="Arial" w:eastAsia="Arial" w:hAnsi="Arial"/>
                <w:sz w:val="14"/>
                <w:szCs w:val="14"/>
                <w:color w:val="auto"/>
              </w:rPr>
              <w:t>Other amortization</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Non-GAAP EPS, diluted, of Class A and Class B common stock</w:t>
            </w:r>
          </w:p>
        </w:tc>
        <w:tc>
          <w:tcPr>
            <w:tcW w:w="880" w:type="dxa"/>
            <w:vAlign w:val="bottom"/>
            <w:tcBorders>
              <w:bottom w:val="single" w:sz="8" w:color="auto"/>
            </w:tcBorders>
            <w:shd w:val="clear" w:color="auto" w:fill="CFF0FC"/>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0.28</w:t>
            </w:r>
          </w:p>
        </w:tc>
        <w:tc>
          <w:tcPr>
            <w:tcW w:w="2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0.04</w:t>
            </w:r>
          </w:p>
        </w:tc>
        <w:tc>
          <w:tcPr>
            <w:tcW w:w="2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0.57</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-25400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Segment Results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Ended September 30,</w:t>
            </w:r>
          </w:p>
        </w:tc>
        <w:tc>
          <w:tcPr>
            <w:tcW w:w="260" w:type="dxa"/>
            <w:vAlign w:val="bottom"/>
          </w:tcPr>
          <w:p>
            <w:pPr>
              <w:spacing w:after="0"/>
              <w:rPr>
                <w:sz w:val="14"/>
                <w:szCs w:val="14"/>
                <w:color w:val="auto"/>
              </w:rPr>
            </w:pPr>
          </w:p>
        </w:tc>
        <w:tc>
          <w:tcPr>
            <w:tcW w:w="25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r>
      <w:tr>
        <w:trPr>
          <w:trHeight w:val="156"/>
        </w:trPr>
        <w:tc>
          <w:tcPr>
            <w:tcW w:w="54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5"/>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Segment Revenue:</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U.S.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213,392</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151,093</w:t>
            </w:r>
          </w:p>
        </w:tc>
        <w:tc>
          <w:tcPr>
            <w:tcW w:w="2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580,357</w:t>
            </w:r>
          </w:p>
        </w:tc>
        <w:tc>
          <w:tcPr>
            <w:tcW w:w="140" w:type="dxa"/>
            <w:vAlign w:val="bottom"/>
          </w:tcPr>
          <w:p>
            <w:pPr>
              <w:spacing w:after="0"/>
              <w:rPr>
                <w:sz w:val="14"/>
                <w:szCs w:val="14"/>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414,646</w:t>
            </w:r>
          </w:p>
        </w:tc>
        <w:tc>
          <w:tcPr>
            <w:tcW w:w="100" w:type="dxa"/>
            <w:vAlign w:val="bottom"/>
          </w:tcPr>
          <w:p>
            <w:pPr>
              <w:spacing w:after="0"/>
              <w:rPr>
                <w:sz w:val="14"/>
                <w:szCs w:val="14"/>
                <w:color w:val="auto"/>
              </w:rPr>
            </w:pPr>
          </w:p>
        </w:tc>
      </w:tr>
      <w:tr>
        <w:trPr>
          <w:trHeight w:val="162"/>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International</w:t>
            </w: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39,047</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29,622</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106,500</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79,588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5460" w:type="dxa"/>
            <w:vAlign w:val="bottom"/>
          </w:tcPr>
          <w:p>
            <w:pPr>
              <w:spacing w:after="0" w:line="155" w:lineRule="exact"/>
              <w:rPr>
                <w:sz w:val="20"/>
                <w:szCs w:val="20"/>
                <w:color w:val="auto"/>
              </w:rPr>
            </w:pPr>
            <w:r>
              <w:rPr>
                <w:rFonts w:ascii="Arial" w:cs="Arial" w:eastAsia="Arial" w:hAnsi="Arial"/>
                <w:sz w:val="14"/>
                <w:szCs w:val="14"/>
                <w:color w:val="auto"/>
              </w:rPr>
              <w:t>Total revenue</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252,439</w:t>
            </w:r>
          </w:p>
        </w:tc>
        <w:tc>
          <w:tcPr>
            <w:tcW w:w="140" w:type="dxa"/>
            <w:vAlign w:val="bottom"/>
          </w:tcPr>
          <w:p>
            <w:pPr>
              <w:spacing w:after="0"/>
              <w:rPr>
                <w:sz w:val="13"/>
                <w:szCs w:val="13"/>
                <w:color w:val="auto"/>
              </w:rPr>
            </w:pPr>
          </w:p>
        </w:tc>
        <w:tc>
          <w:tcPr>
            <w:tcW w:w="38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180,715</w:t>
            </w:r>
          </w:p>
        </w:tc>
        <w:tc>
          <w:tcPr>
            <w:tcW w:w="24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686,857</w:t>
            </w:r>
          </w:p>
        </w:tc>
        <w:tc>
          <w:tcPr>
            <w:tcW w:w="140" w:type="dxa"/>
            <w:vAlign w:val="bottom"/>
          </w:tcPr>
          <w:p>
            <w:pPr>
              <w:spacing w:after="0"/>
              <w:rPr>
                <w:sz w:val="13"/>
                <w:szCs w:val="13"/>
                <w:color w:val="auto"/>
              </w:rPr>
            </w:pPr>
          </w:p>
        </w:tc>
        <w:tc>
          <w:tcPr>
            <w:tcW w:w="34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494,234</w:t>
            </w:r>
          </w:p>
        </w:tc>
        <w:tc>
          <w:tcPr>
            <w:tcW w:w="100" w:type="dxa"/>
            <w:vAlign w:val="bottom"/>
          </w:tcPr>
          <w:p>
            <w:pPr>
              <w:spacing w:after="0"/>
              <w:rPr>
                <w:sz w:val="13"/>
                <w:szCs w:val="13"/>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Segment Cost of Revenue:</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U.S.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130,596</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90,933</w:t>
            </w:r>
          </w:p>
        </w:tc>
        <w:tc>
          <w:tcPr>
            <w:tcW w:w="2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357,882</w:t>
            </w:r>
          </w:p>
        </w:tc>
        <w:tc>
          <w:tcPr>
            <w:tcW w:w="140" w:type="dxa"/>
            <w:vAlign w:val="bottom"/>
          </w:tcPr>
          <w:p>
            <w:pPr>
              <w:spacing w:after="0"/>
              <w:rPr>
                <w:sz w:val="14"/>
                <w:szCs w:val="14"/>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251,841</w:t>
            </w:r>
          </w:p>
        </w:tc>
        <w:tc>
          <w:tcPr>
            <w:tcW w:w="100" w:type="dxa"/>
            <w:vAlign w:val="bottom"/>
          </w:tcPr>
          <w:p>
            <w:pPr>
              <w:spacing w:after="0"/>
              <w:rPr>
                <w:sz w:val="14"/>
                <w:szCs w:val="14"/>
                <w:color w:val="auto"/>
              </w:rPr>
            </w:pPr>
          </w:p>
        </w:tc>
      </w:tr>
      <w:tr>
        <w:trPr>
          <w:trHeight w:val="162"/>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International</w:t>
            </w: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23,163</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17,753</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64,654</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48,857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5460" w:type="dxa"/>
            <w:vAlign w:val="bottom"/>
          </w:tcPr>
          <w:p>
            <w:pPr>
              <w:spacing w:after="0" w:line="155" w:lineRule="exact"/>
              <w:rPr>
                <w:sz w:val="20"/>
                <w:szCs w:val="20"/>
                <w:color w:val="auto"/>
              </w:rPr>
            </w:pPr>
            <w:r>
              <w:rPr>
                <w:rFonts w:ascii="Arial" w:cs="Arial" w:eastAsia="Arial" w:hAnsi="Arial"/>
                <w:sz w:val="14"/>
                <w:szCs w:val="14"/>
                <w:color w:val="auto"/>
              </w:rPr>
              <w:t>Total cost of revenue</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153,759</w:t>
            </w:r>
          </w:p>
        </w:tc>
        <w:tc>
          <w:tcPr>
            <w:tcW w:w="140" w:type="dxa"/>
            <w:vAlign w:val="bottom"/>
          </w:tcPr>
          <w:p>
            <w:pPr>
              <w:spacing w:after="0"/>
              <w:rPr>
                <w:sz w:val="13"/>
                <w:szCs w:val="13"/>
                <w:color w:val="auto"/>
              </w:rPr>
            </w:pPr>
          </w:p>
        </w:tc>
        <w:tc>
          <w:tcPr>
            <w:tcW w:w="38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108,686</w:t>
            </w:r>
          </w:p>
        </w:tc>
        <w:tc>
          <w:tcPr>
            <w:tcW w:w="24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422,536</w:t>
            </w:r>
          </w:p>
        </w:tc>
        <w:tc>
          <w:tcPr>
            <w:tcW w:w="140" w:type="dxa"/>
            <w:vAlign w:val="bottom"/>
          </w:tcPr>
          <w:p>
            <w:pPr>
              <w:spacing w:after="0"/>
              <w:rPr>
                <w:sz w:val="13"/>
                <w:szCs w:val="13"/>
                <w:color w:val="auto"/>
              </w:rPr>
            </w:pPr>
          </w:p>
        </w:tc>
        <w:tc>
          <w:tcPr>
            <w:tcW w:w="34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300,698</w:t>
            </w:r>
          </w:p>
        </w:tc>
        <w:tc>
          <w:tcPr>
            <w:tcW w:w="100" w:type="dxa"/>
            <w:vAlign w:val="bottom"/>
          </w:tcPr>
          <w:p>
            <w:pPr>
              <w:spacing w:after="0"/>
              <w:rPr>
                <w:sz w:val="13"/>
                <w:szCs w:val="13"/>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Segment Adjusted EBITDA:</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U.S.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22,020</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10,349</w:t>
            </w:r>
          </w:p>
        </w:tc>
        <w:tc>
          <w:tcPr>
            <w:tcW w:w="2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52,769</w:t>
            </w:r>
          </w:p>
        </w:tc>
        <w:tc>
          <w:tcPr>
            <w:tcW w:w="140" w:type="dxa"/>
            <w:vAlign w:val="bottom"/>
          </w:tcPr>
          <w:p>
            <w:pPr>
              <w:spacing w:after="0"/>
              <w:rPr>
                <w:sz w:val="14"/>
                <w:szCs w:val="14"/>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20,234</w:t>
            </w: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International</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(4,207)</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(6,719)</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(10,088)</w:t>
            </w:r>
          </w:p>
        </w:tc>
      </w:tr>
      <w:tr>
        <w:trPr>
          <w:trHeight w:val="155"/>
        </w:trPr>
        <w:tc>
          <w:tcPr>
            <w:tcW w:w="546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Total Adjusted EBITDA</w:t>
            </w: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21,423</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6,142</w:t>
            </w:r>
          </w:p>
        </w:tc>
        <w:tc>
          <w:tcPr>
            <w:tcW w:w="24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46,050</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10,146</w:t>
            </w:r>
          </w:p>
        </w:tc>
        <w:tc>
          <w:tcPr>
            <w:tcW w:w="100" w:type="dxa"/>
            <w:vAlign w:val="bottom"/>
            <w:tcBorders>
              <w:top w:val="single" w:sz="8" w:color="CFF0FC"/>
            </w:tcBorders>
          </w:tcPr>
          <w:p>
            <w:pPr>
              <w:spacing w:after="0"/>
              <w:rPr>
                <w:sz w:val="13"/>
                <w:szCs w:val="13"/>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-1233805</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-1233805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-1233805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-685165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-685165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-685165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-136525</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-136525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-136525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Supplemental Information</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30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For the Three Months</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230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Ended September 30,</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46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Summary of Stock-based Compensation Expense and Payroll Taxes Related</w:t>
            </w:r>
          </w:p>
        </w:tc>
        <w:tc>
          <w:tcPr>
            <w:tcW w:w="8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 Stock-Based Compensation Expense</w:t>
            </w: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Sales and marketing</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2,694</w:t>
            </w:r>
          </w:p>
        </w:tc>
        <w:tc>
          <w:tcPr>
            <w:tcW w:w="1040" w:type="dxa"/>
            <w:vAlign w:val="bottom"/>
            <w:gridSpan w:val="2"/>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3,170</w:t>
            </w:r>
          </w:p>
        </w:tc>
        <w:tc>
          <w:tcPr>
            <w:tcW w:w="2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7,201</w:t>
            </w:r>
          </w:p>
        </w:tc>
        <w:tc>
          <w:tcPr>
            <w:tcW w:w="140" w:type="dxa"/>
            <w:vAlign w:val="bottom"/>
          </w:tcPr>
          <w:p>
            <w:pPr>
              <w:spacing w:after="0"/>
              <w:rPr>
                <w:sz w:val="14"/>
                <w:szCs w:val="14"/>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7,809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Operations and support</w:t>
            </w: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2,839</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8,552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Product development</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1,250</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2,583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5,233</w:t>
            </w:r>
          </w:p>
        </w:tc>
        <w:tc>
          <w:tcPr>
            <w:tcW w:w="2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1,649</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13,964</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4,416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460" w:type="dxa"/>
            <w:vAlign w:val="bottom"/>
          </w:tcPr>
          <w:p>
            <w:pPr>
              <w:spacing w:after="0" w:line="147" w:lineRule="exact"/>
              <w:rPr>
                <w:sz w:val="20"/>
                <w:szCs w:val="20"/>
                <w:color w:val="auto"/>
              </w:rPr>
            </w:pPr>
            <w:r>
              <w:rPr>
                <w:rFonts w:ascii="Arial" w:cs="Arial" w:eastAsia="Arial" w:hAnsi="Arial"/>
                <w:sz w:val="14"/>
                <w:szCs w:val="14"/>
                <w:color w:val="auto"/>
              </w:rPr>
              <w:t>Total stock-based compensation expense and payroll taxes related to stock-based</w:t>
            </w:r>
          </w:p>
        </w:tc>
        <w:tc>
          <w:tcPr>
            <w:tcW w:w="800" w:type="dxa"/>
            <w:vAlign w:val="bottom"/>
            <w:vMerge w:val="restart"/>
          </w:tcPr>
          <w:p>
            <w:pPr>
              <w:jc w:val="right"/>
              <w:ind w:right="648"/>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97"/>
              </w:rPr>
              <w:t>12,016</w:t>
            </w:r>
          </w:p>
        </w:tc>
        <w:tc>
          <w:tcPr>
            <w:tcW w:w="240" w:type="dxa"/>
            <w:vAlign w:val="bottom"/>
          </w:tcPr>
          <w:p>
            <w:pPr>
              <w:spacing w:after="0"/>
              <w:rPr>
                <w:sz w:val="12"/>
                <w:szCs w:val="12"/>
                <w:color w:val="auto"/>
              </w:rPr>
            </w:pPr>
          </w:p>
        </w:tc>
        <w:tc>
          <w:tcPr>
            <w:tcW w:w="800" w:type="dxa"/>
            <w:vAlign w:val="bottom"/>
            <w:vMerge w:val="restart"/>
          </w:tcPr>
          <w:p>
            <w:pPr>
              <w:jc w:val="right"/>
              <w:ind w:right="648"/>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97"/>
              </w:rPr>
              <w:t>11,114</w:t>
            </w:r>
          </w:p>
        </w:tc>
        <w:tc>
          <w:tcPr>
            <w:tcW w:w="240" w:type="dxa"/>
            <w:vAlign w:val="bottom"/>
          </w:tcPr>
          <w:p>
            <w:pPr>
              <w:spacing w:after="0"/>
              <w:rPr>
                <w:sz w:val="12"/>
                <w:szCs w:val="12"/>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33,753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28,085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460" w:type="dxa"/>
            <w:vAlign w:val="bottom"/>
          </w:tcPr>
          <w:p>
            <w:pPr>
              <w:spacing w:after="0" w:line="125" w:lineRule="exact"/>
              <w:rPr>
                <w:sz w:val="20"/>
                <w:szCs w:val="20"/>
                <w:color w:val="auto"/>
              </w:rPr>
            </w:pPr>
            <w:r>
              <w:rPr>
                <w:rFonts w:ascii="Arial" w:cs="Arial" w:eastAsia="Arial" w:hAnsi="Arial"/>
                <w:sz w:val="14"/>
                <w:szCs w:val="14"/>
                <w:color w:val="auto"/>
              </w:rPr>
              <w:t>compensation</w:t>
            </w:r>
          </w:p>
        </w:tc>
        <w:tc>
          <w:tcPr>
            <w:tcW w:w="80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Summary of Depreciation and Amortization Expense</w:t>
            </w: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Cost of revenue</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179</w:t>
            </w:r>
          </w:p>
        </w:tc>
        <w:tc>
          <w:tcPr>
            <w:tcW w:w="1040" w:type="dxa"/>
            <w:vAlign w:val="bottom"/>
            <w:gridSpan w:val="2"/>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184</w:t>
            </w:r>
          </w:p>
        </w:tc>
        <w:tc>
          <w:tcPr>
            <w:tcW w:w="2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538</w:t>
            </w:r>
          </w:p>
        </w:tc>
        <w:tc>
          <w:tcPr>
            <w:tcW w:w="140" w:type="dxa"/>
            <w:vAlign w:val="bottom"/>
          </w:tcPr>
          <w:p>
            <w:pPr>
              <w:spacing w:after="0"/>
              <w:rPr>
                <w:sz w:val="14"/>
                <w:szCs w:val="14"/>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w:t>
            </w: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805</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Operations and support</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Product development</w:t>
            </w: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5,060</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3,723</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13,353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depreciation and amortization expense</w:t>
            </w:r>
          </w:p>
        </w:tc>
        <w:tc>
          <w:tcPr>
            <w:tcW w:w="800" w:type="dxa"/>
            <w:vAlign w:val="bottom"/>
            <w:tcBorders>
              <w:bottom w:val="single" w:sz="8" w:color="auto"/>
            </w:tcBorders>
            <w:shd w:val="clear" w:color="auto" w:fill="CFF0FC"/>
          </w:tcPr>
          <w:p>
            <w:pPr>
              <w:jc w:val="right"/>
              <w:ind w:right="64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6,185</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64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5,000</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16,952</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13,741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60" w:type="dxa"/>
            <w:vAlign w:val="bottom"/>
          </w:tcPr>
          <w:p>
            <w:pPr>
              <w:spacing w:after="0"/>
              <w:rPr>
                <w:sz w:val="20"/>
                <w:szCs w:val="20"/>
                <w:color w:val="auto"/>
              </w:rPr>
            </w:pPr>
            <w:r>
              <w:rPr>
                <w:rFonts w:ascii="Arial" w:cs="Arial" w:eastAsia="Arial" w:hAnsi="Arial"/>
                <w:sz w:val="14"/>
                <w:szCs w:val="14"/>
                <w:b w:val="1"/>
                <w:bCs w:val="1"/>
                <w:color w:val="auto"/>
              </w:rPr>
              <w:t>Summary of Restructuring Charges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1040" w:type="dxa"/>
            <w:vAlign w:val="bottom"/>
            <w:gridSpan w:val="2"/>
            <w:shd w:val="clear" w:color="auto" w:fill="CFF0FC"/>
          </w:tcPr>
          <w:p>
            <w:pPr>
              <w:jc w:val="right"/>
              <w:ind w:right="64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1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Operations and support</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429</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(108)</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Product development</w:t>
            </w: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restructuring charges</w:t>
            </w:r>
          </w:p>
        </w:tc>
        <w:tc>
          <w:tcPr>
            <w:tcW w:w="800" w:type="dxa"/>
            <w:vAlign w:val="bottom"/>
            <w:tcBorders>
              <w:top w:val="single" w:sz="8" w:color="auto"/>
              <w:bottom w:val="single" w:sz="8" w:color="auto"/>
            </w:tcBorders>
            <w:shd w:val="clear" w:color="auto" w:fill="CFF0FC"/>
          </w:tcPr>
          <w:p>
            <w:pPr>
              <w:jc w:val="right"/>
              <w:ind w:right="64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1,370</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ind w:right="64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(92)</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1,340</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1,464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-1825625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-1825625</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-1825625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-1825625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-779145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-762635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-779145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-762635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-779145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-762635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2026-11-03T07:11:09Z</dcterms:created>
  <dcterms:modified xsi:type="dcterms:W3CDTF">2026-11-03T07:11:09Z</dcterms:modified>
</cp:coreProperties>
</file>